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B9D39" w14:textId="77777777" w:rsidR="00BC5929" w:rsidRPr="00673828" w:rsidRDefault="00BC5929" w:rsidP="00BC5929">
      <w:pPr>
        <w:spacing w:after="0" w:line="240" w:lineRule="auto"/>
        <w:jc w:val="center"/>
        <w:rPr>
          <w:rFonts w:ascii="Calibri" w:eastAsia="Aptos" w:hAnsi="Calibri" w:cs="Calibri"/>
          <w:sz w:val="22"/>
          <w:szCs w:val="22"/>
          <w:u w:val="single"/>
        </w:rPr>
      </w:pPr>
      <w:r w:rsidRPr="00673828">
        <w:rPr>
          <w:rFonts w:ascii="Calibri" w:eastAsia="Aptos" w:hAnsi="Calibri" w:cs="Calibri"/>
          <w:sz w:val="22"/>
          <w:szCs w:val="22"/>
          <w:u w:val="single"/>
        </w:rPr>
        <w:t>COMUNICADO DE IMPRENSA</w:t>
      </w:r>
    </w:p>
    <w:p w14:paraId="012B66E2" w14:textId="77777777" w:rsidR="00BC5929" w:rsidRPr="00673828" w:rsidRDefault="00BC5929" w:rsidP="00BC5929">
      <w:pPr>
        <w:spacing w:after="0" w:line="240" w:lineRule="auto"/>
        <w:rPr>
          <w:rFonts w:ascii="Calibri" w:eastAsia="Aptos" w:hAnsi="Calibri" w:cs="Calibri"/>
          <w:b/>
          <w:bCs/>
          <w:sz w:val="22"/>
          <w:szCs w:val="22"/>
          <w:highlight w:val="yellow"/>
        </w:rPr>
      </w:pPr>
    </w:p>
    <w:p w14:paraId="48E2633B" w14:textId="14273E15" w:rsidR="00C4282E" w:rsidRDefault="00C4282E" w:rsidP="00266FA1">
      <w:pPr>
        <w:spacing w:after="0" w:line="276" w:lineRule="auto"/>
        <w:ind w:left="-426" w:right="-427"/>
        <w:jc w:val="center"/>
        <w:rPr>
          <w:rFonts w:ascii="Calibri" w:hAnsi="Calibri" w:cs="Calibri"/>
          <w:b/>
          <w:bCs/>
          <w:sz w:val="40"/>
          <w:szCs w:val="40"/>
        </w:rPr>
      </w:pPr>
      <w:r w:rsidRPr="00807E8D">
        <w:rPr>
          <w:rFonts w:ascii="Calibri" w:hAnsi="Calibri" w:cs="Calibri"/>
          <w:b/>
          <w:bCs/>
          <w:sz w:val="40"/>
          <w:szCs w:val="40"/>
        </w:rPr>
        <w:t>ANUG alerta para risco de redução do acesso a exames de Gastrenterologia no SNS</w:t>
      </w:r>
    </w:p>
    <w:p w14:paraId="5FD3268D" w14:textId="77777777" w:rsidR="00C4282E" w:rsidRPr="002416BA" w:rsidRDefault="00C4282E" w:rsidP="002416BA">
      <w:pPr>
        <w:spacing w:after="0" w:line="276" w:lineRule="auto"/>
        <w:ind w:right="-427"/>
        <w:rPr>
          <w:sz w:val="16"/>
          <w:szCs w:val="16"/>
        </w:rPr>
      </w:pPr>
    </w:p>
    <w:p w14:paraId="103AE5DD" w14:textId="77777777" w:rsidR="00A12696" w:rsidRPr="00A12696" w:rsidRDefault="00A12696" w:rsidP="00283907">
      <w:pPr>
        <w:spacing w:after="0" w:line="276" w:lineRule="auto"/>
        <w:rPr>
          <w:rFonts w:ascii="Calibri" w:hAnsi="Calibri" w:cs="Calibri"/>
          <w:b/>
          <w:bCs/>
          <w:sz w:val="12"/>
          <w:szCs w:val="12"/>
        </w:rPr>
      </w:pPr>
    </w:p>
    <w:p w14:paraId="2335A248" w14:textId="70B30708" w:rsidR="005D760C" w:rsidRPr="00695722" w:rsidRDefault="005D760C" w:rsidP="00A33689">
      <w:pPr>
        <w:pStyle w:val="PargrafodaLista"/>
        <w:numPr>
          <w:ilvl w:val="0"/>
          <w:numId w:val="1"/>
        </w:numPr>
        <w:spacing w:line="276" w:lineRule="auto"/>
        <w:ind w:left="0" w:right="140" w:hanging="284"/>
        <w:jc w:val="center"/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</w:pPr>
      <w:r w:rsidRPr="005D760C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 xml:space="preserve">Tabela convencionada de Gastrenterologia permanece </w:t>
      </w:r>
      <w:r w:rsidR="00976A33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>desatualizada</w:t>
      </w:r>
      <w:r w:rsidRPr="005D760C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 xml:space="preserve"> desde 2014, apesar da evolução da atividade e das exigências clínicas e tecnológicas.</w:t>
      </w:r>
    </w:p>
    <w:p w14:paraId="08C8EA6A" w14:textId="5E8BE6B1" w:rsidR="005D760C" w:rsidRPr="00695722" w:rsidRDefault="005D760C" w:rsidP="00A33689">
      <w:pPr>
        <w:pStyle w:val="PargrafodaLista"/>
        <w:numPr>
          <w:ilvl w:val="0"/>
          <w:numId w:val="1"/>
        </w:numPr>
        <w:spacing w:line="276" w:lineRule="auto"/>
        <w:ind w:left="0" w:right="140" w:hanging="284"/>
        <w:jc w:val="center"/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</w:pPr>
      <w:r w:rsidRPr="005D760C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>Rede convencionada assegurou mais de 1,7 milhões de procedimentos de Endoscopia Gastroenterológica em 2025, através de 156 entidades.</w:t>
      </w:r>
    </w:p>
    <w:p w14:paraId="064C9A7A" w14:textId="4648916C" w:rsidR="00700389" w:rsidRPr="000B6A21" w:rsidRDefault="00700389" w:rsidP="000B6A21">
      <w:pPr>
        <w:pStyle w:val="PargrafodaLista"/>
        <w:numPr>
          <w:ilvl w:val="0"/>
          <w:numId w:val="1"/>
        </w:numPr>
        <w:spacing w:line="276" w:lineRule="auto"/>
        <w:ind w:left="0" w:right="140" w:hanging="284"/>
        <w:jc w:val="center"/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</w:pPr>
      <w:r w:rsidRPr="00695722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>A</w:t>
      </w:r>
      <w:r w:rsidR="00300231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 xml:space="preserve">ssociação </w:t>
      </w:r>
      <w:r w:rsidRPr="00695722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 xml:space="preserve">alerta para dificuldades crescentes na mobilização de profissionais e pede urgência na aprovação e publicação da nova </w:t>
      </w:r>
      <w:r w:rsidRPr="005D760C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 xml:space="preserve">nomenclatura e </w:t>
      </w:r>
      <w:r w:rsidR="00CC566A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 xml:space="preserve">da nova </w:t>
      </w:r>
      <w:r w:rsidRPr="005D760C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>tabela</w:t>
      </w:r>
      <w:r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 xml:space="preserve"> </w:t>
      </w:r>
      <w:r w:rsidR="00E3395C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>convencionada</w:t>
      </w:r>
      <w:r w:rsidR="00A33689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 xml:space="preserve"> de </w:t>
      </w:r>
      <w:r w:rsidR="00A33689" w:rsidRPr="00A33689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>Gastrenterologia e Endoscopia Digestiva</w:t>
      </w:r>
      <w:r w:rsidR="00A33689">
        <w:rPr>
          <w:rFonts w:ascii="Calibri" w:hAnsi="Calibri" w:cs="Calibri"/>
          <w:i/>
          <w:iCs/>
          <w:color w:val="000000"/>
          <w:sz w:val="22"/>
          <w:szCs w:val="22"/>
          <w:shd w:val="clear" w:color="auto" w:fill="FFFFFF"/>
        </w:rPr>
        <w:t>.</w:t>
      </w:r>
    </w:p>
    <w:p w14:paraId="792C587B" w14:textId="3FD2AD04" w:rsidR="00BC5929" w:rsidRPr="00E66F40" w:rsidRDefault="00BC5929" w:rsidP="0038148E">
      <w:pPr>
        <w:pStyle w:val="PargrafodaLista"/>
        <w:spacing w:line="276" w:lineRule="auto"/>
        <w:ind w:left="142"/>
        <w:rPr>
          <w:rFonts w:ascii="Calibri" w:hAnsi="Calibri" w:cs="Calibri"/>
          <w:i/>
          <w:iCs/>
          <w:color w:val="000000"/>
          <w:sz w:val="12"/>
          <w:szCs w:val="12"/>
          <w:shd w:val="clear" w:color="auto" w:fill="FFFFFF"/>
        </w:rPr>
      </w:pPr>
    </w:p>
    <w:p w14:paraId="359E1D26" w14:textId="3B0B3F74" w:rsidR="0034458D" w:rsidRPr="00323B95" w:rsidRDefault="00BC5929" w:rsidP="00D763E1">
      <w:pPr>
        <w:spacing w:line="276" w:lineRule="auto"/>
        <w:ind w:left="-142"/>
        <w:jc w:val="both"/>
        <w:rPr>
          <w:rFonts w:ascii="Calibri" w:hAnsi="Calibri" w:cs="Calibri"/>
          <w:sz w:val="22"/>
          <w:szCs w:val="22"/>
        </w:rPr>
      </w:pPr>
      <w:r w:rsidRPr="00BC5929">
        <w:rPr>
          <w:rFonts w:ascii="Calibri" w:hAnsi="Calibri" w:cs="Calibri"/>
          <w:b/>
          <w:bCs/>
          <w:sz w:val="22"/>
          <w:szCs w:val="22"/>
        </w:rPr>
        <w:t xml:space="preserve">Lisboa, </w:t>
      </w:r>
      <w:r w:rsidR="00AC443B">
        <w:rPr>
          <w:rFonts w:ascii="Calibri" w:hAnsi="Calibri" w:cs="Calibri"/>
          <w:b/>
          <w:bCs/>
          <w:sz w:val="22"/>
          <w:szCs w:val="22"/>
        </w:rPr>
        <w:t>17</w:t>
      </w:r>
      <w:r w:rsidR="002B7CFE">
        <w:rPr>
          <w:rFonts w:ascii="Calibri" w:hAnsi="Calibri" w:cs="Calibri"/>
          <w:b/>
          <w:bCs/>
          <w:sz w:val="22"/>
          <w:szCs w:val="22"/>
        </w:rPr>
        <w:t xml:space="preserve"> de </w:t>
      </w:r>
      <w:r w:rsidR="00C5428C">
        <w:rPr>
          <w:rFonts w:ascii="Calibri" w:hAnsi="Calibri" w:cs="Calibri"/>
          <w:b/>
          <w:bCs/>
          <w:sz w:val="22"/>
          <w:szCs w:val="22"/>
        </w:rPr>
        <w:t>setembro</w:t>
      </w:r>
      <w:r w:rsidRPr="00BC5929">
        <w:rPr>
          <w:rFonts w:ascii="Calibri" w:hAnsi="Calibri" w:cs="Calibri"/>
          <w:b/>
          <w:bCs/>
          <w:sz w:val="22"/>
          <w:szCs w:val="22"/>
        </w:rPr>
        <w:t xml:space="preserve"> de 202</w:t>
      </w:r>
      <w:r w:rsidR="00A01123">
        <w:rPr>
          <w:rFonts w:ascii="Calibri" w:hAnsi="Calibri" w:cs="Calibri"/>
          <w:b/>
          <w:bCs/>
          <w:sz w:val="22"/>
          <w:szCs w:val="22"/>
        </w:rPr>
        <w:t>6</w:t>
      </w:r>
      <w:r w:rsidR="00754BD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54BDC" w:rsidRPr="00323B95">
        <w:rPr>
          <w:rFonts w:ascii="Calibri" w:hAnsi="Calibri" w:cs="Calibri"/>
          <w:sz w:val="22"/>
          <w:szCs w:val="22"/>
        </w:rPr>
        <w:t xml:space="preserve">– </w:t>
      </w:r>
      <w:r w:rsidR="00D263B9" w:rsidRPr="00323B95">
        <w:rPr>
          <w:rFonts w:ascii="Calibri" w:hAnsi="Calibri" w:cs="Calibri"/>
          <w:sz w:val="22"/>
          <w:szCs w:val="22"/>
        </w:rPr>
        <w:t xml:space="preserve">A Associação Nacional de Unidades de Gastrenterologia (ANUG) alerta para o risco de perda progressiva de capacidade na rede convencionada de Gastrenterologia e Endoscopia Digestiva, num contexto em que a tabela </w:t>
      </w:r>
      <w:r w:rsidR="00F43B28" w:rsidRPr="00323B95">
        <w:rPr>
          <w:rFonts w:ascii="Calibri" w:hAnsi="Calibri" w:cs="Calibri"/>
          <w:sz w:val="22"/>
          <w:szCs w:val="22"/>
        </w:rPr>
        <w:t xml:space="preserve">de atos e valores convencionados </w:t>
      </w:r>
      <w:r w:rsidR="00D263B9" w:rsidRPr="00323B95">
        <w:rPr>
          <w:rFonts w:ascii="Calibri" w:hAnsi="Calibri" w:cs="Calibri"/>
          <w:sz w:val="22"/>
          <w:szCs w:val="22"/>
        </w:rPr>
        <w:t xml:space="preserve">permanece </w:t>
      </w:r>
      <w:r w:rsidR="0034458D" w:rsidRPr="00323B95">
        <w:rPr>
          <w:rFonts w:ascii="Calibri" w:hAnsi="Calibri" w:cs="Calibri"/>
          <w:sz w:val="22"/>
          <w:szCs w:val="22"/>
        </w:rPr>
        <w:t xml:space="preserve">estruturalmente desatualizada </w:t>
      </w:r>
      <w:r w:rsidR="00D263B9" w:rsidRPr="00323B95">
        <w:rPr>
          <w:rFonts w:ascii="Calibri" w:hAnsi="Calibri" w:cs="Calibri"/>
          <w:sz w:val="22"/>
          <w:szCs w:val="22"/>
        </w:rPr>
        <w:t>desde 2014</w:t>
      </w:r>
      <w:r w:rsidR="00A03D73" w:rsidRPr="00323B95">
        <w:rPr>
          <w:rFonts w:ascii="Calibri" w:hAnsi="Calibri" w:cs="Calibri"/>
          <w:sz w:val="22"/>
          <w:szCs w:val="22"/>
        </w:rPr>
        <w:t xml:space="preserve"> </w:t>
      </w:r>
      <w:r w:rsidR="00E71541" w:rsidRPr="00323B95">
        <w:rPr>
          <w:rFonts w:ascii="Calibri" w:hAnsi="Calibri" w:cs="Calibri"/>
          <w:sz w:val="22"/>
          <w:szCs w:val="22"/>
        </w:rPr>
        <w:t xml:space="preserve">e a nova versão, já </w:t>
      </w:r>
      <w:r w:rsidR="004D2FFF" w:rsidRPr="00323B95">
        <w:rPr>
          <w:rFonts w:ascii="Calibri" w:hAnsi="Calibri" w:cs="Calibri"/>
          <w:sz w:val="22"/>
          <w:szCs w:val="22"/>
        </w:rPr>
        <w:t>concluída</w:t>
      </w:r>
      <w:r w:rsidR="00E71541" w:rsidRPr="00323B95">
        <w:rPr>
          <w:rFonts w:ascii="Calibri" w:hAnsi="Calibri" w:cs="Calibri"/>
          <w:sz w:val="22"/>
          <w:szCs w:val="22"/>
        </w:rPr>
        <w:t xml:space="preserve"> tecnicamente, continua por aprovar e publicar.</w:t>
      </w:r>
    </w:p>
    <w:p w14:paraId="58287A5A" w14:textId="64D30969" w:rsidR="00121564" w:rsidRPr="00323B95" w:rsidRDefault="00D263B9" w:rsidP="002B5314">
      <w:pPr>
        <w:spacing w:line="276" w:lineRule="auto"/>
        <w:ind w:left="-142"/>
        <w:jc w:val="both"/>
        <w:rPr>
          <w:rFonts w:ascii="Calibri" w:hAnsi="Calibri" w:cs="Calibri"/>
          <w:sz w:val="22"/>
          <w:szCs w:val="22"/>
        </w:rPr>
      </w:pPr>
      <w:r w:rsidRPr="00323B95">
        <w:rPr>
          <w:rFonts w:ascii="Calibri" w:hAnsi="Calibri" w:cs="Calibri"/>
          <w:sz w:val="22"/>
          <w:szCs w:val="22"/>
        </w:rPr>
        <w:t>A preocupação da Associação resulta, sobretudo, das dificuldades crescentes comunicadas pelas unidades na mobilização das equipas necessárias à realização dos procedimentos</w:t>
      </w:r>
      <w:r w:rsidR="00EF6C19" w:rsidRPr="00323B95">
        <w:rPr>
          <w:rFonts w:ascii="Calibri" w:hAnsi="Calibri" w:cs="Calibri"/>
          <w:sz w:val="22"/>
          <w:szCs w:val="22"/>
        </w:rPr>
        <w:t xml:space="preserve"> ao abrigo das convenções do Serviço Nacional de Saúde (SNS)</w:t>
      </w:r>
      <w:r w:rsidRPr="00323B95">
        <w:rPr>
          <w:rFonts w:ascii="Calibri" w:hAnsi="Calibri" w:cs="Calibri"/>
          <w:sz w:val="22"/>
          <w:szCs w:val="22"/>
        </w:rPr>
        <w:t>, incluindo gastroenterologistas, anestesiologistas e enfermeiros.</w:t>
      </w:r>
      <w:r w:rsidR="00DC43E6" w:rsidRPr="00323B95">
        <w:rPr>
          <w:rFonts w:ascii="Calibri" w:hAnsi="Calibri" w:cs="Calibri"/>
          <w:sz w:val="22"/>
          <w:szCs w:val="22"/>
        </w:rPr>
        <w:t xml:space="preserve"> </w:t>
      </w:r>
      <w:r w:rsidR="00121564" w:rsidRPr="00323B95">
        <w:rPr>
          <w:rFonts w:ascii="Calibri" w:hAnsi="Calibri" w:cs="Calibri"/>
          <w:sz w:val="22"/>
          <w:szCs w:val="22"/>
        </w:rPr>
        <w:t>A manutenção desta situação poderá traduzir-se numa redução efetiva da capacidade assistencial e, consequentemente, em maiores dificuldades de acesso dos utentes a exames e procedimentos essenciais</w:t>
      </w:r>
      <w:r w:rsidR="00DC43E6" w:rsidRPr="00323B95">
        <w:rPr>
          <w:rFonts w:ascii="Calibri" w:hAnsi="Calibri" w:cs="Calibri"/>
          <w:sz w:val="22"/>
          <w:szCs w:val="22"/>
        </w:rPr>
        <w:t>.</w:t>
      </w:r>
    </w:p>
    <w:p w14:paraId="6537171C" w14:textId="09CCB094" w:rsidR="002B5314" w:rsidRPr="00323B95" w:rsidRDefault="00D263B9" w:rsidP="002E03D6">
      <w:pPr>
        <w:spacing w:line="276" w:lineRule="auto"/>
        <w:ind w:left="-142"/>
        <w:jc w:val="both"/>
        <w:rPr>
          <w:rFonts w:ascii="Calibri" w:hAnsi="Calibri" w:cs="Calibri"/>
          <w:sz w:val="22"/>
          <w:szCs w:val="22"/>
        </w:rPr>
      </w:pPr>
      <w:r w:rsidRPr="00323B95">
        <w:rPr>
          <w:rFonts w:ascii="Calibri" w:hAnsi="Calibri" w:cs="Calibri"/>
          <w:sz w:val="22"/>
          <w:szCs w:val="22"/>
        </w:rPr>
        <w:t xml:space="preserve">Em 2025, a rede convencionada realizou 1.708.051 procedimentos de Endoscopia Gastroenterológica, </w:t>
      </w:r>
      <w:r w:rsidR="002B5314" w:rsidRPr="00323B95">
        <w:rPr>
          <w:rFonts w:ascii="Calibri" w:hAnsi="Calibri" w:cs="Calibri"/>
          <w:sz w:val="22"/>
          <w:szCs w:val="22"/>
        </w:rPr>
        <w:t xml:space="preserve">correspondentes a </w:t>
      </w:r>
      <w:r w:rsidRPr="00323B95">
        <w:rPr>
          <w:rFonts w:ascii="Calibri" w:hAnsi="Calibri" w:cs="Calibri"/>
          <w:sz w:val="22"/>
          <w:szCs w:val="22"/>
        </w:rPr>
        <w:t>646.165</w:t>
      </w:r>
      <w:r w:rsidR="00651B3E" w:rsidRPr="00323B95">
        <w:rPr>
          <w:rFonts w:ascii="Calibri" w:hAnsi="Calibri" w:cs="Calibri"/>
          <w:sz w:val="22"/>
          <w:szCs w:val="22"/>
        </w:rPr>
        <w:t xml:space="preserve"> requisições</w:t>
      </w:r>
      <w:r w:rsidR="002B5314" w:rsidRPr="00323B95">
        <w:rPr>
          <w:rFonts w:ascii="Calibri" w:hAnsi="Calibri" w:cs="Calibri"/>
          <w:sz w:val="22"/>
          <w:szCs w:val="22"/>
        </w:rPr>
        <w:t>,</w:t>
      </w:r>
      <w:r w:rsidRPr="00323B95">
        <w:rPr>
          <w:rFonts w:ascii="Calibri" w:hAnsi="Calibri" w:cs="Calibri"/>
          <w:sz w:val="22"/>
          <w:szCs w:val="22"/>
        </w:rPr>
        <w:t xml:space="preserve"> </w:t>
      </w:r>
      <w:r w:rsidR="002B5314" w:rsidRPr="00323B95">
        <w:rPr>
          <w:rFonts w:ascii="Calibri" w:hAnsi="Calibri" w:cs="Calibri"/>
          <w:sz w:val="22"/>
          <w:szCs w:val="22"/>
        </w:rPr>
        <w:t>através de 156 entidades com atividade convencionada, o equivalente a cerca de 4.680 atos por dia</w:t>
      </w:r>
      <w:r w:rsidRPr="00323B95">
        <w:rPr>
          <w:rFonts w:ascii="Calibri" w:hAnsi="Calibri" w:cs="Calibri"/>
          <w:sz w:val="22"/>
          <w:szCs w:val="22"/>
        </w:rPr>
        <w:t xml:space="preserve">. Esta rede constitui uma parte integrante da resposta assistencial pública, recebendo utentes referenciados pelo SNS, prestando cuidados segundo regras públicas e sendo remunerada através de valores definidos pelo Estado. </w:t>
      </w:r>
    </w:p>
    <w:p w14:paraId="42089536" w14:textId="1A8C34E4" w:rsidR="002C0FFE" w:rsidRPr="00323B95" w:rsidRDefault="002C0FFE" w:rsidP="002C0FFE">
      <w:pPr>
        <w:spacing w:line="276" w:lineRule="auto"/>
        <w:ind w:left="-142"/>
        <w:jc w:val="both"/>
        <w:rPr>
          <w:rFonts w:ascii="Calibri" w:hAnsi="Calibri" w:cs="Calibri"/>
          <w:sz w:val="22"/>
          <w:szCs w:val="22"/>
        </w:rPr>
      </w:pPr>
      <w:r w:rsidRPr="00323B95">
        <w:rPr>
          <w:rFonts w:ascii="Calibri" w:hAnsi="Calibri" w:cs="Calibri"/>
          <w:sz w:val="22"/>
          <w:szCs w:val="22"/>
        </w:rPr>
        <w:t xml:space="preserve">Apesar da dimensão desta resposta, a tabela </w:t>
      </w:r>
      <w:r w:rsidR="00245EA3" w:rsidRPr="00323B95">
        <w:rPr>
          <w:rFonts w:ascii="Calibri" w:hAnsi="Calibri" w:cs="Calibri"/>
          <w:sz w:val="22"/>
          <w:szCs w:val="22"/>
        </w:rPr>
        <w:t xml:space="preserve">de valores </w:t>
      </w:r>
      <w:r w:rsidRPr="00323B95">
        <w:rPr>
          <w:rFonts w:ascii="Calibri" w:hAnsi="Calibri" w:cs="Calibri"/>
          <w:sz w:val="22"/>
          <w:szCs w:val="22"/>
        </w:rPr>
        <w:t>convencionad</w:t>
      </w:r>
      <w:r w:rsidR="00245EA3" w:rsidRPr="00323B95">
        <w:rPr>
          <w:rFonts w:ascii="Calibri" w:hAnsi="Calibri" w:cs="Calibri"/>
          <w:sz w:val="22"/>
          <w:szCs w:val="22"/>
        </w:rPr>
        <w:t>os</w:t>
      </w:r>
      <w:r w:rsidRPr="00323B95">
        <w:rPr>
          <w:rFonts w:ascii="Calibri" w:hAnsi="Calibri" w:cs="Calibri"/>
          <w:sz w:val="22"/>
          <w:szCs w:val="22"/>
        </w:rPr>
        <w:t xml:space="preserve"> permanece substancialmente inalterada desde 2014, período durante o qual aumentaram os custos associados ao trabalho especializado, equipamentos, consumíveis e manutenção, e se tornaram mais exigentes as condições clínicas, tecnológicas, regulatórias e de segurança aplicáveis aos procedimentos. A Endoscopia Digestiva inclui procedimentos diagnósticos e terapêuticos, frequentemente invasivos, que podem exigir sedação, monitorização, recobro, reprocessamento rigoroso de dispositivos e equipas clínicas diferenciadas. </w:t>
      </w:r>
    </w:p>
    <w:p w14:paraId="0C49C90F" w14:textId="77777777" w:rsidR="00177670" w:rsidRPr="00323B95" w:rsidRDefault="00177670" w:rsidP="00245EA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3C192122" w14:textId="44E32DF7" w:rsidR="002C0FFE" w:rsidRPr="00323B95" w:rsidRDefault="00F47C93" w:rsidP="002C0FFE">
      <w:pPr>
        <w:spacing w:line="276" w:lineRule="auto"/>
        <w:ind w:left="-142"/>
        <w:jc w:val="both"/>
        <w:rPr>
          <w:rFonts w:ascii="Calibri" w:hAnsi="Calibri" w:cs="Calibri"/>
          <w:sz w:val="22"/>
          <w:szCs w:val="22"/>
        </w:rPr>
      </w:pPr>
      <w:r w:rsidRPr="00323B95">
        <w:rPr>
          <w:rFonts w:ascii="Calibri" w:hAnsi="Calibri" w:cs="Calibri"/>
          <w:sz w:val="22"/>
          <w:szCs w:val="22"/>
        </w:rPr>
        <w:lastRenderedPageBreak/>
        <w:t>Esta</w:t>
      </w:r>
      <w:r w:rsidR="002C0FFE" w:rsidRPr="00323B95">
        <w:rPr>
          <w:rFonts w:ascii="Calibri" w:hAnsi="Calibri" w:cs="Calibri"/>
          <w:sz w:val="22"/>
          <w:szCs w:val="22"/>
        </w:rPr>
        <w:t xml:space="preserve"> desatualização verifica-se</w:t>
      </w:r>
      <w:r w:rsidRPr="00323B95">
        <w:rPr>
          <w:rFonts w:ascii="Calibri" w:hAnsi="Calibri" w:cs="Calibri"/>
          <w:sz w:val="22"/>
          <w:szCs w:val="22"/>
        </w:rPr>
        <w:t>,</w:t>
      </w:r>
      <w:r w:rsidR="002C0FFE" w:rsidRPr="00323B95">
        <w:rPr>
          <w:rFonts w:ascii="Calibri" w:hAnsi="Calibri" w:cs="Calibri"/>
          <w:sz w:val="22"/>
          <w:szCs w:val="22"/>
        </w:rPr>
        <w:t xml:space="preserve"> também</w:t>
      </w:r>
      <w:r w:rsidRPr="00323B95">
        <w:rPr>
          <w:rFonts w:ascii="Calibri" w:hAnsi="Calibri" w:cs="Calibri"/>
          <w:sz w:val="22"/>
          <w:szCs w:val="22"/>
        </w:rPr>
        <w:t>,</w:t>
      </w:r>
      <w:r w:rsidR="002C0FFE" w:rsidRPr="00323B95">
        <w:rPr>
          <w:rFonts w:ascii="Calibri" w:hAnsi="Calibri" w:cs="Calibri"/>
          <w:sz w:val="22"/>
          <w:szCs w:val="22"/>
        </w:rPr>
        <w:t xml:space="preserve"> na nomenclatura dos atos. Segundo os dados reunidos pela ANUG, a tabela do SNS para 2026 contempla 118 atos na área da Gastrenterologia, enquanto apenas 12 encontram correspondência na tabela convencionada, o que representa uma cobertura de </w:t>
      </w:r>
      <w:r w:rsidRPr="00323B95">
        <w:rPr>
          <w:rFonts w:ascii="Calibri" w:hAnsi="Calibri" w:cs="Calibri"/>
          <w:sz w:val="22"/>
          <w:szCs w:val="22"/>
        </w:rPr>
        <w:t xml:space="preserve">apenas </w:t>
      </w:r>
      <w:r w:rsidR="002C0FFE" w:rsidRPr="00323B95">
        <w:rPr>
          <w:rFonts w:ascii="Calibri" w:hAnsi="Calibri" w:cs="Calibri"/>
          <w:sz w:val="22"/>
          <w:szCs w:val="22"/>
        </w:rPr>
        <w:t xml:space="preserve">10,2%. A Associação sublinha que esta comparação não significa que todos os restantes atos devam integrar a convenção, mas evidencia a discrepância entre a atual realidade da especialidade e a estrutura administrativa disponível aos prestadores convencionados. </w:t>
      </w:r>
    </w:p>
    <w:p w14:paraId="1A6CEF55" w14:textId="31F3A8E9" w:rsidR="00CE4F16" w:rsidRPr="00323B95" w:rsidRDefault="00CE4F16" w:rsidP="006E31C1">
      <w:pPr>
        <w:spacing w:line="276" w:lineRule="auto"/>
        <w:ind w:left="-142"/>
        <w:jc w:val="both"/>
        <w:rPr>
          <w:rFonts w:ascii="Calibri" w:hAnsi="Calibri" w:cs="Calibri"/>
          <w:sz w:val="22"/>
          <w:szCs w:val="22"/>
        </w:rPr>
      </w:pPr>
      <w:r w:rsidRPr="00323B95">
        <w:rPr>
          <w:rFonts w:ascii="Calibri" w:hAnsi="Calibri" w:cs="Calibri"/>
          <w:i/>
          <w:iCs/>
          <w:sz w:val="22"/>
          <w:szCs w:val="22"/>
        </w:rPr>
        <w:t>“Quando não é possível mobilizar os profissionais necessários para assegurar procedimentos ao abrigo das convenções, perde-se capacidade de resposta que está, hoje, efetivamente ao serviço dos utentes do SNS. Falamos de uma rede já instalada, distribuída pelo território e pronta a responder</w:t>
      </w:r>
      <w:r w:rsidR="00845282" w:rsidRPr="00323B95">
        <w:rPr>
          <w:rFonts w:ascii="Calibri" w:hAnsi="Calibri" w:cs="Calibri"/>
          <w:i/>
          <w:iCs/>
          <w:sz w:val="22"/>
          <w:szCs w:val="22"/>
        </w:rPr>
        <w:t>, pelo que p</w:t>
      </w:r>
      <w:r w:rsidRPr="00323B95">
        <w:rPr>
          <w:rFonts w:ascii="Calibri" w:hAnsi="Calibri" w:cs="Calibri"/>
          <w:i/>
          <w:iCs/>
          <w:sz w:val="22"/>
          <w:szCs w:val="22"/>
        </w:rPr>
        <w:t>reservar esta capacidade é</w:t>
      </w:r>
      <w:r w:rsidR="00845282" w:rsidRPr="00323B95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323B95">
        <w:rPr>
          <w:rFonts w:ascii="Calibri" w:hAnsi="Calibri" w:cs="Calibri"/>
          <w:i/>
          <w:iCs/>
          <w:sz w:val="22"/>
          <w:szCs w:val="22"/>
        </w:rPr>
        <w:t>preservar uma parte essencial da própria resposta do Serviço Nacional de Saúde”,</w:t>
      </w:r>
      <w:r w:rsidRPr="00323B95">
        <w:rPr>
          <w:rFonts w:ascii="Calibri" w:hAnsi="Calibri" w:cs="Calibri"/>
          <w:sz w:val="22"/>
          <w:szCs w:val="22"/>
        </w:rPr>
        <w:t xml:space="preserve"> afirma Pedro Carrilho, Presidente da ANUG.</w:t>
      </w:r>
    </w:p>
    <w:p w14:paraId="6BBD246B" w14:textId="23FE0C24" w:rsidR="00D263B9" w:rsidRPr="00323B95" w:rsidRDefault="00D263B9" w:rsidP="00D263B9">
      <w:pPr>
        <w:spacing w:line="276" w:lineRule="auto"/>
        <w:ind w:left="-142"/>
        <w:jc w:val="both"/>
        <w:rPr>
          <w:rFonts w:ascii="Calibri" w:hAnsi="Calibri" w:cs="Calibri"/>
          <w:sz w:val="22"/>
          <w:szCs w:val="22"/>
        </w:rPr>
      </w:pPr>
      <w:r w:rsidRPr="00323B95">
        <w:rPr>
          <w:rFonts w:ascii="Calibri" w:hAnsi="Calibri" w:cs="Calibri"/>
          <w:sz w:val="22"/>
          <w:szCs w:val="22"/>
        </w:rPr>
        <w:t xml:space="preserve">A atualização assume particular importância numa especialidade com impacto direto no diagnóstico, prevenção e tratamento da doença oncológica digestiva. Uma colonoscopia pode, no mesmo procedimento, identificar </w:t>
      </w:r>
      <w:r w:rsidR="00B126A8" w:rsidRPr="00323B95">
        <w:rPr>
          <w:rFonts w:ascii="Calibri" w:hAnsi="Calibri" w:cs="Calibri"/>
          <w:sz w:val="22"/>
          <w:szCs w:val="22"/>
        </w:rPr>
        <w:t xml:space="preserve">uma </w:t>
      </w:r>
      <w:r w:rsidRPr="00323B95">
        <w:rPr>
          <w:rFonts w:ascii="Calibri" w:hAnsi="Calibri" w:cs="Calibri"/>
          <w:sz w:val="22"/>
          <w:szCs w:val="22"/>
        </w:rPr>
        <w:t xml:space="preserve">doença, permitir a recolha de material e remover lesões pré-malignas, sendo também um </w:t>
      </w:r>
      <w:r w:rsidR="00EE0D86">
        <w:rPr>
          <w:rFonts w:ascii="Calibri" w:hAnsi="Calibri" w:cs="Calibri"/>
          <w:sz w:val="22"/>
          <w:szCs w:val="22"/>
        </w:rPr>
        <w:t>procedimento essencial do</w:t>
      </w:r>
      <w:r w:rsidRPr="00323B95">
        <w:rPr>
          <w:rFonts w:ascii="Calibri" w:hAnsi="Calibri" w:cs="Calibri"/>
          <w:sz w:val="22"/>
          <w:szCs w:val="22"/>
        </w:rPr>
        <w:t xml:space="preserve"> programa de rastreio do cancro colorretal. Portugal regista mais de 10.500 novos casos de cancro colorretal por ano, pelo que a preservação da capacidade endoscópica assume uma dimensão diretamente relacionada com a </w:t>
      </w:r>
      <w:r w:rsidR="00EE0D86">
        <w:rPr>
          <w:rFonts w:ascii="Calibri" w:hAnsi="Calibri" w:cs="Calibri"/>
          <w:sz w:val="22"/>
          <w:szCs w:val="22"/>
        </w:rPr>
        <w:t>saúde pública e dos cidadãos</w:t>
      </w:r>
      <w:r w:rsidRPr="00323B95">
        <w:rPr>
          <w:rFonts w:ascii="Calibri" w:hAnsi="Calibri" w:cs="Calibri"/>
          <w:sz w:val="22"/>
          <w:szCs w:val="22"/>
        </w:rPr>
        <w:t xml:space="preserve">. </w:t>
      </w:r>
    </w:p>
    <w:p w14:paraId="522B1535" w14:textId="44F15838" w:rsidR="00D263B9" w:rsidRPr="00323B95" w:rsidRDefault="001E58E8" w:rsidP="007C1E3C">
      <w:pPr>
        <w:spacing w:line="276" w:lineRule="auto"/>
        <w:ind w:left="-142"/>
        <w:jc w:val="both"/>
        <w:rPr>
          <w:rFonts w:ascii="Calibri" w:hAnsi="Calibri" w:cs="Calibri"/>
          <w:sz w:val="22"/>
          <w:szCs w:val="22"/>
        </w:rPr>
      </w:pPr>
      <w:r w:rsidRPr="00323B95">
        <w:rPr>
          <w:rFonts w:ascii="Calibri" w:hAnsi="Calibri" w:cs="Calibri"/>
          <w:sz w:val="22"/>
          <w:szCs w:val="22"/>
        </w:rPr>
        <w:t>A Associação sub</w:t>
      </w:r>
      <w:r w:rsidR="007C1E3C" w:rsidRPr="00323B95">
        <w:rPr>
          <w:rFonts w:ascii="Calibri" w:hAnsi="Calibri" w:cs="Calibri"/>
          <w:sz w:val="22"/>
          <w:szCs w:val="22"/>
        </w:rPr>
        <w:t>linha</w:t>
      </w:r>
      <w:r w:rsidRPr="00323B95">
        <w:rPr>
          <w:rFonts w:ascii="Calibri" w:hAnsi="Calibri" w:cs="Calibri"/>
          <w:sz w:val="22"/>
          <w:szCs w:val="22"/>
        </w:rPr>
        <w:t xml:space="preserve"> que a revisão da tabela já foi identificada como necessária e que, segundo informação transmitida pela Administração Central do Sistema de Saúde (ACSS), os trabalhos técnicos relativos à nova </w:t>
      </w:r>
      <w:r w:rsidR="00EE0D86">
        <w:rPr>
          <w:rFonts w:ascii="Calibri" w:hAnsi="Calibri" w:cs="Calibri"/>
          <w:sz w:val="22"/>
          <w:szCs w:val="22"/>
        </w:rPr>
        <w:t xml:space="preserve">tabela e </w:t>
      </w:r>
      <w:r w:rsidRPr="00323B95">
        <w:rPr>
          <w:rFonts w:ascii="Calibri" w:hAnsi="Calibri" w:cs="Calibri"/>
          <w:sz w:val="22"/>
          <w:szCs w:val="22"/>
        </w:rPr>
        <w:t>nomenclatura encontram</w:t>
      </w:r>
      <w:r w:rsidR="00EE0D86">
        <w:rPr>
          <w:rFonts w:ascii="Calibri" w:hAnsi="Calibri" w:cs="Calibri"/>
          <w:sz w:val="22"/>
          <w:szCs w:val="22"/>
        </w:rPr>
        <w:t>-se</w:t>
      </w:r>
      <w:r w:rsidRPr="00323B95">
        <w:rPr>
          <w:rFonts w:ascii="Calibri" w:hAnsi="Calibri" w:cs="Calibri"/>
          <w:sz w:val="22"/>
          <w:szCs w:val="22"/>
        </w:rPr>
        <w:t xml:space="preserve"> concluídos</w:t>
      </w:r>
      <w:r w:rsidR="00A162DF" w:rsidRPr="00323B95">
        <w:rPr>
          <w:rFonts w:ascii="Calibri" w:hAnsi="Calibri" w:cs="Calibri"/>
          <w:sz w:val="22"/>
          <w:szCs w:val="22"/>
        </w:rPr>
        <w:t>, permanecendo pendente a respetiva aprovação</w:t>
      </w:r>
      <w:r w:rsidR="00E9745C" w:rsidRPr="00323B95">
        <w:rPr>
          <w:rFonts w:ascii="Calibri" w:hAnsi="Calibri" w:cs="Calibri"/>
          <w:sz w:val="22"/>
          <w:szCs w:val="22"/>
        </w:rPr>
        <w:t xml:space="preserve"> e publicação.</w:t>
      </w:r>
    </w:p>
    <w:p w14:paraId="3747D9CC" w14:textId="6B1493B6" w:rsidR="001228EE" w:rsidRPr="00323B95" w:rsidRDefault="00DC05C5" w:rsidP="000B6A21">
      <w:pPr>
        <w:spacing w:line="276" w:lineRule="auto"/>
        <w:ind w:left="-142"/>
        <w:jc w:val="both"/>
        <w:rPr>
          <w:rFonts w:ascii="Calibri" w:hAnsi="Calibri" w:cs="Calibri"/>
          <w:sz w:val="22"/>
          <w:szCs w:val="22"/>
        </w:rPr>
      </w:pPr>
      <w:r w:rsidRPr="00323B95">
        <w:rPr>
          <w:rFonts w:ascii="Calibri" w:hAnsi="Calibri" w:cs="Calibri"/>
          <w:sz w:val="22"/>
          <w:szCs w:val="22"/>
        </w:rPr>
        <w:t>Para a ANUG, o atraso na aprovação da nova tabela é particularmente preocupante</w:t>
      </w:r>
      <w:r w:rsidR="00153D38" w:rsidRPr="00323B95">
        <w:rPr>
          <w:rFonts w:ascii="Calibri" w:hAnsi="Calibri" w:cs="Calibri"/>
          <w:sz w:val="22"/>
          <w:szCs w:val="22"/>
        </w:rPr>
        <w:t xml:space="preserve">, na medida em que </w:t>
      </w:r>
      <w:r w:rsidRPr="00323B95">
        <w:rPr>
          <w:rFonts w:ascii="Calibri" w:hAnsi="Calibri" w:cs="Calibri"/>
          <w:sz w:val="22"/>
          <w:szCs w:val="22"/>
        </w:rPr>
        <w:t>a perda progressiva de profissionais e de capacidade instalada poderá tornar mais difícil recuperar, no futuro, uma resposta que já existe e que é essencial ao funcionamento do SNS.</w:t>
      </w:r>
    </w:p>
    <w:p w14:paraId="56FE76E1" w14:textId="296EF466" w:rsidR="00E7622E" w:rsidRPr="00323B95" w:rsidRDefault="00E7622E" w:rsidP="000B6A21">
      <w:pPr>
        <w:spacing w:line="276" w:lineRule="auto"/>
        <w:ind w:left="-142"/>
        <w:jc w:val="both"/>
        <w:rPr>
          <w:rFonts w:ascii="Calibri" w:hAnsi="Calibri" w:cs="Calibri"/>
          <w:sz w:val="22"/>
          <w:szCs w:val="22"/>
        </w:rPr>
      </w:pPr>
      <w:r w:rsidRPr="00323B95">
        <w:rPr>
          <w:rFonts w:ascii="Calibri" w:hAnsi="Calibri" w:cs="Calibri"/>
          <w:i/>
          <w:iCs/>
          <w:sz w:val="22"/>
          <w:szCs w:val="22"/>
        </w:rPr>
        <w:t>“O trabalho técnico está desenvolvido e existe um entendimento claro quanto à necessidade desta atualização. O que importa</w:t>
      </w:r>
      <w:r w:rsidR="00801E12" w:rsidRPr="00323B95">
        <w:rPr>
          <w:rFonts w:ascii="Calibri" w:hAnsi="Calibri" w:cs="Calibri"/>
          <w:i/>
          <w:iCs/>
          <w:sz w:val="22"/>
          <w:szCs w:val="22"/>
        </w:rPr>
        <w:t>,</w:t>
      </w:r>
      <w:r w:rsidRPr="00323B95">
        <w:rPr>
          <w:rFonts w:ascii="Calibri" w:hAnsi="Calibri" w:cs="Calibri"/>
          <w:i/>
          <w:iCs/>
          <w:sz w:val="22"/>
          <w:szCs w:val="22"/>
        </w:rPr>
        <w:t xml:space="preserve"> agora</w:t>
      </w:r>
      <w:r w:rsidR="00801E12" w:rsidRPr="00323B95">
        <w:rPr>
          <w:rFonts w:ascii="Calibri" w:hAnsi="Calibri" w:cs="Calibri"/>
          <w:i/>
          <w:iCs/>
          <w:sz w:val="22"/>
          <w:szCs w:val="22"/>
        </w:rPr>
        <w:t>,</w:t>
      </w:r>
      <w:r w:rsidRPr="00323B95">
        <w:rPr>
          <w:rFonts w:ascii="Calibri" w:hAnsi="Calibri" w:cs="Calibri"/>
          <w:i/>
          <w:iCs/>
          <w:sz w:val="22"/>
          <w:szCs w:val="22"/>
        </w:rPr>
        <w:t xml:space="preserve"> é evitar que o tempo comprometa uma capacidade que já existe</w:t>
      </w:r>
      <w:r w:rsidR="00E228ED" w:rsidRPr="00323B95">
        <w:rPr>
          <w:rFonts w:ascii="Calibri" w:hAnsi="Calibri" w:cs="Calibri"/>
          <w:i/>
          <w:iCs/>
          <w:sz w:val="22"/>
          <w:szCs w:val="22"/>
        </w:rPr>
        <w:t xml:space="preserve">, e </w:t>
      </w:r>
      <w:r w:rsidR="007E1304" w:rsidRPr="00323B95">
        <w:rPr>
          <w:rFonts w:ascii="Calibri" w:hAnsi="Calibri" w:cs="Calibri"/>
          <w:i/>
          <w:iCs/>
          <w:sz w:val="22"/>
          <w:szCs w:val="22"/>
        </w:rPr>
        <w:t xml:space="preserve">a </w:t>
      </w:r>
      <w:r w:rsidR="00E228ED" w:rsidRPr="00323B95">
        <w:rPr>
          <w:rFonts w:ascii="Calibri" w:hAnsi="Calibri" w:cs="Calibri"/>
          <w:i/>
          <w:iCs/>
          <w:sz w:val="22"/>
          <w:szCs w:val="22"/>
        </w:rPr>
        <w:t>c</w:t>
      </w:r>
      <w:r w:rsidRPr="00323B95">
        <w:rPr>
          <w:rFonts w:ascii="Calibri" w:hAnsi="Calibri" w:cs="Calibri"/>
          <w:i/>
          <w:iCs/>
          <w:sz w:val="22"/>
          <w:szCs w:val="22"/>
        </w:rPr>
        <w:t xml:space="preserve">ada </w:t>
      </w:r>
      <w:r w:rsidR="002D2C9B" w:rsidRPr="00323B95">
        <w:rPr>
          <w:rFonts w:ascii="Calibri" w:hAnsi="Calibri" w:cs="Calibri"/>
          <w:i/>
          <w:iCs/>
          <w:sz w:val="22"/>
          <w:szCs w:val="22"/>
        </w:rPr>
        <w:t>mês que passa</w:t>
      </w:r>
      <w:r w:rsidRPr="00323B95">
        <w:rPr>
          <w:rFonts w:ascii="Calibri" w:hAnsi="Calibri" w:cs="Calibri"/>
          <w:i/>
          <w:iCs/>
          <w:sz w:val="22"/>
          <w:szCs w:val="22"/>
        </w:rPr>
        <w:t xml:space="preserve"> aumenta o risco de perder equipas e resposta assistencial que depois será muito mais difícil recuperar”</w:t>
      </w:r>
      <w:r w:rsidRPr="00323B95">
        <w:rPr>
          <w:rFonts w:ascii="Calibri" w:hAnsi="Calibri" w:cs="Calibri"/>
          <w:sz w:val="22"/>
          <w:szCs w:val="22"/>
        </w:rPr>
        <w:t>, acrescenta Pedro Carrilho.</w:t>
      </w:r>
    </w:p>
    <w:p w14:paraId="2B3D798C" w14:textId="15C66958" w:rsidR="002D256C" w:rsidRPr="000B6A21" w:rsidRDefault="00164E67" w:rsidP="000B6A21">
      <w:pPr>
        <w:spacing w:line="276" w:lineRule="auto"/>
        <w:ind w:left="-142"/>
        <w:jc w:val="both"/>
        <w:rPr>
          <w:rFonts w:ascii="Calibri" w:hAnsi="Calibri" w:cs="Calibri"/>
          <w:sz w:val="22"/>
          <w:szCs w:val="22"/>
        </w:rPr>
      </w:pPr>
      <w:r w:rsidRPr="00323B95">
        <w:rPr>
          <w:rFonts w:ascii="Calibri" w:hAnsi="Calibri" w:cs="Calibri"/>
          <w:sz w:val="22"/>
          <w:szCs w:val="22"/>
        </w:rPr>
        <w:t xml:space="preserve">A ANUG </w:t>
      </w:r>
      <w:r w:rsidR="00150FE7" w:rsidRPr="00323B95">
        <w:rPr>
          <w:rFonts w:ascii="Calibri" w:hAnsi="Calibri" w:cs="Calibri"/>
          <w:sz w:val="22"/>
          <w:szCs w:val="22"/>
        </w:rPr>
        <w:t xml:space="preserve">já </w:t>
      </w:r>
      <w:r w:rsidRPr="00323B95">
        <w:rPr>
          <w:rFonts w:ascii="Calibri" w:hAnsi="Calibri" w:cs="Calibri"/>
          <w:sz w:val="22"/>
          <w:szCs w:val="22"/>
        </w:rPr>
        <w:t xml:space="preserve">dirigiu ofícios </w:t>
      </w:r>
      <w:r w:rsidR="000B6A21" w:rsidRPr="00323B95">
        <w:rPr>
          <w:rFonts w:ascii="Calibri" w:hAnsi="Calibri" w:cs="Calibri"/>
          <w:sz w:val="22"/>
          <w:szCs w:val="22"/>
        </w:rPr>
        <w:t>às entidades competentes</w:t>
      </w:r>
      <w:r w:rsidRPr="00323B95">
        <w:rPr>
          <w:rFonts w:ascii="Calibri" w:hAnsi="Calibri" w:cs="Calibri"/>
          <w:sz w:val="22"/>
          <w:szCs w:val="22"/>
        </w:rPr>
        <w:t xml:space="preserve">, reiterando a necessidade de uma intervenção urgente </w:t>
      </w:r>
      <w:r w:rsidR="000B6A21" w:rsidRPr="00323B95">
        <w:rPr>
          <w:rFonts w:ascii="Calibri" w:hAnsi="Calibri" w:cs="Calibri"/>
          <w:sz w:val="22"/>
          <w:szCs w:val="22"/>
        </w:rPr>
        <w:t>que concretize a aprovação e publicação da nova nomenclatura e da nova tabela de Procedimentos de Gastrenterologia.</w:t>
      </w:r>
    </w:p>
    <w:p w14:paraId="53B85B12" w14:textId="77777777" w:rsidR="009047F7" w:rsidRDefault="009047F7" w:rsidP="009047F7">
      <w:pPr>
        <w:spacing w:line="276" w:lineRule="auto"/>
        <w:ind w:left="-142"/>
        <w:jc w:val="both"/>
        <w:rPr>
          <w:rFonts w:ascii="Calibri" w:eastAsia="Aptos" w:hAnsi="Calibri" w:cs="Calibri"/>
          <w:b/>
          <w:bCs/>
          <w:sz w:val="18"/>
          <w:szCs w:val="18"/>
        </w:rPr>
      </w:pPr>
    </w:p>
    <w:p w14:paraId="7FEE14C5" w14:textId="77777777" w:rsidR="004B52A7" w:rsidRPr="00FD3994" w:rsidRDefault="004B52A7" w:rsidP="004B52A7">
      <w:pPr>
        <w:spacing w:line="276" w:lineRule="auto"/>
        <w:ind w:left="-142"/>
        <w:jc w:val="both"/>
        <w:rPr>
          <w:rFonts w:ascii="Calibri" w:eastAsia="Aptos" w:hAnsi="Calibri" w:cs="Calibri"/>
          <w:b/>
          <w:bCs/>
          <w:sz w:val="18"/>
          <w:szCs w:val="18"/>
        </w:rPr>
      </w:pPr>
      <w:r w:rsidRPr="00FD3994">
        <w:rPr>
          <w:rFonts w:ascii="Calibri" w:eastAsia="Aptos" w:hAnsi="Calibri" w:cs="Calibri"/>
          <w:b/>
          <w:bCs/>
          <w:sz w:val="18"/>
          <w:szCs w:val="18"/>
        </w:rPr>
        <w:t>Sobre a Associação Nacional de Unidades de Gastrenterologia (ANUG)</w:t>
      </w:r>
    </w:p>
    <w:p w14:paraId="55A12716" w14:textId="62DB5CC6" w:rsidR="00FD3994" w:rsidRDefault="00FD3994" w:rsidP="00695722">
      <w:pPr>
        <w:spacing w:line="276" w:lineRule="auto"/>
        <w:ind w:left="-142"/>
        <w:jc w:val="both"/>
        <w:rPr>
          <w:rFonts w:ascii="Calibri" w:eastAsia="Aptos" w:hAnsi="Calibri" w:cs="Calibri"/>
          <w:sz w:val="18"/>
          <w:szCs w:val="18"/>
        </w:rPr>
      </w:pPr>
      <w:r w:rsidRPr="00FD3994">
        <w:rPr>
          <w:rFonts w:ascii="Calibri" w:eastAsia="Aptos" w:hAnsi="Calibri" w:cs="Calibri"/>
          <w:sz w:val="18"/>
          <w:szCs w:val="18"/>
        </w:rPr>
        <w:t xml:space="preserve">A ANUG — Associação Nacional de Unidades de Gastrenterologia é uma associação de empresas da área de endoscopia digestiva, constituída em março de 2026 e formalmente reconhecida como associação de empregadores após a publicação dos seus estatutos no Boletim do Trabalho e Emprego. Representa entidades privadas e convencionadas que atuam na Gastrenterologia e na Endoscopia Digestiva e integra a FNS. A base fundadora inclui grupos e unidades de </w:t>
      </w:r>
      <w:r w:rsidRPr="00FD3994">
        <w:rPr>
          <w:rFonts w:ascii="Calibri" w:eastAsia="Aptos" w:hAnsi="Calibri" w:cs="Calibri"/>
          <w:sz w:val="18"/>
          <w:szCs w:val="18"/>
        </w:rPr>
        <w:lastRenderedPageBreak/>
        <w:t>referência e representa a larga maioria da atividade do setor, encontrando-se em expansão. Mais informações em </w:t>
      </w:r>
      <w:hyperlink r:id="rId7" w:history="1">
        <w:r w:rsidRPr="00FD3994">
          <w:rPr>
            <w:rStyle w:val="Hiperligao"/>
            <w:rFonts w:ascii="Calibri" w:eastAsia="Aptos" w:hAnsi="Calibri" w:cs="Calibri"/>
            <w:sz w:val="18"/>
            <w:szCs w:val="18"/>
          </w:rPr>
          <w:t>Associação Nacional de Unidades de Gastrenterologia</w:t>
        </w:r>
      </w:hyperlink>
      <w:r w:rsidRPr="00FD3994">
        <w:rPr>
          <w:rFonts w:ascii="Calibri" w:eastAsia="Aptos" w:hAnsi="Calibri" w:cs="Calibri"/>
          <w:sz w:val="18"/>
          <w:szCs w:val="18"/>
        </w:rPr>
        <w:t>.</w:t>
      </w:r>
    </w:p>
    <w:p w14:paraId="7F455B71" w14:textId="77777777" w:rsidR="00695722" w:rsidRPr="00695722" w:rsidRDefault="00695722" w:rsidP="00695722">
      <w:pPr>
        <w:spacing w:line="276" w:lineRule="auto"/>
        <w:ind w:left="-142"/>
        <w:jc w:val="both"/>
        <w:rPr>
          <w:rFonts w:ascii="Calibri" w:eastAsia="Aptos" w:hAnsi="Calibri" w:cs="Calibri"/>
          <w:sz w:val="18"/>
          <w:szCs w:val="18"/>
        </w:rPr>
      </w:pPr>
    </w:p>
    <w:p w14:paraId="724F27D5" w14:textId="5D9CD0D9" w:rsidR="002D256C" w:rsidRPr="00FD3994" w:rsidRDefault="00BC5929" w:rsidP="002D256C">
      <w:pPr>
        <w:spacing w:line="276" w:lineRule="auto"/>
        <w:ind w:left="-142"/>
        <w:jc w:val="both"/>
        <w:rPr>
          <w:rFonts w:ascii="Calibri" w:eastAsia="Aptos" w:hAnsi="Calibri" w:cs="Calibri"/>
          <w:b/>
          <w:color w:val="000000"/>
          <w:sz w:val="20"/>
          <w:szCs w:val="20"/>
        </w:rPr>
      </w:pPr>
      <w:r w:rsidRPr="00FD3994">
        <w:rPr>
          <w:rFonts w:ascii="Calibri" w:eastAsia="Aptos" w:hAnsi="Calibri" w:cs="Calibri"/>
          <w:b/>
          <w:color w:val="000000"/>
          <w:sz w:val="20"/>
          <w:szCs w:val="20"/>
        </w:rPr>
        <w:t>Para mais informações contactar, por favor:</w:t>
      </w:r>
      <w:r w:rsidR="002D256C" w:rsidRPr="00FD3994">
        <w:rPr>
          <w:rFonts w:ascii="Calibri" w:eastAsia="Aptos" w:hAnsi="Calibri" w:cs="Calibri"/>
          <w:b/>
          <w:color w:val="000000"/>
          <w:sz w:val="20"/>
          <w:szCs w:val="20"/>
        </w:rPr>
        <w:t xml:space="preserve"> </w:t>
      </w:r>
    </w:p>
    <w:p w14:paraId="4DD8FE74" w14:textId="1DD32C27" w:rsidR="002D256C" w:rsidRDefault="00BC5929" w:rsidP="002D256C">
      <w:pPr>
        <w:spacing w:after="0" w:line="240" w:lineRule="auto"/>
        <w:ind w:left="-142"/>
        <w:jc w:val="both"/>
        <w:rPr>
          <w:rFonts w:ascii="Calibri" w:eastAsia="Aptos" w:hAnsi="Calibri" w:cs="Calibri"/>
          <w:color w:val="000000"/>
          <w:sz w:val="20"/>
          <w:szCs w:val="20"/>
        </w:rPr>
      </w:pPr>
      <w:r w:rsidRPr="00FD3994">
        <w:rPr>
          <w:rFonts w:ascii="Calibri" w:eastAsia="Aptos" w:hAnsi="Calibri" w:cs="Calibri"/>
          <w:color w:val="000000"/>
          <w:sz w:val="20"/>
          <w:szCs w:val="20"/>
        </w:rPr>
        <w:t xml:space="preserve">Matilde Branco | </w:t>
      </w:r>
      <w:hyperlink r:id="rId8" w:history="1">
        <w:r w:rsidRPr="00FD3994">
          <w:rPr>
            <w:rStyle w:val="Hiperligao"/>
            <w:rFonts w:ascii="Calibri" w:eastAsia="Aptos" w:hAnsi="Calibri" w:cs="Calibri"/>
            <w:sz w:val="20"/>
            <w:szCs w:val="20"/>
          </w:rPr>
          <w:t>matilde.branco@lift.com.pt</w:t>
        </w:r>
      </w:hyperlink>
      <w:r w:rsidRPr="00FD3994">
        <w:rPr>
          <w:rFonts w:ascii="Calibri" w:eastAsia="Aptos" w:hAnsi="Calibri" w:cs="Calibri"/>
          <w:color w:val="000000"/>
          <w:sz w:val="20"/>
          <w:szCs w:val="20"/>
        </w:rPr>
        <w:t xml:space="preserve"> | 914 417</w:t>
      </w:r>
      <w:r w:rsidR="009C0656">
        <w:rPr>
          <w:rFonts w:ascii="Calibri" w:eastAsia="Aptos" w:hAnsi="Calibri" w:cs="Calibri"/>
          <w:color w:val="000000"/>
          <w:sz w:val="20"/>
          <w:szCs w:val="20"/>
        </w:rPr>
        <w:t> </w:t>
      </w:r>
      <w:r w:rsidRPr="00FD3994">
        <w:rPr>
          <w:rFonts w:ascii="Calibri" w:eastAsia="Aptos" w:hAnsi="Calibri" w:cs="Calibri"/>
          <w:color w:val="000000"/>
          <w:sz w:val="20"/>
          <w:szCs w:val="20"/>
        </w:rPr>
        <w:t>504</w:t>
      </w:r>
    </w:p>
    <w:p w14:paraId="518F13CB" w14:textId="4951A2EB" w:rsidR="009C0656" w:rsidRPr="00FD3994" w:rsidRDefault="009C0656" w:rsidP="009C0656">
      <w:pPr>
        <w:spacing w:after="0" w:line="240" w:lineRule="auto"/>
        <w:ind w:left="-142"/>
        <w:jc w:val="both"/>
        <w:rPr>
          <w:rFonts w:ascii="Calibri" w:eastAsia="Aptos" w:hAnsi="Calibri" w:cs="Calibri"/>
          <w:color w:val="000000"/>
          <w:sz w:val="20"/>
          <w:szCs w:val="20"/>
        </w:rPr>
      </w:pPr>
      <w:r w:rsidRPr="00FD3994">
        <w:rPr>
          <w:rFonts w:ascii="Calibri" w:eastAsia="Aptos" w:hAnsi="Calibri" w:cs="Calibri"/>
          <w:color w:val="000000"/>
          <w:sz w:val="20"/>
          <w:szCs w:val="20"/>
        </w:rPr>
        <w:t xml:space="preserve">Anabela Pereira | </w:t>
      </w:r>
      <w:hyperlink r:id="rId9" w:history="1">
        <w:r w:rsidRPr="00FD3994">
          <w:rPr>
            <w:rFonts w:ascii="Calibri" w:eastAsia="Aptos" w:hAnsi="Calibri" w:cs="Calibri"/>
            <w:color w:val="467886"/>
            <w:sz w:val="20"/>
            <w:szCs w:val="20"/>
            <w:u w:val="single"/>
          </w:rPr>
          <w:t>anabela@pereira@lift.com.pt</w:t>
        </w:r>
      </w:hyperlink>
      <w:r w:rsidRPr="00FD3994">
        <w:rPr>
          <w:rFonts w:ascii="Calibri" w:eastAsia="Aptos" w:hAnsi="Calibri" w:cs="Calibri"/>
          <w:color w:val="000000"/>
          <w:sz w:val="20"/>
          <w:szCs w:val="20"/>
        </w:rPr>
        <w:t xml:space="preserve"> | 936 282</w:t>
      </w:r>
      <w:r>
        <w:rPr>
          <w:rFonts w:ascii="Calibri" w:eastAsia="Aptos" w:hAnsi="Calibri" w:cs="Calibri"/>
          <w:color w:val="000000"/>
          <w:sz w:val="20"/>
          <w:szCs w:val="20"/>
        </w:rPr>
        <w:t> </w:t>
      </w:r>
      <w:r w:rsidRPr="00FD3994">
        <w:rPr>
          <w:rFonts w:ascii="Calibri" w:eastAsia="Aptos" w:hAnsi="Calibri" w:cs="Calibri"/>
          <w:color w:val="000000"/>
          <w:sz w:val="20"/>
          <w:szCs w:val="20"/>
        </w:rPr>
        <w:t>863</w:t>
      </w:r>
    </w:p>
    <w:p w14:paraId="2C5C7513" w14:textId="77777777" w:rsidR="009C0656" w:rsidRPr="00FD3994" w:rsidRDefault="009C0656" w:rsidP="002D256C">
      <w:pPr>
        <w:spacing w:after="0" w:line="240" w:lineRule="auto"/>
        <w:ind w:left="-142"/>
        <w:jc w:val="both"/>
        <w:rPr>
          <w:rFonts w:ascii="Calibri" w:eastAsia="Aptos" w:hAnsi="Calibri" w:cs="Calibri"/>
          <w:color w:val="000000"/>
          <w:sz w:val="20"/>
          <w:szCs w:val="20"/>
        </w:rPr>
      </w:pPr>
    </w:p>
    <w:p w14:paraId="6ED35F08" w14:textId="303ED3A2" w:rsidR="00BC5929" w:rsidRPr="00FD3994" w:rsidRDefault="00BC5929" w:rsidP="002D256C">
      <w:pPr>
        <w:spacing w:after="0" w:line="240" w:lineRule="auto"/>
        <w:ind w:left="-142"/>
        <w:jc w:val="both"/>
        <w:rPr>
          <w:sz w:val="20"/>
          <w:szCs w:val="20"/>
        </w:rPr>
      </w:pPr>
    </w:p>
    <w:sectPr w:rsidR="00BC5929" w:rsidRPr="00FD3994" w:rsidSect="00645EE6">
      <w:headerReference w:type="default" r:id="rId10"/>
      <w:pgSz w:w="11906" w:h="16838"/>
      <w:pgMar w:top="2164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C5B06" w14:textId="77777777" w:rsidR="002F5E9C" w:rsidRDefault="002F5E9C" w:rsidP="00BC5929">
      <w:pPr>
        <w:spacing w:after="0" w:line="240" w:lineRule="auto"/>
      </w:pPr>
      <w:r>
        <w:separator/>
      </w:r>
    </w:p>
  </w:endnote>
  <w:endnote w:type="continuationSeparator" w:id="0">
    <w:p w14:paraId="255E5284" w14:textId="77777777" w:rsidR="002F5E9C" w:rsidRDefault="002F5E9C" w:rsidP="00BC5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DB843" w14:textId="77777777" w:rsidR="002F5E9C" w:rsidRDefault="002F5E9C" w:rsidP="00BC5929">
      <w:pPr>
        <w:spacing w:after="0" w:line="240" w:lineRule="auto"/>
      </w:pPr>
      <w:r>
        <w:separator/>
      </w:r>
    </w:p>
  </w:footnote>
  <w:footnote w:type="continuationSeparator" w:id="0">
    <w:p w14:paraId="30FBEDC0" w14:textId="77777777" w:rsidR="002F5E9C" w:rsidRDefault="002F5E9C" w:rsidP="00BC5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78A3B" w14:textId="2BA2E17C" w:rsidR="00E518AD" w:rsidRDefault="00645EE6" w:rsidP="002F2850">
    <w:pPr>
      <w:pStyle w:val="Cabealho"/>
      <w:rPr>
        <w:noProof/>
      </w:rPr>
    </w:pPr>
    <w:r w:rsidRPr="002B7CFE">
      <w:rPr>
        <w:noProof/>
      </w:rPr>
      <w:drawing>
        <wp:anchor distT="0" distB="0" distL="114300" distR="114300" simplePos="0" relativeHeight="251658240" behindDoc="0" locked="0" layoutInCell="1" allowOverlap="1" wp14:anchorId="535B2889" wp14:editId="40DA81F7">
          <wp:simplePos x="0" y="0"/>
          <wp:positionH relativeFrom="column">
            <wp:posOffset>-559435</wp:posOffset>
          </wp:positionH>
          <wp:positionV relativeFrom="paragraph">
            <wp:posOffset>187960</wp:posOffset>
          </wp:positionV>
          <wp:extent cx="2156460" cy="908050"/>
          <wp:effectExtent l="0" t="0" r="0" b="6350"/>
          <wp:wrapSquare wrapText="bothSides"/>
          <wp:docPr id="1514743898" name="Imagem 1">
            <a:extLst xmlns:a="http://schemas.openxmlformats.org/drawingml/2006/main">
              <a:ext uri="{FF2B5EF4-FFF2-40B4-BE49-F238E27FC236}">
                <a16:creationId xmlns:a16="http://schemas.microsoft.com/office/drawing/2014/main" id="{0DA76168-D672-4E80-9F18-D62AC301ECB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FCFBFD"/>
                      </a:clrFrom>
                      <a:clrTo>
                        <a:srgbClr val="FCFB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94"/>
                  <a:stretch>
                    <a:fillRect/>
                  </a:stretch>
                </pic:blipFill>
                <pic:spPr bwMode="auto">
                  <a:xfrm>
                    <a:off x="0" y="0"/>
                    <a:ext cx="215646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2AD824" w14:textId="08D9EE98" w:rsidR="00176FF9" w:rsidRDefault="00176FF9" w:rsidP="002F2850">
    <w:pPr>
      <w:pStyle w:val="Cabealho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E1B39"/>
    <w:multiLevelType w:val="hybridMultilevel"/>
    <w:tmpl w:val="0778C59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010DD"/>
    <w:multiLevelType w:val="hybridMultilevel"/>
    <w:tmpl w:val="3544E5C8"/>
    <w:lvl w:ilvl="0" w:tplc="08160001">
      <w:start w:val="1"/>
      <w:numFmt w:val="bullet"/>
      <w:lvlText w:val=""/>
      <w:lvlJc w:val="left"/>
      <w:pPr>
        <w:ind w:left="688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760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832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904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976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1048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1120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1192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12641" w:hanging="360"/>
      </w:pPr>
      <w:rPr>
        <w:rFonts w:ascii="Wingdings" w:hAnsi="Wingdings" w:hint="default"/>
      </w:rPr>
    </w:lvl>
  </w:abstractNum>
  <w:abstractNum w:abstractNumId="2" w15:restartNumberingAfterBreak="0">
    <w:nsid w:val="6305796B"/>
    <w:multiLevelType w:val="hybridMultilevel"/>
    <w:tmpl w:val="B7B4E3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75C60"/>
    <w:multiLevelType w:val="hybridMultilevel"/>
    <w:tmpl w:val="D6D648AA"/>
    <w:lvl w:ilvl="0" w:tplc="AC04B42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734518">
    <w:abstractNumId w:val="2"/>
  </w:num>
  <w:num w:numId="2" w16cid:durableId="1270967546">
    <w:abstractNumId w:val="0"/>
  </w:num>
  <w:num w:numId="3" w16cid:durableId="1564753912">
    <w:abstractNumId w:val="3"/>
  </w:num>
  <w:num w:numId="4" w16cid:durableId="196085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929"/>
    <w:rsid w:val="000037C7"/>
    <w:rsid w:val="000068E4"/>
    <w:rsid w:val="00010C95"/>
    <w:rsid w:val="00013C8B"/>
    <w:rsid w:val="00013DCE"/>
    <w:rsid w:val="00017C60"/>
    <w:rsid w:val="00022CCC"/>
    <w:rsid w:val="00045986"/>
    <w:rsid w:val="00050C5B"/>
    <w:rsid w:val="00067CDD"/>
    <w:rsid w:val="0007495C"/>
    <w:rsid w:val="000774F2"/>
    <w:rsid w:val="000A0CCA"/>
    <w:rsid w:val="000A27AD"/>
    <w:rsid w:val="000A3A62"/>
    <w:rsid w:val="000A71B1"/>
    <w:rsid w:val="000A72D7"/>
    <w:rsid w:val="000B04D5"/>
    <w:rsid w:val="000B305D"/>
    <w:rsid w:val="000B6A21"/>
    <w:rsid w:val="000C11ED"/>
    <w:rsid w:val="000D7351"/>
    <w:rsid w:val="000E20AF"/>
    <w:rsid w:val="000E4C48"/>
    <w:rsid w:val="000F7835"/>
    <w:rsid w:val="00113D44"/>
    <w:rsid w:val="001211C3"/>
    <w:rsid w:val="00121564"/>
    <w:rsid w:val="001228EE"/>
    <w:rsid w:val="00150FE7"/>
    <w:rsid w:val="00153D38"/>
    <w:rsid w:val="00164E67"/>
    <w:rsid w:val="00173F1A"/>
    <w:rsid w:val="00175D7D"/>
    <w:rsid w:val="00176FF9"/>
    <w:rsid w:val="00177670"/>
    <w:rsid w:val="001A0140"/>
    <w:rsid w:val="001A303E"/>
    <w:rsid w:val="001C4161"/>
    <w:rsid w:val="001C613C"/>
    <w:rsid w:val="001D3449"/>
    <w:rsid w:val="001D3FD7"/>
    <w:rsid w:val="001D5942"/>
    <w:rsid w:val="001E09AA"/>
    <w:rsid w:val="001E2699"/>
    <w:rsid w:val="001E3065"/>
    <w:rsid w:val="001E58E8"/>
    <w:rsid w:val="001F1291"/>
    <w:rsid w:val="001F23D4"/>
    <w:rsid w:val="001F5E01"/>
    <w:rsid w:val="001F6CEF"/>
    <w:rsid w:val="00200459"/>
    <w:rsid w:val="002060DD"/>
    <w:rsid w:val="00206DDF"/>
    <w:rsid w:val="00207145"/>
    <w:rsid w:val="002153F8"/>
    <w:rsid w:val="00225C99"/>
    <w:rsid w:val="00230D0E"/>
    <w:rsid w:val="00232161"/>
    <w:rsid w:val="00233A76"/>
    <w:rsid w:val="002367A3"/>
    <w:rsid w:val="00237885"/>
    <w:rsid w:val="002416BA"/>
    <w:rsid w:val="00245EA3"/>
    <w:rsid w:val="00246FB4"/>
    <w:rsid w:val="00250891"/>
    <w:rsid w:val="00251AE9"/>
    <w:rsid w:val="002523EF"/>
    <w:rsid w:val="002523F5"/>
    <w:rsid w:val="002566E6"/>
    <w:rsid w:val="00257D79"/>
    <w:rsid w:val="00266FA1"/>
    <w:rsid w:val="00274F1B"/>
    <w:rsid w:val="00276014"/>
    <w:rsid w:val="00280848"/>
    <w:rsid w:val="00280CCF"/>
    <w:rsid w:val="0028174E"/>
    <w:rsid w:val="00283907"/>
    <w:rsid w:val="00285804"/>
    <w:rsid w:val="0028649C"/>
    <w:rsid w:val="002866C6"/>
    <w:rsid w:val="00287BE1"/>
    <w:rsid w:val="00294A40"/>
    <w:rsid w:val="002956C5"/>
    <w:rsid w:val="00296FBB"/>
    <w:rsid w:val="00297BBC"/>
    <w:rsid w:val="002A0C87"/>
    <w:rsid w:val="002A5E19"/>
    <w:rsid w:val="002A7CA7"/>
    <w:rsid w:val="002B0134"/>
    <w:rsid w:val="002B5314"/>
    <w:rsid w:val="002B762D"/>
    <w:rsid w:val="002B7CFE"/>
    <w:rsid w:val="002C0FFE"/>
    <w:rsid w:val="002C2EBB"/>
    <w:rsid w:val="002C739F"/>
    <w:rsid w:val="002D07D6"/>
    <w:rsid w:val="002D256C"/>
    <w:rsid w:val="002D2C9B"/>
    <w:rsid w:val="002D5899"/>
    <w:rsid w:val="002D60DA"/>
    <w:rsid w:val="002D776D"/>
    <w:rsid w:val="002D77F8"/>
    <w:rsid w:val="002E03D6"/>
    <w:rsid w:val="002E05C8"/>
    <w:rsid w:val="002E59C5"/>
    <w:rsid w:val="002F1B55"/>
    <w:rsid w:val="002F2850"/>
    <w:rsid w:val="002F5E9C"/>
    <w:rsid w:val="00300231"/>
    <w:rsid w:val="00310F59"/>
    <w:rsid w:val="00317855"/>
    <w:rsid w:val="0032254D"/>
    <w:rsid w:val="00323365"/>
    <w:rsid w:val="00323B95"/>
    <w:rsid w:val="00330A34"/>
    <w:rsid w:val="0034458D"/>
    <w:rsid w:val="00344F17"/>
    <w:rsid w:val="00346EE9"/>
    <w:rsid w:val="00353B44"/>
    <w:rsid w:val="00362863"/>
    <w:rsid w:val="00375D9C"/>
    <w:rsid w:val="0037651A"/>
    <w:rsid w:val="0038148E"/>
    <w:rsid w:val="00381E94"/>
    <w:rsid w:val="0038482D"/>
    <w:rsid w:val="0038751A"/>
    <w:rsid w:val="003913B3"/>
    <w:rsid w:val="003A161C"/>
    <w:rsid w:val="003A1945"/>
    <w:rsid w:val="003A64DB"/>
    <w:rsid w:val="003B6354"/>
    <w:rsid w:val="003B7B2C"/>
    <w:rsid w:val="003B7DF4"/>
    <w:rsid w:val="003C17F0"/>
    <w:rsid w:val="003C4379"/>
    <w:rsid w:val="003D07C3"/>
    <w:rsid w:val="003E0523"/>
    <w:rsid w:val="003E4384"/>
    <w:rsid w:val="003F1200"/>
    <w:rsid w:val="003F3E5D"/>
    <w:rsid w:val="00404387"/>
    <w:rsid w:val="004178D8"/>
    <w:rsid w:val="00417C49"/>
    <w:rsid w:val="004217DC"/>
    <w:rsid w:val="00424C29"/>
    <w:rsid w:val="004302B5"/>
    <w:rsid w:val="00431529"/>
    <w:rsid w:val="004358FA"/>
    <w:rsid w:val="00442363"/>
    <w:rsid w:val="00442B63"/>
    <w:rsid w:val="00446FE7"/>
    <w:rsid w:val="004504AA"/>
    <w:rsid w:val="004527D2"/>
    <w:rsid w:val="004646F2"/>
    <w:rsid w:val="004664FC"/>
    <w:rsid w:val="00471EA0"/>
    <w:rsid w:val="004749E4"/>
    <w:rsid w:val="00480333"/>
    <w:rsid w:val="00485159"/>
    <w:rsid w:val="004862AC"/>
    <w:rsid w:val="004A11FA"/>
    <w:rsid w:val="004A277D"/>
    <w:rsid w:val="004A670D"/>
    <w:rsid w:val="004A6E41"/>
    <w:rsid w:val="004B52A7"/>
    <w:rsid w:val="004B5450"/>
    <w:rsid w:val="004C5BFD"/>
    <w:rsid w:val="004C69D1"/>
    <w:rsid w:val="004C6FA9"/>
    <w:rsid w:val="004D28A0"/>
    <w:rsid w:val="004D2FFF"/>
    <w:rsid w:val="004D3522"/>
    <w:rsid w:val="004E2ABD"/>
    <w:rsid w:val="004E2CFD"/>
    <w:rsid w:val="004E3833"/>
    <w:rsid w:val="004E4B3F"/>
    <w:rsid w:val="004E7A09"/>
    <w:rsid w:val="004F228B"/>
    <w:rsid w:val="004F2CF4"/>
    <w:rsid w:val="004F410F"/>
    <w:rsid w:val="0050034A"/>
    <w:rsid w:val="00511FE9"/>
    <w:rsid w:val="00512DDA"/>
    <w:rsid w:val="00533B26"/>
    <w:rsid w:val="0053568C"/>
    <w:rsid w:val="00535FE5"/>
    <w:rsid w:val="00550335"/>
    <w:rsid w:val="00556D5D"/>
    <w:rsid w:val="00562052"/>
    <w:rsid w:val="0058129E"/>
    <w:rsid w:val="00590C5B"/>
    <w:rsid w:val="005951AF"/>
    <w:rsid w:val="005A08A1"/>
    <w:rsid w:val="005D224A"/>
    <w:rsid w:val="005D2AB1"/>
    <w:rsid w:val="005D2CED"/>
    <w:rsid w:val="005D55E7"/>
    <w:rsid w:val="005D760C"/>
    <w:rsid w:val="005E1689"/>
    <w:rsid w:val="005E3B2F"/>
    <w:rsid w:val="005F6945"/>
    <w:rsid w:val="006130AE"/>
    <w:rsid w:val="006208EF"/>
    <w:rsid w:val="00626E1A"/>
    <w:rsid w:val="00627A89"/>
    <w:rsid w:val="00633CE6"/>
    <w:rsid w:val="00637E17"/>
    <w:rsid w:val="00645EE6"/>
    <w:rsid w:val="0064642A"/>
    <w:rsid w:val="00651B3E"/>
    <w:rsid w:val="00654B43"/>
    <w:rsid w:val="00664936"/>
    <w:rsid w:val="0066730C"/>
    <w:rsid w:val="006770AA"/>
    <w:rsid w:val="00686C7F"/>
    <w:rsid w:val="00695722"/>
    <w:rsid w:val="006A14BF"/>
    <w:rsid w:val="006A1A96"/>
    <w:rsid w:val="006B0316"/>
    <w:rsid w:val="006B2CBF"/>
    <w:rsid w:val="006B50C3"/>
    <w:rsid w:val="006B6CC3"/>
    <w:rsid w:val="006C3131"/>
    <w:rsid w:val="006D33AD"/>
    <w:rsid w:val="006E31C1"/>
    <w:rsid w:val="00700389"/>
    <w:rsid w:val="00716804"/>
    <w:rsid w:val="007216F6"/>
    <w:rsid w:val="00723095"/>
    <w:rsid w:val="00726694"/>
    <w:rsid w:val="00727FBA"/>
    <w:rsid w:val="00730889"/>
    <w:rsid w:val="00733611"/>
    <w:rsid w:val="00740266"/>
    <w:rsid w:val="00754BDC"/>
    <w:rsid w:val="0076687E"/>
    <w:rsid w:val="007725FA"/>
    <w:rsid w:val="00776106"/>
    <w:rsid w:val="007761F1"/>
    <w:rsid w:val="00776D9E"/>
    <w:rsid w:val="00786EC6"/>
    <w:rsid w:val="007A0375"/>
    <w:rsid w:val="007A37D2"/>
    <w:rsid w:val="007A409F"/>
    <w:rsid w:val="007A4D25"/>
    <w:rsid w:val="007B3041"/>
    <w:rsid w:val="007B4C4D"/>
    <w:rsid w:val="007C1E3C"/>
    <w:rsid w:val="007C3184"/>
    <w:rsid w:val="007C6A60"/>
    <w:rsid w:val="007D4A27"/>
    <w:rsid w:val="007E1304"/>
    <w:rsid w:val="007F08E9"/>
    <w:rsid w:val="007F20E2"/>
    <w:rsid w:val="00801E12"/>
    <w:rsid w:val="0080303E"/>
    <w:rsid w:val="00807E8D"/>
    <w:rsid w:val="00811015"/>
    <w:rsid w:val="00815182"/>
    <w:rsid w:val="00817698"/>
    <w:rsid w:val="00820614"/>
    <w:rsid w:val="008322FB"/>
    <w:rsid w:val="00835384"/>
    <w:rsid w:val="0083665C"/>
    <w:rsid w:val="008369FD"/>
    <w:rsid w:val="00842795"/>
    <w:rsid w:val="00844EC3"/>
    <w:rsid w:val="00845282"/>
    <w:rsid w:val="0085182E"/>
    <w:rsid w:val="00852663"/>
    <w:rsid w:val="00854D94"/>
    <w:rsid w:val="00855F88"/>
    <w:rsid w:val="00865031"/>
    <w:rsid w:val="008659EA"/>
    <w:rsid w:val="00871B98"/>
    <w:rsid w:val="008737B9"/>
    <w:rsid w:val="008743EC"/>
    <w:rsid w:val="00886FA6"/>
    <w:rsid w:val="00890D9B"/>
    <w:rsid w:val="008A0FAF"/>
    <w:rsid w:val="008A4EF5"/>
    <w:rsid w:val="008A6D8B"/>
    <w:rsid w:val="008B0000"/>
    <w:rsid w:val="008C0805"/>
    <w:rsid w:val="008C21C1"/>
    <w:rsid w:val="008C4410"/>
    <w:rsid w:val="008C47FA"/>
    <w:rsid w:val="008D4FCF"/>
    <w:rsid w:val="008E198B"/>
    <w:rsid w:val="008E2DDD"/>
    <w:rsid w:val="008E51F8"/>
    <w:rsid w:val="008F42F4"/>
    <w:rsid w:val="008F6452"/>
    <w:rsid w:val="009047F7"/>
    <w:rsid w:val="009052E4"/>
    <w:rsid w:val="009144F2"/>
    <w:rsid w:val="009219C3"/>
    <w:rsid w:val="00923DE0"/>
    <w:rsid w:val="009331A6"/>
    <w:rsid w:val="0093522F"/>
    <w:rsid w:val="00944AA6"/>
    <w:rsid w:val="00952427"/>
    <w:rsid w:val="00956C89"/>
    <w:rsid w:val="00960CEE"/>
    <w:rsid w:val="00971DCD"/>
    <w:rsid w:val="00971EE8"/>
    <w:rsid w:val="00976118"/>
    <w:rsid w:val="00976A33"/>
    <w:rsid w:val="00981C82"/>
    <w:rsid w:val="00992D1D"/>
    <w:rsid w:val="009A0D81"/>
    <w:rsid w:val="009B02A1"/>
    <w:rsid w:val="009C0656"/>
    <w:rsid w:val="009C06DD"/>
    <w:rsid w:val="009C327D"/>
    <w:rsid w:val="009D1A25"/>
    <w:rsid w:val="009F13CD"/>
    <w:rsid w:val="00A01123"/>
    <w:rsid w:val="00A0198F"/>
    <w:rsid w:val="00A03D73"/>
    <w:rsid w:val="00A12696"/>
    <w:rsid w:val="00A162DF"/>
    <w:rsid w:val="00A179C3"/>
    <w:rsid w:val="00A24F47"/>
    <w:rsid w:val="00A33689"/>
    <w:rsid w:val="00A41E47"/>
    <w:rsid w:val="00A43F1B"/>
    <w:rsid w:val="00A46802"/>
    <w:rsid w:val="00A54042"/>
    <w:rsid w:val="00A54851"/>
    <w:rsid w:val="00A60A7B"/>
    <w:rsid w:val="00A614D7"/>
    <w:rsid w:val="00A71DE3"/>
    <w:rsid w:val="00A80D18"/>
    <w:rsid w:val="00A81703"/>
    <w:rsid w:val="00A84A23"/>
    <w:rsid w:val="00A94B2D"/>
    <w:rsid w:val="00A9547F"/>
    <w:rsid w:val="00A95DE6"/>
    <w:rsid w:val="00AC443B"/>
    <w:rsid w:val="00AC5AF4"/>
    <w:rsid w:val="00AD0589"/>
    <w:rsid w:val="00AD2BA8"/>
    <w:rsid w:val="00AD2D85"/>
    <w:rsid w:val="00AD3DB4"/>
    <w:rsid w:val="00AD3FEB"/>
    <w:rsid w:val="00AD5812"/>
    <w:rsid w:val="00AD71D9"/>
    <w:rsid w:val="00AD78D6"/>
    <w:rsid w:val="00AF0FA9"/>
    <w:rsid w:val="00AF2125"/>
    <w:rsid w:val="00AF562F"/>
    <w:rsid w:val="00AF62EB"/>
    <w:rsid w:val="00B070E9"/>
    <w:rsid w:val="00B07134"/>
    <w:rsid w:val="00B126A8"/>
    <w:rsid w:val="00B13FBB"/>
    <w:rsid w:val="00B159FA"/>
    <w:rsid w:val="00B3240D"/>
    <w:rsid w:val="00B402CD"/>
    <w:rsid w:val="00B413E0"/>
    <w:rsid w:val="00B45583"/>
    <w:rsid w:val="00B54EAB"/>
    <w:rsid w:val="00B607A3"/>
    <w:rsid w:val="00B76FE6"/>
    <w:rsid w:val="00B80F65"/>
    <w:rsid w:val="00B815D9"/>
    <w:rsid w:val="00B83899"/>
    <w:rsid w:val="00B865BB"/>
    <w:rsid w:val="00B93FCB"/>
    <w:rsid w:val="00B973C3"/>
    <w:rsid w:val="00BA5FD5"/>
    <w:rsid w:val="00BA7DBB"/>
    <w:rsid w:val="00BB0B33"/>
    <w:rsid w:val="00BB5175"/>
    <w:rsid w:val="00BB5E81"/>
    <w:rsid w:val="00BB793B"/>
    <w:rsid w:val="00BC5929"/>
    <w:rsid w:val="00BD317E"/>
    <w:rsid w:val="00BE66C6"/>
    <w:rsid w:val="00BF52F5"/>
    <w:rsid w:val="00BF68B7"/>
    <w:rsid w:val="00C106FA"/>
    <w:rsid w:val="00C124D3"/>
    <w:rsid w:val="00C1285E"/>
    <w:rsid w:val="00C32E7B"/>
    <w:rsid w:val="00C41342"/>
    <w:rsid w:val="00C4282E"/>
    <w:rsid w:val="00C439FE"/>
    <w:rsid w:val="00C47773"/>
    <w:rsid w:val="00C47DDA"/>
    <w:rsid w:val="00C5428C"/>
    <w:rsid w:val="00C62D2F"/>
    <w:rsid w:val="00C62F8D"/>
    <w:rsid w:val="00C741B6"/>
    <w:rsid w:val="00C85D0F"/>
    <w:rsid w:val="00C945B1"/>
    <w:rsid w:val="00CA07F7"/>
    <w:rsid w:val="00CA381D"/>
    <w:rsid w:val="00CB2C24"/>
    <w:rsid w:val="00CC566A"/>
    <w:rsid w:val="00CD49CE"/>
    <w:rsid w:val="00CE4F16"/>
    <w:rsid w:val="00CE76E5"/>
    <w:rsid w:val="00CF0E3E"/>
    <w:rsid w:val="00CF1AED"/>
    <w:rsid w:val="00CF2863"/>
    <w:rsid w:val="00D04AA7"/>
    <w:rsid w:val="00D05FB6"/>
    <w:rsid w:val="00D06459"/>
    <w:rsid w:val="00D10118"/>
    <w:rsid w:val="00D10782"/>
    <w:rsid w:val="00D25C26"/>
    <w:rsid w:val="00D263B9"/>
    <w:rsid w:val="00D4016B"/>
    <w:rsid w:val="00D419D7"/>
    <w:rsid w:val="00D46D18"/>
    <w:rsid w:val="00D53378"/>
    <w:rsid w:val="00D6513F"/>
    <w:rsid w:val="00D71AE3"/>
    <w:rsid w:val="00D763E1"/>
    <w:rsid w:val="00D80B22"/>
    <w:rsid w:val="00DA0B6C"/>
    <w:rsid w:val="00DA398E"/>
    <w:rsid w:val="00DB159B"/>
    <w:rsid w:val="00DB1BDA"/>
    <w:rsid w:val="00DB3423"/>
    <w:rsid w:val="00DC05C5"/>
    <w:rsid w:val="00DC2061"/>
    <w:rsid w:val="00DC43E6"/>
    <w:rsid w:val="00DC7DD0"/>
    <w:rsid w:val="00DE1669"/>
    <w:rsid w:val="00DE3839"/>
    <w:rsid w:val="00DE68E7"/>
    <w:rsid w:val="00DF3EF2"/>
    <w:rsid w:val="00DF421F"/>
    <w:rsid w:val="00DF5448"/>
    <w:rsid w:val="00E111CC"/>
    <w:rsid w:val="00E1121A"/>
    <w:rsid w:val="00E12513"/>
    <w:rsid w:val="00E13427"/>
    <w:rsid w:val="00E14925"/>
    <w:rsid w:val="00E21EBA"/>
    <w:rsid w:val="00E228ED"/>
    <w:rsid w:val="00E230F1"/>
    <w:rsid w:val="00E24170"/>
    <w:rsid w:val="00E3395C"/>
    <w:rsid w:val="00E34DF5"/>
    <w:rsid w:val="00E3536C"/>
    <w:rsid w:val="00E518AD"/>
    <w:rsid w:val="00E5405B"/>
    <w:rsid w:val="00E60F98"/>
    <w:rsid w:val="00E6536F"/>
    <w:rsid w:val="00E66F40"/>
    <w:rsid w:val="00E71541"/>
    <w:rsid w:val="00E72F05"/>
    <w:rsid w:val="00E75A69"/>
    <w:rsid w:val="00E7622E"/>
    <w:rsid w:val="00E762B8"/>
    <w:rsid w:val="00E845E1"/>
    <w:rsid w:val="00E85FFE"/>
    <w:rsid w:val="00E92202"/>
    <w:rsid w:val="00E9234C"/>
    <w:rsid w:val="00E94D77"/>
    <w:rsid w:val="00E95063"/>
    <w:rsid w:val="00E960C1"/>
    <w:rsid w:val="00E9745C"/>
    <w:rsid w:val="00EB295A"/>
    <w:rsid w:val="00EB5527"/>
    <w:rsid w:val="00EB737F"/>
    <w:rsid w:val="00EB7AAB"/>
    <w:rsid w:val="00EC1CC6"/>
    <w:rsid w:val="00ED0ADD"/>
    <w:rsid w:val="00ED1AF4"/>
    <w:rsid w:val="00EE0D86"/>
    <w:rsid w:val="00EE2870"/>
    <w:rsid w:val="00EE2CAD"/>
    <w:rsid w:val="00EF03E1"/>
    <w:rsid w:val="00EF4297"/>
    <w:rsid w:val="00EF6397"/>
    <w:rsid w:val="00EF6C19"/>
    <w:rsid w:val="00F033A1"/>
    <w:rsid w:val="00F12269"/>
    <w:rsid w:val="00F13AEF"/>
    <w:rsid w:val="00F17015"/>
    <w:rsid w:val="00F22436"/>
    <w:rsid w:val="00F43B28"/>
    <w:rsid w:val="00F47C93"/>
    <w:rsid w:val="00F81A94"/>
    <w:rsid w:val="00F83CD2"/>
    <w:rsid w:val="00FB2BEE"/>
    <w:rsid w:val="00FC0DDD"/>
    <w:rsid w:val="00FC473B"/>
    <w:rsid w:val="00FC6B71"/>
    <w:rsid w:val="00FD3994"/>
    <w:rsid w:val="00FD3B14"/>
    <w:rsid w:val="00FE3C70"/>
    <w:rsid w:val="00FF6DEE"/>
    <w:rsid w:val="04E52406"/>
    <w:rsid w:val="0EF14FB3"/>
    <w:rsid w:val="21FF19A1"/>
    <w:rsid w:val="57C18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F07E38"/>
  <w15:chartTrackingRefBased/>
  <w15:docId w15:val="{0A191F74-89A9-47E6-AE1D-06D4A0FF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D25"/>
  </w:style>
  <w:style w:type="paragraph" w:styleId="Ttulo1">
    <w:name w:val="heading 1"/>
    <w:basedOn w:val="Normal"/>
    <w:next w:val="Normal"/>
    <w:link w:val="Ttulo1Carter"/>
    <w:uiPriority w:val="9"/>
    <w:qFormat/>
    <w:rsid w:val="00BC5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C5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BC5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C5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C5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C5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C5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C5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C5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BC5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C5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BC5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C592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C5929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C59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C5929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C59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C59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BC5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C5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BC5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C5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BC5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C59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C5929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BC592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C5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C5929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BC5929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BC59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5929"/>
  </w:style>
  <w:style w:type="paragraph" w:styleId="Rodap">
    <w:name w:val="footer"/>
    <w:basedOn w:val="Normal"/>
    <w:link w:val="RodapCarter"/>
    <w:uiPriority w:val="99"/>
    <w:unhideWhenUsed/>
    <w:rsid w:val="00BC59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5929"/>
  </w:style>
  <w:style w:type="character" w:styleId="Hiperligao">
    <w:name w:val="Hyperlink"/>
    <w:basedOn w:val="Tipodeletrapredefinidodopargrafo"/>
    <w:uiPriority w:val="99"/>
    <w:unhideWhenUsed/>
    <w:rsid w:val="00BC5929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78D8"/>
    <w:rPr>
      <w:rFonts w:ascii="Times New Roman" w:hAnsi="Times New Roman" w:cs="Times New Roman"/>
    </w:rPr>
  </w:style>
  <w:style w:type="paragraph" w:styleId="Reviso">
    <w:name w:val="Revision"/>
    <w:hidden/>
    <w:uiPriority w:val="99"/>
    <w:semiHidden/>
    <w:rsid w:val="008A0FAF"/>
    <w:pPr>
      <w:spacing w:after="0" w:line="240" w:lineRule="auto"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8743EC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743EC"/>
    <w:rPr>
      <w:color w:val="96607D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DA0B6C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DA0B6C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DA0B6C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A0B6C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A0B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ilde.branco@lift.com.p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ns.pt/associacoes/anu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nabela@pereira@lift.com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963</Words>
  <Characters>5339</Characters>
  <Application>Microsoft Office Word</Application>
  <DocSecurity>0</DocSecurity>
  <Lines>97</Lines>
  <Paragraphs>24</Paragraphs>
  <ScaleCrop>false</ScaleCrop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Branco</dc:creator>
  <cp:keywords/>
  <dc:description/>
  <cp:lastModifiedBy>Matilde Branco</cp:lastModifiedBy>
  <cp:revision>3</cp:revision>
  <dcterms:created xsi:type="dcterms:W3CDTF">2026-09-14T13:41:00Z</dcterms:created>
  <dcterms:modified xsi:type="dcterms:W3CDTF">2026-09-16T17:13:00Z</dcterms:modified>
</cp:coreProperties>
</file>