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96D94" w14:textId="77777777" w:rsidR="002C1032" w:rsidRPr="002C1032" w:rsidRDefault="002C1032" w:rsidP="002C1032">
      <w:pPr>
        <w:pStyle w:val="NoSpacing"/>
        <w:rPr>
          <w:rFonts w:ascii="Noto Sans" w:hAnsi="Noto Sans" w:cs="Noto Sans"/>
          <w:b/>
          <w:bCs/>
          <w:sz w:val="28"/>
          <w:szCs w:val="28"/>
        </w:rPr>
      </w:pPr>
      <w:r w:rsidRPr="002C1032">
        <w:rPr>
          <w:rFonts w:ascii="Noto Sans" w:hAnsi="Noto Sans" w:cs="Noto Sans"/>
          <w:b/>
          <w:bCs/>
          <w:sz w:val="28"/>
          <w:szCs w:val="28"/>
          <w:lang w:val="fr"/>
        </w:rPr>
        <w:t xml:space="preserve">Domino affiche des progrès significatifs dans sa trajectoire de neutralité carbone dans son rapport RSE 2025 </w:t>
      </w:r>
    </w:p>
    <w:p w14:paraId="2B9532A6" w14:textId="3A7D474D" w:rsidR="002C1032" w:rsidRPr="002C1032" w:rsidRDefault="002C1032" w:rsidP="002C1032">
      <w:pPr>
        <w:spacing w:before="120" w:after="120" w:line="240" w:lineRule="auto"/>
        <w:rPr>
          <w:rFonts w:ascii="Noto Sans" w:eastAsia="Times New Roman" w:hAnsi="Noto Sans" w:cs="Noto Sans"/>
          <w:sz w:val="24"/>
          <w:szCs w:val="24"/>
        </w:rPr>
      </w:pPr>
      <w:r w:rsidRPr="002C1032">
        <w:rPr>
          <w:rFonts w:ascii="Noto Sans" w:eastAsia="Times New Roman" w:hAnsi="Noto Sans" w:cs="Noto Sans"/>
          <w:sz w:val="24"/>
          <w:szCs w:val="24"/>
          <w:lang w:val="fr"/>
        </w:rPr>
        <w:t>Le dernier rapport RSE de Domino met en avant les progrès réalisés dans des domaines clés, notamment la performance environnementale, les ressources humaines, la société et la clientèle.</w:t>
      </w:r>
    </w:p>
    <w:p w14:paraId="15C4D6BC" w14:textId="5C019CAB" w:rsidR="002C1032" w:rsidRPr="002C1032" w:rsidRDefault="002C1032" w:rsidP="002C1032">
      <w:pPr>
        <w:spacing w:before="120" w:after="120" w:line="240" w:lineRule="auto"/>
        <w:rPr>
          <w:rFonts w:ascii="Noto Sans" w:eastAsia="Times New Roman" w:hAnsi="Noto Sans" w:cs="Noto Sans"/>
          <w:sz w:val="22"/>
        </w:rPr>
      </w:pPr>
      <w:hyperlink r:id="rId7" w:history="1">
        <w:r w:rsidRPr="002C1032">
          <w:rPr>
            <w:rStyle w:val="Hyperlink"/>
            <w:rFonts w:ascii="Noto Sans" w:eastAsia="Times New Roman" w:hAnsi="Noto Sans" w:cs="Noto Sans"/>
            <w:sz w:val="22"/>
            <w:lang w:val="fr"/>
          </w:rPr>
          <w:t>Domino Printing Sciences (Domino)</w:t>
        </w:r>
      </w:hyperlink>
      <w:r w:rsidRPr="002C1032">
        <w:rPr>
          <w:rFonts w:ascii="Noto Sans" w:eastAsia="Times New Roman" w:hAnsi="Noto Sans" w:cs="Noto Sans"/>
          <w:sz w:val="22"/>
          <w:lang w:val="fr"/>
        </w:rPr>
        <w:t xml:space="preserve"> a publié son rapport de Responsabilité sociétale de l’entreprise (RSE) pour l’exercice 2025, mettant en avant des progrès mesurables en matière de performance environnementale, de pratiques commerciales responsables, de développement du personnel et de support client. Ce rapport présente la façon dont Domino intègre la durabilité à l’ensemble de ses activités, tout en aidant ses clients à atteindre leurs objectifs environnementaux et commerciaux. </w:t>
      </w:r>
    </w:p>
    <w:p w14:paraId="3B6EA843" w14:textId="77777777" w:rsidR="002C1032" w:rsidRPr="002C1032" w:rsidRDefault="002C1032" w:rsidP="002C1032">
      <w:pPr>
        <w:spacing w:before="120" w:after="120" w:line="240" w:lineRule="auto"/>
        <w:rPr>
          <w:rFonts w:ascii="Noto Sans" w:eastAsia="Times New Roman" w:hAnsi="Noto Sans" w:cs="Noto Sans"/>
          <w:sz w:val="22"/>
        </w:rPr>
      </w:pPr>
      <w:r w:rsidRPr="002C1032">
        <w:rPr>
          <w:rFonts w:ascii="Noto Sans" w:eastAsia="Times New Roman" w:hAnsi="Noto Sans" w:cs="Noto Sans"/>
          <w:sz w:val="22"/>
          <w:lang w:val="fr"/>
        </w:rPr>
        <w:t>Le rapport détaille les progrès réalisés dans quatre domaines clés :</w:t>
      </w:r>
    </w:p>
    <w:p w14:paraId="1F39F480" w14:textId="77777777" w:rsidR="002C1032" w:rsidRPr="002C1032" w:rsidRDefault="002C1032" w:rsidP="002C1032">
      <w:pPr>
        <w:pStyle w:val="ListParagraph"/>
        <w:numPr>
          <w:ilvl w:val="0"/>
          <w:numId w:val="1"/>
        </w:numPr>
        <w:spacing w:before="120" w:after="120" w:line="240" w:lineRule="auto"/>
        <w:rPr>
          <w:rFonts w:ascii="Noto Sans" w:eastAsia="Times New Roman" w:hAnsi="Noto Sans" w:cs="Noto Sans"/>
          <w:kern w:val="0"/>
          <w:sz w:val="22"/>
          <w:szCs w:val="22"/>
          <w14:ligatures w14:val="none"/>
        </w:rPr>
      </w:pPr>
      <w:r w:rsidRPr="002C1032">
        <w:rPr>
          <w:rFonts w:ascii="Noto Sans" w:eastAsia="Times New Roman" w:hAnsi="Noto Sans" w:cs="Noto Sans"/>
          <w:kern w:val="0"/>
          <w:sz w:val="22"/>
          <w:szCs w:val="22"/>
          <w:lang w:val="fr"/>
          <w14:ligatures w14:val="none"/>
        </w:rPr>
        <w:t>Environnement : réduction des émissions, utilisation des énergies renouvelables et circularité.</w:t>
      </w:r>
    </w:p>
    <w:p w14:paraId="0D658408" w14:textId="77777777" w:rsidR="002C1032" w:rsidRPr="002C1032" w:rsidRDefault="002C1032" w:rsidP="002C1032">
      <w:pPr>
        <w:pStyle w:val="ListParagraph"/>
        <w:numPr>
          <w:ilvl w:val="0"/>
          <w:numId w:val="1"/>
        </w:numPr>
        <w:spacing w:before="120" w:after="120" w:line="240" w:lineRule="auto"/>
        <w:rPr>
          <w:rFonts w:ascii="Noto Sans" w:eastAsia="Times New Roman" w:hAnsi="Noto Sans" w:cs="Noto Sans"/>
          <w:kern w:val="0"/>
          <w:sz w:val="22"/>
          <w:szCs w:val="22"/>
          <w14:ligatures w14:val="none"/>
        </w:rPr>
      </w:pPr>
      <w:r w:rsidRPr="002C1032">
        <w:rPr>
          <w:rFonts w:ascii="Noto Sans" w:eastAsia="Times New Roman" w:hAnsi="Noto Sans" w:cs="Noto Sans"/>
          <w:kern w:val="0"/>
          <w:sz w:val="22"/>
          <w:szCs w:val="22"/>
          <w:lang w:val="fr"/>
          <w14:ligatures w14:val="none"/>
        </w:rPr>
        <w:t>Ressources humaines : création d’une culture inclusive qui développe les talents, favorise le bien-être et investit dans les futurs leaders.</w:t>
      </w:r>
    </w:p>
    <w:p w14:paraId="0A86DCDC" w14:textId="77777777" w:rsidR="002C1032" w:rsidRPr="002C1032" w:rsidRDefault="002C1032" w:rsidP="002C1032">
      <w:pPr>
        <w:pStyle w:val="ListParagraph"/>
        <w:numPr>
          <w:ilvl w:val="0"/>
          <w:numId w:val="1"/>
        </w:numPr>
        <w:spacing w:before="120" w:after="120" w:line="240" w:lineRule="auto"/>
        <w:rPr>
          <w:rFonts w:ascii="Noto Sans" w:eastAsia="Times New Roman" w:hAnsi="Noto Sans" w:cs="Noto Sans"/>
          <w:kern w:val="0"/>
          <w:sz w:val="22"/>
          <w:szCs w:val="22"/>
          <w14:ligatures w14:val="none"/>
        </w:rPr>
      </w:pPr>
      <w:r w:rsidRPr="002C1032">
        <w:rPr>
          <w:rFonts w:ascii="Noto Sans" w:eastAsia="Times New Roman" w:hAnsi="Noto Sans" w:cs="Noto Sans"/>
          <w:kern w:val="0"/>
          <w:sz w:val="22"/>
          <w:szCs w:val="22"/>
          <w:lang w:val="fr"/>
          <w14:ligatures w14:val="none"/>
        </w:rPr>
        <w:t>Société : soutien aux communautés locales et génération d’un impact social positif.</w:t>
      </w:r>
    </w:p>
    <w:p w14:paraId="72D38F01" w14:textId="77777777" w:rsidR="002C1032" w:rsidRPr="002C1032" w:rsidRDefault="002C1032" w:rsidP="002C1032">
      <w:pPr>
        <w:pStyle w:val="ListParagraph"/>
        <w:numPr>
          <w:ilvl w:val="0"/>
          <w:numId w:val="1"/>
        </w:numPr>
        <w:spacing w:before="120" w:after="120" w:line="240" w:lineRule="auto"/>
        <w:rPr>
          <w:rFonts w:ascii="Noto Sans" w:eastAsia="Times New Roman" w:hAnsi="Noto Sans" w:cs="Noto Sans"/>
          <w:kern w:val="0"/>
          <w:sz w:val="22"/>
          <w:szCs w:val="22"/>
          <w14:ligatures w14:val="none"/>
        </w:rPr>
      </w:pPr>
      <w:r w:rsidRPr="002C1032">
        <w:rPr>
          <w:rFonts w:ascii="Noto Sans" w:eastAsia="Times New Roman" w:hAnsi="Noto Sans" w:cs="Noto Sans"/>
          <w:kern w:val="0"/>
          <w:sz w:val="22"/>
          <w:szCs w:val="22"/>
          <w:lang w:val="fr"/>
          <w14:ligatures w14:val="none"/>
        </w:rPr>
        <w:t xml:space="preserve">Clientèle : réalisation des objectifs de productivité et de développement durable grâce à des solutions innovantes de codage et marquage et d’impression numérique. </w:t>
      </w:r>
    </w:p>
    <w:p w14:paraId="39220436" w14:textId="77777777" w:rsidR="002C1032" w:rsidRPr="002C1032" w:rsidRDefault="002C1032" w:rsidP="002C1032">
      <w:pPr>
        <w:spacing w:before="120" w:after="120" w:line="240" w:lineRule="auto"/>
        <w:rPr>
          <w:rFonts w:ascii="Noto Sans" w:eastAsia="Times New Roman" w:hAnsi="Noto Sans" w:cs="Noto Sans"/>
          <w:sz w:val="22"/>
        </w:rPr>
      </w:pPr>
      <w:r w:rsidRPr="002C1032">
        <w:rPr>
          <w:rFonts w:ascii="Noto Sans" w:eastAsia="Times New Roman" w:hAnsi="Noto Sans" w:cs="Noto Sans"/>
          <w:sz w:val="22"/>
          <w:lang w:val="fr"/>
        </w:rPr>
        <w:t xml:space="preserve">Le rapport montre comment Domino poursuit le développement de solutions plus durables, aidant ses clients à réduire les déchets, à gagner en efficacité, à minimiser la consommation de matériaux, et à réaliser leurs propres objectifs de durabilité. </w:t>
      </w:r>
    </w:p>
    <w:p w14:paraId="6908665A" w14:textId="77777777" w:rsidR="002C1032" w:rsidRPr="002C1032" w:rsidRDefault="002C1032" w:rsidP="002C1032">
      <w:pPr>
        <w:spacing w:before="120" w:after="120" w:line="240" w:lineRule="auto"/>
        <w:rPr>
          <w:rFonts w:ascii="Noto Sans" w:eastAsia="Times New Roman" w:hAnsi="Noto Sans" w:cs="Noto Sans"/>
          <w:sz w:val="22"/>
        </w:rPr>
      </w:pPr>
      <w:r w:rsidRPr="002C1032">
        <w:rPr>
          <w:rFonts w:ascii="Noto Sans" w:eastAsia="Times New Roman" w:hAnsi="Noto Sans" w:cs="Noto Sans"/>
          <w:sz w:val="22"/>
          <w:lang w:val="fr"/>
        </w:rPr>
        <w:t xml:space="preserve">« Partout dans le monde, la durabilité devient un impératif commercial incontournable. » « Nos résultats pour l’exercice 2025 montrent qu’un réel progrès environnemental et social peut aller de pair avec de solides performances commerciales », explique Jessica Büttner, Group CSR </w:t>
      </w:r>
      <w:proofErr w:type="spellStart"/>
      <w:r w:rsidRPr="002C1032">
        <w:rPr>
          <w:rFonts w:ascii="Noto Sans" w:eastAsia="Times New Roman" w:hAnsi="Noto Sans" w:cs="Noto Sans"/>
          <w:sz w:val="22"/>
          <w:lang w:val="fr"/>
        </w:rPr>
        <w:t>Director</w:t>
      </w:r>
      <w:proofErr w:type="spellEnd"/>
      <w:r w:rsidRPr="002C1032">
        <w:rPr>
          <w:rFonts w:ascii="Noto Sans" w:eastAsia="Times New Roman" w:hAnsi="Noto Sans" w:cs="Noto Sans"/>
          <w:sz w:val="22"/>
          <w:lang w:val="fr"/>
        </w:rPr>
        <w:t xml:space="preserve"> chez Domino. « Nous nous engageons à progresser de manière mesurable, année après année, en réduisant les émissions, en améliorant la circularité, en renforçant l’approvisionnement responsable et en aidant nos clients à atteindre leurs propres objectifs de durabilité. Notre priorité reste de proposer des solutions durables au service de nos clients, dans le respect de l’environnement et des communautés où nous travaillons, tout en construisant un lieu de travail où chacun peut grandir et contribuer à notre réussite sur le long terme. »</w:t>
      </w:r>
    </w:p>
    <w:p w14:paraId="024B89A1" w14:textId="77777777" w:rsidR="002C1032" w:rsidRPr="002C1032" w:rsidRDefault="002C1032" w:rsidP="002C1032">
      <w:pPr>
        <w:spacing w:before="120" w:after="120" w:line="240" w:lineRule="auto"/>
        <w:rPr>
          <w:rFonts w:ascii="Noto Sans" w:eastAsia="Times New Roman" w:hAnsi="Noto Sans" w:cs="Noto Sans"/>
          <w:sz w:val="22"/>
        </w:rPr>
      </w:pPr>
      <w:r w:rsidRPr="002C1032">
        <w:rPr>
          <w:rFonts w:ascii="Noto Sans" w:eastAsia="Times New Roman" w:hAnsi="Noto Sans" w:cs="Noto Sans"/>
          <w:sz w:val="22"/>
          <w:lang w:val="fr"/>
        </w:rPr>
        <w:t xml:space="preserve">Le rapport RSE de Domino met en avant les progrès réalisés dans des domaines clés, notamment la performance environnementale, les ressources humaines, la société et la clientèle. </w:t>
      </w:r>
    </w:p>
    <w:p w14:paraId="26EB8D6D" w14:textId="77777777" w:rsidR="002C1032" w:rsidRPr="002C1032" w:rsidRDefault="002C1032" w:rsidP="002C1032">
      <w:pPr>
        <w:spacing w:before="120" w:after="120" w:line="240" w:lineRule="auto"/>
        <w:rPr>
          <w:rFonts w:ascii="Noto Sans" w:eastAsia="Times New Roman" w:hAnsi="Noto Sans" w:cs="Noto Sans"/>
          <w:sz w:val="22"/>
        </w:rPr>
      </w:pPr>
      <w:r w:rsidRPr="002C1032">
        <w:rPr>
          <w:rFonts w:ascii="Noto Sans" w:eastAsia="Times New Roman" w:hAnsi="Noto Sans" w:cs="Noto Sans"/>
          <w:sz w:val="22"/>
          <w:lang w:val="fr"/>
        </w:rPr>
        <w:lastRenderedPageBreak/>
        <w:t xml:space="preserve">Parmi les points clés du rapport de l’exercice 2025 figurent : </w:t>
      </w:r>
    </w:p>
    <w:p w14:paraId="359D6152" w14:textId="77777777" w:rsidR="002C1032" w:rsidRPr="002C1032" w:rsidRDefault="002C1032" w:rsidP="002C1032">
      <w:pPr>
        <w:pStyle w:val="ListParagraph"/>
        <w:numPr>
          <w:ilvl w:val="0"/>
          <w:numId w:val="2"/>
        </w:numPr>
        <w:spacing w:before="120" w:after="120" w:line="240" w:lineRule="auto"/>
        <w:rPr>
          <w:rFonts w:ascii="Noto Sans" w:eastAsia="Times New Roman" w:hAnsi="Noto Sans" w:cs="Noto Sans"/>
          <w:kern w:val="0"/>
          <w:sz w:val="22"/>
          <w:szCs w:val="22"/>
          <w14:ligatures w14:val="none"/>
        </w:rPr>
      </w:pPr>
      <w:r w:rsidRPr="002C1032">
        <w:rPr>
          <w:rFonts w:ascii="Noto Sans" w:eastAsia="Times New Roman" w:hAnsi="Noto Sans" w:cs="Noto Sans"/>
          <w:kern w:val="0"/>
          <w:sz w:val="22"/>
          <w:szCs w:val="22"/>
          <w:lang w:val="fr"/>
          <w14:ligatures w14:val="none"/>
        </w:rPr>
        <w:t xml:space="preserve">Augmentation de la génération d’énergie solaire à 70 %, à mesure que davantage de sites Domino sont passés à une électricité 100 % renouvelable. </w:t>
      </w:r>
    </w:p>
    <w:p w14:paraId="71AB65A5" w14:textId="77777777" w:rsidR="002C1032" w:rsidRPr="002C1032" w:rsidRDefault="002C1032" w:rsidP="002C1032">
      <w:pPr>
        <w:pStyle w:val="ListParagraph"/>
        <w:numPr>
          <w:ilvl w:val="0"/>
          <w:numId w:val="2"/>
        </w:numPr>
        <w:spacing w:before="120" w:after="120" w:line="240" w:lineRule="auto"/>
        <w:rPr>
          <w:rFonts w:ascii="Noto Sans" w:eastAsia="Times New Roman" w:hAnsi="Noto Sans" w:cs="Noto Sans"/>
          <w:kern w:val="0"/>
          <w:sz w:val="22"/>
          <w:szCs w:val="22"/>
          <w14:ligatures w14:val="none"/>
        </w:rPr>
      </w:pPr>
      <w:r w:rsidRPr="002C1032">
        <w:rPr>
          <w:rFonts w:ascii="Noto Sans" w:eastAsia="Times New Roman" w:hAnsi="Noto Sans" w:cs="Noto Sans"/>
          <w:kern w:val="0"/>
          <w:sz w:val="22"/>
          <w:szCs w:val="22"/>
          <w:lang w:val="fr"/>
          <w14:ligatures w14:val="none"/>
        </w:rPr>
        <w:t>Taux de recyclage interne de 95,3 %, minimisant les déchets et maximisant la récupération des ressources.</w:t>
      </w:r>
    </w:p>
    <w:p w14:paraId="5767697F" w14:textId="77777777" w:rsidR="002C1032" w:rsidRPr="002C1032" w:rsidRDefault="002C1032" w:rsidP="002C1032">
      <w:pPr>
        <w:pStyle w:val="ListParagraph"/>
        <w:numPr>
          <w:ilvl w:val="0"/>
          <w:numId w:val="2"/>
        </w:numPr>
        <w:spacing w:before="120" w:after="120" w:line="240" w:lineRule="auto"/>
        <w:rPr>
          <w:rFonts w:ascii="Noto Sans" w:eastAsia="Times New Roman" w:hAnsi="Noto Sans" w:cs="Noto Sans"/>
          <w:kern w:val="0"/>
          <w:sz w:val="22"/>
          <w:szCs w:val="22"/>
          <w14:ligatures w14:val="none"/>
        </w:rPr>
      </w:pPr>
      <w:r w:rsidRPr="002C1032">
        <w:rPr>
          <w:rFonts w:ascii="Noto Sans" w:eastAsia="Times New Roman" w:hAnsi="Noto Sans" w:cs="Noto Sans"/>
          <w:kern w:val="0"/>
          <w:sz w:val="22"/>
          <w:szCs w:val="22"/>
          <w:lang w:val="fr"/>
          <w14:ligatures w14:val="none"/>
        </w:rPr>
        <w:t>Durabilité accrue des emballages, 96 % des emballages de nos clients désormais recyclables et intégrant jusqu’à 75 % de matériaux recyclés.</w:t>
      </w:r>
    </w:p>
    <w:p w14:paraId="3546FF09" w14:textId="77777777" w:rsidR="002C1032" w:rsidRPr="002C1032" w:rsidRDefault="002C1032" w:rsidP="002C1032">
      <w:pPr>
        <w:spacing w:before="120" w:after="120" w:line="240" w:lineRule="auto"/>
        <w:rPr>
          <w:rFonts w:ascii="Noto Sans" w:eastAsia="Times New Roman" w:hAnsi="Noto Sans" w:cs="Noto Sans"/>
          <w:sz w:val="22"/>
        </w:rPr>
      </w:pPr>
      <w:r w:rsidRPr="002C1032">
        <w:rPr>
          <w:rFonts w:ascii="Noto Sans" w:eastAsia="Times New Roman" w:hAnsi="Noto Sans" w:cs="Noto Sans"/>
          <w:sz w:val="22"/>
          <w:lang w:val="fr"/>
        </w:rPr>
        <w:t>Ces avancées contribuent à l’objectif de Domino d’atteindre la neutralité carbone sur les émissions des scopes 1 et 2 d’ici 2030, ainsi que la neutralité totale d’ici 2050.</w:t>
      </w:r>
    </w:p>
    <w:p w14:paraId="7FB2C432" w14:textId="77777777" w:rsidR="002C1032" w:rsidRPr="002C1032" w:rsidRDefault="002C1032" w:rsidP="002C1032">
      <w:pPr>
        <w:spacing w:before="120" w:after="120" w:line="240" w:lineRule="auto"/>
        <w:rPr>
          <w:rFonts w:ascii="Noto Sans" w:eastAsia="Times New Roman" w:hAnsi="Noto Sans" w:cs="Noto Sans"/>
          <w:sz w:val="22"/>
        </w:rPr>
      </w:pPr>
      <w:r w:rsidRPr="002C1032">
        <w:rPr>
          <w:rFonts w:ascii="Noto Sans" w:eastAsia="Times New Roman" w:hAnsi="Noto Sans" w:cs="Noto Sans"/>
          <w:sz w:val="22"/>
          <w:lang w:val="fr"/>
        </w:rPr>
        <w:t>Au-delà de ses accomplissements environnementaux, le rapport de Domino souligne les progrès réalisés dans ses objectifs de RSE liés aux collaborateurs, à la société et aux clients.</w:t>
      </w:r>
    </w:p>
    <w:p w14:paraId="081DC0C2" w14:textId="77777777" w:rsidR="002C1032" w:rsidRPr="002C1032" w:rsidRDefault="002C1032" w:rsidP="002C1032">
      <w:pPr>
        <w:pStyle w:val="ListParagraph"/>
        <w:numPr>
          <w:ilvl w:val="0"/>
          <w:numId w:val="3"/>
        </w:numPr>
        <w:spacing w:before="120" w:after="120" w:line="240" w:lineRule="auto"/>
        <w:rPr>
          <w:rFonts w:ascii="Noto Sans" w:eastAsia="Times New Roman" w:hAnsi="Noto Sans" w:cs="Noto Sans"/>
          <w:kern w:val="0"/>
          <w:sz w:val="22"/>
          <w:szCs w:val="22"/>
          <w14:ligatures w14:val="none"/>
        </w:rPr>
      </w:pPr>
      <w:r w:rsidRPr="002C1032">
        <w:rPr>
          <w:rFonts w:ascii="Noto Sans" w:eastAsia="Times New Roman" w:hAnsi="Noto Sans" w:cs="Noto Sans"/>
          <w:kern w:val="0"/>
          <w:sz w:val="22"/>
          <w:szCs w:val="22"/>
          <w:lang w:val="fr"/>
          <w14:ligatures w14:val="none"/>
        </w:rPr>
        <w:t xml:space="preserve">Représentation féminine accrue sur le lieu de travail, avec une augmentation de 10 % des nouvelles embauches et de 2 % des postes de direction. </w:t>
      </w:r>
    </w:p>
    <w:p w14:paraId="78787910" w14:textId="77777777" w:rsidR="002C1032" w:rsidRPr="002C1032" w:rsidRDefault="002C1032" w:rsidP="002C1032">
      <w:pPr>
        <w:pStyle w:val="ListParagraph"/>
        <w:numPr>
          <w:ilvl w:val="0"/>
          <w:numId w:val="3"/>
        </w:numPr>
        <w:spacing w:before="120" w:after="120" w:line="240" w:lineRule="auto"/>
        <w:rPr>
          <w:rFonts w:ascii="Noto Sans" w:eastAsia="Times New Roman" w:hAnsi="Noto Sans" w:cs="Noto Sans"/>
          <w:kern w:val="0"/>
          <w:sz w:val="22"/>
          <w:szCs w:val="22"/>
          <w14:ligatures w14:val="none"/>
        </w:rPr>
      </w:pPr>
      <w:r w:rsidRPr="002C1032">
        <w:rPr>
          <w:rFonts w:ascii="Noto Sans" w:eastAsia="Times New Roman" w:hAnsi="Noto Sans" w:cs="Noto Sans"/>
          <w:kern w:val="0"/>
          <w:sz w:val="22"/>
          <w:szCs w:val="22"/>
          <w:lang w:val="fr"/>
          <w14:ligatures w14:val="none"/>
        </w:rPr>
        <w:t xml:space="preserve">Réduction de l’écart salarial entre les hommes et les femmes au Royaume-Uni de 5,6 %.  </w:t>
      </w:r>
    </w:p>
    <w:p w14:paraId="40C9498F" w14:textId="77777777" w:rsidR="002C1032" w:rsidRPr="002C1032" w:rsidRDefault="002C1032" w:rsidP="002C1032">
      <w:pPr>
        <w:pStyle w:val="ListParagraph"/>
        <w:numPr>
          <w:ilvl w:val="0"/>
          <w:numId w:val="3"/>
        </w:numPr>
        <w:rPr>
          <w:rFonts w:ascii="Noto Sans" w:eastAsia="Times New Roman" w:hAnsi="Noto Sans" w:cs="Noto Sans"/>
          <w:kern w:val="0"/>
          <w:sz w:val="22"/>
          <w:szCs w:val="22"/>
          <w14:ligatures w14:val="none"/>
        </w:rPr>
      </w:pPr>
      <w:r w:rsidRPr="002C1032">
        <w:rPr>
          <w:rFonts w:ascii="Noto Sans" w:eastAsia="Times New Roman" w:hAnsi="Noto Sans" w:cs="Noto Sans"/>
          <w:kern w:val="0"/>
          <w:sz w:val="22"/>
          <w:szCs w:val="22"/>
          <w:lang w:val="fr"/>
          <w14:ligatures w14:val="none"/>
        </w:rPr>
        <w:t xml:space="preserve">Pratiques commerciales responsables avec 95 % des dépenses d’inventaire couvertes par des fournisseurs pleinement conformes. </w:t>
      </w:r>
    </w:p>
    <w:p w14:paraId="0517B869" w14:textId="77777777" w:rsidR="002C1032" w:rsidRPr="002C1032" w:rsidRDefault="002C1032" w:rsidP="002C1032">
      <w:pPr>
        <w:pStyle w:val="ListParagraph"/>
        <w:numPr>
          <w:ilvl w:val="0"/>
          <w:numId w:val="3"/>
        </w:numPr>
        <w:rPr>
          <w:rFonts w:ascii="Noto Sans" w:eastAsia="Times New Roman" w:hAnsi="Noto Sans" w:cs="Noto Sans"/>
          <w:kern w:val="0"/>
          <w:sz w:val="22"/>
          <w:szCs w:val="22"/>
          <w14:ligatures w14:val="none"/>
        </w:rPr>
      </w:pPr>
      <w:r w:rsidRPr="002C1032">
        <w:rPr>
          <w:rFonts w:ascii="Noto Sans" w:eastAsia="Times New Roman" w:hAnsi="Noto Sans" w:cs="Noto Sans"/>
          <w:kern w:val="0"/>
          <w:sz w:val="22"/>
          <w:szCs w:val="22"/>
          <w:lang w:val="fr"/>
          <w14:ligatures w14:val="none"/>
        </w:rPr>
        <w:t>Capacités d’approvisionnement durable étendues, avec 85 % de l’équipe de la chaîne logistique mondiale ayant suivi une formation en approvisionnement durable.</w:t>
      </w:r>
    </w:p>
    <w:p w14:paraId="7A0A563A" w14:textId="77777777" w:rsidR="002C1032" w:rsidRPr="002C1032" w:rsidRDefault="002C1032" w:rsidP="002C1032">
      <w:pPr>
        <w:pStyle w:val="ListParagraph"/>
        <w:numPr>
          <w:ilvl w:val="0"/>
          <w:numId w:val="3"/>
        </w:numPr>
        <w:spacing w:after="0" w:line="300" w:lineRule="atLeast"/>
        <w:rPr>
          <w:rFonts w:ascii="Noto Sans" w:eastAsia="Times New Roman" w:hAnsi="Noto Sans" w:cs="Noto Sans"/>
          <w:kern w:val="0"/>
          <w:sz w:val="22"/>
          <w:szCs w:val="22"/>
          <w14:ligatures w14:val="none"/>
        </w:rPr>
      </w:pPr>
      <w:r w:rsidRPr="002C1032">
        <w:rPr>
          <w:rFonts w:ascii="Noto Sans" w:eastAsia="Times New Roman" w:hAnsi="Noto Sans" w:cs="Noto Sans"/>
          <w:kern w:val="0"/>
          <w:sz w:val="22"/>
          <w:szCs w:val="22"/>
          <w:lang w:val="fr"/>
          <w14:ligatures w14:val="none"/>
        </w:rPr>
        <w:t xml:space="preserve">Augmentation du Net </w:t>
      </w:r>
      <w:proofErr w:type="spellStart"/>
      <w:r w:rsidRPr="002C1032">
        <w:rPr>
          <w:rFonts w:ascii="Noto Sans" w:eastAsia="Times New Roman" w:hAnsi="Noto Sans" w:cs="Noto Sans"/>
          <w:kern w:val="0"/>
          <w:sz w:val="22"/>
          <w:szCs w:val="22"/>
          <w:lang w:val="fr"/>
          <w14:ligatures w14:val="none"/>
        </w:rPr>
        <w:t>Promoter</w:t>
      </w:r>
      <w:proofErr w:type="spellEnd"/>
      <w:r w:rsidRPr="002C1032">
        <w:rPr>
          <w:rFonts w:ascii="Noto Sans" w:eastAsia="Times New Roman" w:hAnsi="Noto Sans" w:cs="Noto Sans"/>
          <w:kern w:val="0"/>
          <w:sz w:val="22"/>
          <w:szCs w:val="22"/>
          <w:lang w:val="fr"/>
          <w14:ligatures w14:val="none"/>
        </w:rPr>
        <w:t xml:space="preserve"> Score mondial de 82 à 85 et maintien d’un Score d'effort client élevé de 4,6 sur 5. </w:t>
      </w:r>
    </w:p>
    <w:p w14:paraId="799AF736" w14:textId="77777777" w:rsidR="002C1032" w:rsidRPr="002C1032" w:rsidRDefault="002C1032" w:rsidP="002C1032">
      <w:pPr>
        <w:spacing w:before="120" w:after="120" w:line="240" w:lineRule="auto"/>
        <w:rPr>
          <w:rFonts w:ascii="Noto Sans" w:eastAsia="Times New Roman" w:hAnsi="Noto Sans" w:cs="Noto Sans"/>
          <w:sz w:val="22"/>
        </w:rPr>
      </w:pPr>
      <w:r w:rsidRPr="002C1032">
        <w:rPr>
          <w:rFonts w:ascii="Noto Sans" w:eastAsia="Times New Roman" w:hAnsi="Noto Sans" w:cs="Noto Sans"/>
          <w:sz w:val="22"/>
          <w:lang w:val="fr"/>
        </w:rPr>
        <w:t xml:space="preserve">Jessica Büttner poursuit : « Un </w:t>
      </w:r>
      <w:proofErr w:type="spellStart"/>
      <w:r w:rsidRPr="002C1032">
        <w:rPr>
          <w:rFonts w:ascii="Noto Sans" w:eastAsia="Times New Roman" w:hAnsi="Noto Sans" w:cs="Noto Sans"/>
          <w:sz w:val="22"/>
          <w:lang w:val="fr"/>
        </w:rPr>
        <w:t>reporting</w:t>
      </w:r>
      <w:proofErr w:type="spellEnd"/>
      <w:r w:rsidRPr="002C1032">
        <w:rPr>
          <w:rFonts w:ascii="Noto Sans" w:eastAsia="Times New Roman" w:hAnsi="Noto Sans" w:cs="Noto Sans"/>
          <w:sz w:val="22"/>
          <w:lang w:val="fr"/>
        </w:rPr>
        <w:t xml:space="preserve"> RSE transparent facilite les échanges honnêtes avec nos clients, non seulement sur notre impact positif, mais aussi sur le travail qu’il nous reste à accomplir. Cela nous aide également à accompagner nos clients dans la réalisation de leurs propres ambitions en matière de durabilité. Les résultats de cette année affichent une progression positive vers nos objectifs actuels, et nos excellents scores de satisfaction client confirment que nous continuons à apporter de la valeur tout en privilégiant la collaboration »</w:t>
      </w:r>
    </w:p>
    <w:p w14:paraId="490AD478" w14:textId="77777777" w:rsidR="002C1032" w:rsidRPr="002C1032" w:rsidRDefault="002C1032" w:rsidP="002C1032">
      <w:pPr>
        <w:spacing w:before="120" w:after="120" w:line="240" w:lineRule="auto"/>
        <w:rPr>
          <w:rFonts w:ascii="Noto Sans" w:eastAsia="Times New Roman" w:hAnsi="Noto Sans" w:cs="Noto Sans"/>
          <w:sz w:val="22"/>
        </w:rPr>
      </w:pPr>
      <w:r w:rsidRPr="002C1032">
        <w:rPr>
          <w:rFonts w:ascii="Noto Sans" w:eastAsia="Times New Roman" w:hAnsi="Noto Sans" w:cs="Noto Sans"/>
          <w:sz w:val="22"/>
          <w:lang w:val="fr"/>
        </w:rPr>
        <w:t>Comme l’explique Robert Pulford, CEO de Domino, « la durabilité reste une partie intégrante de notre fonctionnement et de notre création de valeur clients. Ce rapport illustre les progrès accomplis grâce à notre réseau mondial d’experts, et prouve qu’une entreprise peut réussir sur le long terme tout en agissant de façon responsable pour l’environnement. » Les progrès mis en avant dans ce rapport témoignent de l’engagement de notre personnel partout dans le monde et du travail accompli pour construire une organisation inclusive et performante, en mesure de soutenir une croissance durable, aussi bien pour nos clients que pour les communautés. »</w:t>
      </w:r>
    </w:p>
    <w:p w14:paraId="3F85D131" w14:textId="77777777" w:rsidR="002C1032" w:rsidRPr="002C1032" w:rsidRDefault="002C1032" w:rsidP="002C1032">
      <w:pPr>
        <w:spacing w:before="120" w:after="120" w:line="240" w:lineRule="auto"/>
        <w:rPr>
          <w:rFonts w:ascii="Noto Sans" w:eastAsia="Times New Roman" w:hAnsi="Noto Sans" w:cs="Noto Sans"/>
          <w:sz w:val="22"/>
        </w:rPr>
      </w:pPr>
      <w:r w:rsidRPr="002C1032">
        <w:rPr>
          <w:rFonts w:ascii="Noto Sans" w:eastAsia="Times New Roman" w:hAnsi="Noto Sans" w:cs="Noto Sans"/>
          <w:sz w:val="22"/>
          <w:lang w:val="fr"/>
        </w:rPr>
        <w:lastRenderedPageBreak/>
        <w:t xml:space="preserve">Le rapport RSE de Domino applique les normes de la Global </w:t>
      </w:r>
      <w:proofErr w:type="spellStart"/>
      <w:r w:rsidRPr="002C1032">
        <w:rPr>
          <w:rFonts w:ascii="Noto Sans" w:eastAsia="Times New Roman" w:hAnsi="Noto Sans" w:cs="Noto Sans"/>
          <w:sz w:val="22"/>
          <w:lang w:val="fr"/>
        </w:rPr>
        <w:t>Reporting</w:t>
      </w:r>
      <w:proofErr w:type="spellEnd"/>
      <w:r w:rsidRPr="002C1032">
        <w:rPr>
          <w:rFonts w:ascii="Noto Sans" w:eastAsia="Times New Roman" w:hAnsi="Noto Sans" w:cs="Noto Sans"/>
          <w:sz w:val="22"/>
          <w:lang w:val="fr"/>
        </w:rPr>
        <w:t xml:space="preserve"> Initiative (GRI), un cadre reconnu internationalement qui aide les clients à comparer la performance environnementale de Domino par rapport à ses pairs du secteur. Ce rapport met en lumière comment Domino agit pour réduire son impact environnemental, tout en aidant ses clients à alléger leur empreinte carbone.</w:t>
      </w:r>
    </w:p>
    <w:p w14:paraId="0BB7173A" w14:textId="77777777" w:rsidR="002C1032" w:rsidRPr="002C1032" w:rsidRDefault="002C1032" w:rsidP="002C1032">
      <w:pPr>
        <w:spacing w:before="120" w:after="120" w:line="240" w:lineRule="auto"/>
        <w:rPr>
          <w:rFonts w:ascii="Noto Sans" w:eastAsia="Times New Roman" w:hAnsi="Noto Sans" w:cs="Noto Sans"/>
          <w:sz w:val="22"/>
        </w:rPr>
      </w:pPr>
      <w:r w:rsidRPr="002C1032">
        <w:rPr>
          <w:rFonts w:ascii="Noto Sans" w:eastAsia="Times New Roman" w:hAnsi="Noto Sans" w:cs="Noto Sans"/>
          <w:sz w:val="22"/>
          <w:lang w:val="fr"/>
        </w:rPr>
        <w:t>À l’avenir, Domino prévoit de faire progresser sa feuille de route de décarbonation, d’étendre son utilisation d’énergies renouvelables, de renforcer ses initiatives de circularité pour les produits et les emballages, et de travailler en étroite collaboration avec ses fournisseurs et ses clients pour réduire les émissions tout au long de la chaîne de valeur.</w:t>
      </w:r>
    </w:p>
    <w:p w14:paraId="0A02B80F" w14:textId="28C25672" w:rsidR="002C1032" w:rsidRPr="002C1032" w:rsidRDefault="002C1032" w:rsidP="002C1032">
      <w:pPr>
        <w:spacing w:before="120" w:after="120" w:line="240" w:lineRule="auto"/>
        <w:rPr>
          <w:rFonts w:ascii="Noto Sans" w:hAnsi="Noto Sans" w:cs="Noto Sans"/>
          <w:sz w:val="22"/>
        </w:rPr>
      </w:pPr>
      <w:r w:rsidRPr="002C1032">
        <w:rPr>
          <w:rFonts w:ascii="Noto Sans" w:eastAsia="Times New Roman" w:hAnsi="Noto Sans" w:cs="Noto Sans"/>
          <w:sz w:val="22"/>
          <w:lang w:val="fr"/>
        </w:rPr>
        <w:t xml:space="preserve">Le rapport RSE complet de l’exercice 2025 est disponible sur les </w:t>
      </w:r>
      <w:hyperlink r:id="rId8" w:history="1">
        <w:r w:rsidRPr="002C1032">
          <w:rPr>
            <w:rStyle w:val="Hyperlink"/>
            <w:rFonts w:ascii="Noto Sans" w:eastAsia="Times New Roman" w:hAnsi="Noto Sans" w:cs="Noto Sans"/>
            <w:sz w:val="22"/>
            <w:lang w:val="fr"/>
          </w:rPr>
          <w:t>pages web de Responsabilité sociétale de l'entreprise</w:t>
        </w:r>
      </w:hyperlink>
      <w:r w:rsidRPr="002C1032">
        <w:rPr>
          <w:rFonts w:ascii="Noto Sans" w:eastAsia="Times New Roman" w:hAnsi="Noto Sans" w:cs="Noto Sans"/>
          <w:sz w:val="22"/>
          <w:lang w:val="fr"/>
        </w:rPr>
        <w:t xml:space="preserve"> de Domino. Il présente des données de performance détaillées, des objectifs et des exemples concrets montrant comment Domino agit pour réduire son impact environnemental, tout en soutenant ses clients, ses collaborateurs et les communautés du monde entier.</w:t>
      </w:r>
    </w:p>
    <w:p w14:paraId="072E2EB3" w14:textId="77777777" w:rsidR="002C1032" w:rsidRDefault="002C1032" w:rsidP="008E7573">
      <w:pPr>
        <w:rPr>
          <w:sz w:val="22"/>
        </w:rPr>
      </w:pPr>
    </w:p>
    <w:p w14:paraId="53EB7C38" w14:textId="427B1700" w:rsidR="005524DB" w:rsidRDefault="002C1032" w:rsidP="008E7573">
      <w:pPr>
        <w:rPr>
          <w:sz w:val="22"/>
        </w:rPr>
      </w:pPr>
      <w:r>
        <w:rPr>
          <w:sz w:val="22"/>
        </w:rPr>
        <w:t>&lt;</w:t>
      </w:r>
      <w:r w:rsidRPr="002C1032">
        <w:rPr>
          <w:rFonts w:ascii="Noto Sans" w:hAnsi="Noto Sans" w:cs="Noto Sans"/>
          <w:b/>
          <w:bCs/>
          <w:sz w:val="22"/>
        </w:rPr>
        <w:t>FIN</w:t>
      </w:r>
      <w:r>
        <w:rPr>
          <w:sz w:val="22"/>
        </w:rPr>
        <w:t>&gt;</w:t>
      </w:r>
    </w:p>
    <w:p w14:paraId="39C415B7" w14:textId="77777777" w:rsidR="002C1032" w:rsidRDefault="002C1032" w:rsidP="002C1032">
      <w:pPr>
        <w:spacing w:line="240" w:lineRule="auto"/>
        <w:rPr>
          <w:rFonts w:ascii="Noto Sans" w:eastAsia="Gill Sans" w:hAnsi="Noto Sans" w:cs="Noto Sans"/>
          <w:b/>
          <w:bCs/>
          <w:sz w:val="20"/>
          <w:szCs w:val="20"/>
          <w:lang w:val="fr-FR"/>
        </w:rPr>
      </w:pPr>
      <w:bookmarkStart w:id="0" w:name="_Hlk46133219"/>
    </w:p>
    <w:p w14:paraId="54627B80" w14:textId="417B7F01" w:rsidR="002C1032" w:rsidRPr="00E06028" w:rsidRDefault="002C1032" w:rsidP="002C1032">
      <w:pPr>
        <w:spacing w:line="240" w:lineRule="auto"/>
        <w:rPr>
          <w:rFonts w:ascii="Noto Sans" w:hAnsi="Noto Sans" w:cs="Noto Sans"/>
          <w:sz w:val="20"/>
          <w:szCs w:val="20"/>
          <w:lang w:val="fr-FR"/>
        </w:rPr>
      </w:pPr>
      <w:r>
        <w:rPr>
          <w:rFonts w:ascii="Noto Sans" w:eastAsia="Gill Sans" w:hAnsi="Noto Sans" w:cs="Noto Sans"/>
          <w:b/>
          <w:bCs/>
          <w:sz w:val="20"/>
          <w:szCs w:val="20"/>
          <w:lang w:val="fr-FR"/>
        </w:rPr>
        <w:t>A</w:t>
      </w:r>
      <w:r w:rsidRPr="00E06028">
        <w:rPr>
          <w:rFonts w:ascii="Noto Sans" w:eastAsia="Gill Sans" w:hAnsi="Noto Sans" w:cs="Noto Sans"/>
          <w:b/>
          <w:bCs/>
          <w:sz w:val="20"/>
          <w:szCs w:val="20"/>
          <w:lang w:val="fr-FR"/>
        </w:rPr>
        <w:t>vis de non-responsabilité</w:t>
      </w:r>
      <w:r w:rsidRPr="00E06028">
        <w:rPr>
          <w:rFonts w:ascii="Noto Sans" w:eastAsia="Gill Sans" w:hAnsi="Noto Sans" w:cs="Noto Sans"/>
          <w:b/>
          <w:sz w:val="20"/>
          <w:szCs w:val="20"/>
          <w:lang w:val="es-ES"/>
        </w:rPr>
        <w:br/>
      </w:r>
      <w:r w:rsidRPr="00E06028">
        <w:rPr>
          <w:rFonts w:ascii="Noto Sans" w:eastAsia="Gill Sans" w:hAnsi="Noto Sans" w:cs="Noto Sans"/>
          <w:sz w:val="20"/>
          <w:szCs w:val="20"/>
          <w:lang w:val="es-ES"/>
        </w:rPr>
        <w:br/>
      </w:r>
      <w:r w:rsidRPr="00E06028">
        <w:rPr>
          <w:rFonts w:ascii="Noto Sans" w:hAnsi="Noto Sans" w:cs="Noto Sans"/>
          <w:b/>
          <w:bCs/>
          <w:sz w:val="20"/>
          <w:szCs w:val="20"/>
          <w:lang w:val="fr-FR"/>
        </w:rPr>
        <w:t>Généralités</w:t>
      </w:r>
      <w:r w:rsidRPr="00E06028">
        <w:rPr>
          <w:rFonts w:ascii="Noto Sans" w:hAnsi="Noto Sans" w:cs="Noto Sans"/>
          <w:sz w:val="20"/>
          <w:szCs w:val="20"/>
          <w:lang w:val="es-ES"/>
        </w:rPr>
        <w:br/>
      </w:r>
      <w:r w:rsidRPr="001D71EE">
        <w:rPr>
          <w:rFonts w:ascii="Noto Sans" w:hAnsi="Noto Sans" w:cs="Noto Sans"/>
          <w:sz w:val="20"/>
          <w:szCs w:val="20"/>
          <w:lang w:val="fr-FR"/>
        </w:rPr>
        <w:t xml:space="preserve">Les informations contenues dans ce communiqué de presse sont considérées comme vraies et exactes à la date de publication par Domino. Des changements de circonstances après la date de publication peuvent avoir un impact sur l'exactitude des informations. </w:t>
      </w:r>
      <w:r w:rsidRPr="004656B3">
        <w:rPr>
          <w:rFonts w:ascii="Noto Sans" w:hAnsi="Noto Sans" w:cs="Noto Sans"/>
          <w:sz w:val="20"/>
          <w:szCs w:val="20"/>
          <w:lang w:val="fr-FR"/>
        </w:rPr>
        <w:t>Tous les chiffres et déclarations en matière de résultats indiqués dans les présentes ont été obtenus dans des conditions particulières et ne peuvent être reproduits que dans des circonstances similaires. Pour toutes informations sur un produit particulier, contactez votre Représentant Domino local. Ce document n’est pas intégré aux conditions générales de vente entre vous-même et Domino.</w:t>
      </w:r>
      <w:r>
        <w:rPr>
          <w:rFonts w:ascii="Noto Sans" w:hAnsi="Noto Sans" w:cs="Noto Sans"/>
          <w:sz w:val="20"/>
          <w:szCs w:val="20"/>
          <w:lang w:val="fr-FR"/>
        </w:rPr>
        <w:br/>
      </w:r>
      <w:r w:rsidRPr="00E06028">
        <w:rPr>
          <w:rFonts w:ascii="Noto Sans" w:hAnsi="Noto Sans" w:cs="Noto Sans"/>
          <w:sz w:val="20"/>
          <w:szCs w:val="20"/>
          <w:lang w:val="fr-FR"/>
        </w:rPr>
        <w:br/>
      </w:r>
      <w:bookmarkStart w:id="1" w:name="_Hlk61949672"/>
      <w:r w:rsidRPr="00E06028">
        <w:rPr>
          <w:rFonts w:ascii="Noto Sans" w:eastAsia="Gill Sans" w:hAnsi="Noto Sans" w:cs="Noto Sans"/>
          <w:b/>
          <w:sz w:val="20"/>
          <w:szCs w:val="20"/>
          <w:lang w:val="es-ES"/>
        </w:rPr>
        <w:br/>
      </w:r>
      <w:r w:rsidRPr="00E06028">
        <w:rPr>
          <w:rFonts w:ascii="Noto Sans" w:eastAsia="Gill Sans" w:hAnsi="Noto Sans" w:cs="Noto Sans"/>
          <w:b/>
          <w:bCs/>
          <w:sz w:val="20"/>
          <w:szCs w:val="20"/>
          <w:lang w:val="fr-FR"/>
        </w:rPr>
        <w:t>Notes à l'attention des rédacteurs :</w:t>
      </w:r>
      <w:r w:rsidRPr="00E06028">
        <w:rPr>
          <w:rFonts w:ascii="Noto Sans" w:eastAsia="Gill Sans" w:hAnsi="Noto Sans" w:cs="Noto Sans"/>
          <w:b/>
          <w:sz w:val="20"/>
          <w:szCs w:val="20"/>
          <w:lang w:val="es-ES"/>
        </w:rPr>
        <w:br/>
      </w:r>
      <w:r w:rsidRPr="00E06028">
        <w:rPr>
          <w:rFonts w:ascii="Noto Sans" w:eastAsia="Gill Sans" w:hAnsi="Noto Sans" w:cs="Noto Sans"/>
          <w:sz w:val="20"/>
          <w:szCs w:val="20"/>
          <w:lang w:val="es-ES"/>
        </w:rPr>
        <w:br/>
      </w:r>
      <w:r w:rsidRPr="00E06028">
        <w:rPr>
          <w:rFonts w:ascii="Noto Sans" w:eastAsia="Gill Sans" w:hAnsi="Noto Sans" w:cs="Noto Sans"/>
          <w:b/>
          <w:bCs/>
          <w:sz w:val="20"/>
          <w:szCs w:val="20"/>
          <w:lang w:val="fr-FR"/>
        </w:rPr>
        <w:t>À propos de Domino</w:t>
      </w:r>
      <w:r w:rsidRPr="00E06028">
        <w:rPr>
          <w:rFonts w:ascii="Noto Sans" w:eastAsia="Gill Sans" w:hAnsi="Noto Sans" w:cs="Noto Sans"/>
          <w:b/>
          <w:sz w:val="20"/>
          <w:szCs w:val="20"/>
          <w:lang w:val="es-ES"/>
        </w:rPr>
        <w:br/>
      </w:r>
      <w:r w:rsidRPr="00E06028">
        <w:rPr>
          <w:rFonts w:ascii="Noto Sans" w:eastAsia="Gill Sans" w:hAnsi="Noto Sans" w:cs="Noto Sans"/>
          <w:sz w:val="20"/>
          <w:szCs w:val="20"/>
          <w:lang w:val="es-ES"/>
        </w:rPr>
        <w:br/>
      </w:r>
      <w:r w:rsidRPr="00E06028">
        <w:rPr>
          <w:rFonts w:ascii="Noto Sans" w:eastAsia="Gill Sans" w:hAnsi="Noto Sans" w:cs="Noto Sans"/>
          <w:sz w:val="20"/>
          <w:szCs w:val="20"/>
          <w:lang w:val="fr-FR"/>
        </w:rPr>
        <w:t xml:space="preserve">Fondée en 1978, Domino Printing Sciences (Domino) a acquis une réputation mondiale pour le développement et la fabrication de technologies de codage, de marquage et d'impression numérique, ainsi que pour la qualité de son service après-vente à l'international. Aujourd'hui, Domino propose l'un des portefeuilles les plus complets de solutions intégrales de codage afin de répondre aux exigences de conformité et de productivité des fabricants à travers de nombreux secteurs, notamment l'agroalimentaire, les boissons, et les produits pharmaceutiques et industriels. Les technologies de base de l'entreprise incluent des systèmes </w:t>
      </w:r>
      <w:r w:rsidRPr="00E06028">
        <w:rPr>
          <w:rFonts w:ascii="Noto Sans" w:eastAsia="Gill Sans" w:hAnsi="Noto Sans" w:cs="Noto Sans"/>
          <w:sz w:val="20"/>
          <w:szCs w:val="20"/>
          <w:lang w:val="fr-FR"/>
        </w:rPr>
        <w:lastRenderedPageBreak/>
        <w:t xml:space="preserve">innovants comme le jet d'encre, le laser, l’impression-pose d’étiquettes et le codage transfert thermique conçus pour l'application de données variables, de codes à barres et de codes de traçabilité uniques sur les produits et les emballages. </w:t>
      </w:r>
      <w:r w:rsidRPr="00E06028">
        <w:rPr>
          <w:rFonts w:ascii="Noto Sans" w:eastAsia="Gill Sans" w:hAnsi="Noto Sans" w:cs="Noto Sans"/>
          <w:sz w:val="20"/>
          <w:szCs w:val="20"/>
          <w:lang w:val="fr-FR"/>
        </w:rPr>
        <w:br/>
      </w:r>
      <w:r w:rsidRPr="00E06028">
        <w:rPr>
          <w:rFonts w:ascii="Noto Sans" w:eastAsia="Gill Sans" w:hAnsi="Noto Sans" w:cs="Noto Sans"/>
          <w:sz w:val="20"/>
          <w:szCs w:val="20"/>
          <w:lang w:val="fr-FR"/>
        </w:rPr>
        <w:br/>
        <w:t>Domino emploie plus de 3 000 personnes à travers le monde et ses produits sont vendus dans plus de 120 pays grâce à un réseau mondial de 29 filiales et de plus de 200 distributeurs. Domino possède des sites de production en Allemagne, en Chine, aux États-Unis, en Inde, au Royaume-Uni, en Suède et en Suisse.</w:t>
      </w:r>
      <w:r w:rsidRPr="00E06028">
        <w:rPr>
          <w:rFonts w:ascii="Noto Sans" w:eastAsia="Gill Sans" w:hAnsi="Noto Sans" w:cs="Noto Sans"/>
          <w:sz w:val="20"/>
          <w:szCs w:val="20"/>
          <w:lang w:val="fr-FR"/>
        </w:rPr>
        <w:br/>
      </w:r>
      <w:r w:rsidRPr="00E06028">
        <w:rPr>
          <w:rFonts w:ascii="Noto Sans" w:eastAsia="Gill Sans" w:hAnsi="Noto Sans" w:cs="Noto Sans"/>
          <w:sz w:val="20"/>
          <w:szCs w:val="20"/>
          <w:lang w:val="fr-FR"/>
        </w:rPr>
        <w:br/>
        <w:t xml:space="preserve">Depuis le 11 juin 2015, Domino est une division autonome de Brother Industries Ltd. </w:t>
      </w:r>
      <w:r w:rsidRPr="00E06028">
        <w:rPr>
          <w:rFonts w:ascii="Noto Sans" w:eastAsia="Gill Sans" w:hAnsi="Noto Sans" w:cs="Noto Sans"/>
          <w:sz w:val="20"/>
          <w:szCs w:val="20"/>
          <w:lang w:val="fr-FR"/>
        </w:rPr>
        <w:br/>
      </w:r>
      <w:r w:rsidRPr="00E06028">
        <w:rPr>
          <w:rFonts w:ascii="Noto Sans" w:eastAsia="Gill Sans" w:hAnsi="Noto Sans" w:cs="Noto Sans"/>
          <w:sz w:val="20"/>
          <w:szCs w:val="20"/>
          <w:lang w:val="fr-FR"/>
        </w:rPr>
        <w:br/>
        <w:t xml:space="preserve">Pour plus d'informations sur Domino, veuillez consulter </w:t>
      </w:r>
      <w:hyperlink r:id="rId9" w:history="1">
        <w:r w:rsidRPr="00E06028">
          <w:rPr>
            <w:rStyle w:val="Hyperlink"/>
            <w:rFonts w:ascii="Noto Sans" w:eastAsia="Gill Sans" w:hAnsi="Noto Sans" w:cs="Noto Sans"/>
            <w:sz w:val="20"/>
            <w:szCs w:val="20"/>
            <w:lang w:val="fr-FR"/>
          </w:rPr>
          <w:t>www.domino-printing.com</w:t>
        </w:r>
      </w:hyperlink>
      <w:r w:rsidRPr="00E06028">
        <w:rPr>
          <w:rFonts w:ascii="Noto Sans" w:eastAsia="Gill Sans" w:hAnsi="Noto Sans" w:cs="Noto Sans"/>
          <w:sz w:val="20"/>
          <w:szCs w:val="20"/>
          <w:lang w:val="fr-FR"/>
        </w:rPr>
        <w:t xml:space="preserve"> </w:t>
      </w:r>
      <w:r w:rsidRPr="00E06028">
        <w:rPr>
          <w:rFonts w:ascii="Noto Sans" w:eastAsia="Gill Sans" w:hAnsi="Noto Sans" w:cs="Noto Sans"/>
          <w:sz w:val="20"/>
          <w:szCs w:val="20"/>
          <w:lang w:val="fr-FR"/>
        </w:rPr>
        <w:br/>
      </w:r>
      <w:r w:rsidRPr="00E06028">
        <w:rPr>
          <w:rFonts w:ascii="Noto Sans" w:eastAsia="Gill Sans" w:hAnsi="Noto Sans" w:cs="Noto Sans"/>
          <w:sz w:val="20"/>
          <w:szCs w:val="20"/>
          <w:lang w:val="fr-FR"/>
        </w:rPr>
        <w:br/>
      </w:r>
      <w:r w:rsidRPr="00E06028">
        <w:rPr>
          <w:rFonts w:ascii="Noto Sans" w:eastAsia="Gill Sans" w:hAnsi="Noto Sans" w:cs="Noto Sans"/>
          <w:b/>
          <w:bCs/>
          <w:sz w:val="20"/>
          <w:szCs w:val="20"/>
          <w:lang w:val="fr-FR"/>
        </w:rPr>
        <w:t>Pour de plus amples renseignements, veuillez contacter :</w:t>
      </w:r>
      <w:r w:rsidRPr="00E06028">
        <w:rPr>
          <w:rFonts w:ascii="Noto Sans" w:eastAsia="Gill Sans" w:hAnsi="Noto Sans" w:cs="Noto Sans"/>
          <w:b/>
          <w:sz w:val="20"/>
          <w:szCs w:val="20"/>
          <w:lang w:val="fr-FR"/>
        </w:rPr>
        <w:br/>
      </w:r>
      <w:r w:rsidRPr="00E06028">
        <w:rPr>
          <w:rFonts w:ascii="Noto Sans" w:eastAsia="Gill Sans" w:hAnsi="Noto Sans" w:cs="Noto Sans"/>
          <w:b/>
          <w:sz w:val="20"/>
          <w:szCs w:val="20"/>
          <w:lang w:val="fr-FR"/>
        </w:rPr>
        <w:br/>
      </w:r>
      <w:r w:rsidRPr="00F4774E">
        <w:rPr>
          <w:rFonts w:ascii="Noto Sans" w:hAnsi="Noto Sans" w:cs="Noto Sans"/>
          <w:sz w:val="20"/>
          <w:szCs w:val="20"/>
          <w:lang w:val="nl"/>
        </w:rPr>
        <w:t>Jade Taylor-Salazar</w:t>
      </w:r>
      <w:r w:rsidRPr="00E06028">
        <w:rPr>
          <w:rFonts w:ascii="Noto Sans" w:hAnsi="Noto Sans" w:cs="Noto Sans"/>
          <w:sz w:val="20"/>
          <w:szCs w:val="20"/>
          <w:lang w:val="fr-FR"/>
        </w:rPr>
        <w:br/>
        <w:t xml:space="preserve">Spécialiste en contenu rédactionnel </w:t>
      </w:r>
      <w:r w:rsidRPr="00E06028">
        <w:rPr>
          <w:rFonts w:ascii="Noto Sans" w:hAnsi="Noto Sans" w:cs="Noto Sans"/>
          <w:sz w:val="20"/>
          <w:szCs w:val="20"/>
          <w:lang w:val="fr-FR"/>
        </w:rPr>
        <w:br/>
        <w:t xml:space="preserve">Domino Printing Sciences </w:t>
      </w:r>
      <w:r w:rsidRPr="00E06028">
        <w:rPr>
          <w:rFonts w:ascii="Noto Sans" w:hAnsi="Noto Sans" w:cs="Noto Sans"/>
          <w:sz w:val="20"/>
          <w:szCs w:val="20"/>
          <w:lang w:val="fr-FR"/>
        </w:rPr>
        <w:br/>
        <w:t>Tél. : +44 (0) 1954 778780</w:t>
      </w:r>
      <w:r w:rsidRPr="00E06028">
        <w:rPr>
          <w:rFonts w:ascii="Noto Sans" w:hAnsi="Noto Sans" w:cs="Noto Sans"/>
          <w:sz w:val="20"/>
          <w:szCs w:val="20"/>
          <w:lang w:val="fr-FR"/>
        </w:rPr>
        <w:br/>
      </w:r>
      <w:hyperlink r:id="rId10" w:history="1">
        <w:r w:rsidRPr="00F623A5">
          <w:rPr>
            <w:rStyle w:val="Hyperlink"/>
            <w:rFonts w:ascii="Noto Sans" w:hAnsi="Noto Sans" w:cs="Noto Sans"/>
            <w:sz w:val="20"/>
            <w:szCs w:val="20"/>
            <w:lang w:val="fr-FR"/>
          </w:rPr>
          <w:t>Jade.Taylor-Salazar@domino-uk.com</w:t>
        </w:r>
      </w:hyperlink>
      <w:r w:rsidRPr="00E06028">
        <w:rPr>
          <w:rFonts w:ascii="Noto Sans" w:eastAsia="Verdana" w:hAnsi="Noto Sans" w:cs="Noto Sans"/>
          <w:sz w:val="20"/>
          <w:szCs w:val="20"/>
          <w:lang w:val="fr-FR"/>
        </w:rPr>
        <w:br/>
      </w:r>
      <w:r w:rsidRPr="00E06028">
        <w:rPr>
          <w:rFonts w:ascii="Noto Sans" w:eastAsia="Verdana" w:hAnsi="Noto Sans" w:cs="Noto Sans"/>
          <w:sz w:val="20"/>
          <w:szCs w:val="20"/>
          <w:lang w:val="fr-FR"/>
        </w:rPr>
        <w:br/>
      </w:r>
      <w:bookmarkEnd w:id="0"/>
      <w:bookmarkEnd w:id="1"/>
      <w:r w:rsidRPr="00E06028">
        <w:rPr>
          <w:rFonts w:ascii="Noto Sans" w:hAnsi="Noto Sans" w:cs="Noto Sans"/>
          <w:sz w:val="20"/>
          <w:szCs w:val="20"/>
          <w:lang w:val="fr-FR"/>
        </w:rPr>
        <w:t>Delphine Baudesson</w:t>
      </w:r>
      <w:r w:rsidRPr="00E06028">
        <w:rPr>
          <w:rFonts w:ascii="Noto Sans" w:hAnsi="Noto Sans" w:cs="Noto Sans"/>
          <w:sz w:val="20"/>
          <w:szCs w:val="20"/>
          <w:lang w:val="fr-FR"/>
        </w:rPr>
        <w:br/>
        <w:t xml:space="preserve">Responsable du marketing </w:t>
      </w:r>
      <w:r w:rsidRPr="00E06028">
        <w:rPr>
          <w:rFonts w:ascii="Noto Sans" w:hAnsi="Noto Sans" w:cs="Noto Sans"/>
          <w:sz w:val="20"/>
          <w:szCs w:val="20"/>
          <w:lang w:val="fr-FR"/>
        </w:rPr>
        <w:br/>
        <w:t>Domino Printing Sciences France</w:t>
      </w:r>
      <w:r w:rsidRPr="00E06028">
        <w:rPr>
          <w:rFonts w:ascii="Noto Sans" w:hAnsi="Noto Sans" w:cs="Noto Sans"/>
          <w:sz w:val="20"/>
          <w:szCs w:val="20"/>
          <w:lang w:val="fr-FR"/>
        </w:rPr>
        <w:br/>
        <w:t>Tél. : +33 6 78 58 81 59</w:t>
      </w:r>
      <w:r w:rsidRPr="00E06028">
        <w:rPr>
          <w:rFonts w:ascii="Noto Sans" w:hAnsi="Noto Sans" w:cs="Noto Sans"/>
          <w:sz w:val="20"/>
          <w:szCs w:val="20"/>
          <w:lang w:val="fr-FR"/>
        </w:rPr>
        <w:br/>
      </w:r>
      <w:hyperlink r:id="rId11" w:history="1">
        <w:r w:rsidRPr="00E06028">
          <w:rPr>
            <w:rStyle w:val="Hyperlink"/>
            <w:rFonts w:ascii="Noto Sans" w:hAnsi="Noto Sans" w:cs="Noto Sans"/>
            <w:sz w:val="20"/>
            <w:szCs w:val="20"/>
            <w:lang w:val="fr-FR"/>
          </w:rPr>
          <w:t>delphine.baudesson@domino-marquage.com</w:t>
        </w:r>
      </w:hyperlink>
      <w:r w:rsidRPr="00E06028">
        <w:rPr>
          <w:rStyle w:val="Hyperlink"/>
          <w:rFonts w:ascii="Noto Sans" w:hAnsi="Noto Sans" w:cs="Noto Sans"/>
          <w:sz w:val="20"/>
          <w:szCs w:val="20"/>
          <w:lang w:val="fr-FR"/>
        </w:rPr>
        <w:br/>
      </w:r>
      <w:r w:rsidRPr="00E06028">
        <w:rPr>
          <w:rFonts w:ascii="Noto Sans" w:hAnsi="Noto Sans" w:cs="Noto Sans"/>
          <w:sz w:val="20"/>
          <w:szCs w:val="20"/>
          <w:lang w:val="fr-FR"/>
        </w:rPr>
        <w:br/>
      </w:r>
    </w:p>
    <w:p w14:paraId="6BEB89D0" w14:textId="77777777" w:rsidR="002C1032" w:rsidRPr="002C1032" w:rsidRDefault="002C1032" w:rsidP="008E7573">
      <w:pPr>
        <w:rPr>
          <w:sz w:val="22"/>
        </w:rPr>
      </w:pPr>
    </w:p>
    <w:sectPr w:rsidR="002C1032" w:rsidRPr="002C1032" w:rsidSect="000F6D00">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1531" w:footer="22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B71AA" w14:textId="77777777" w:rsidR="004909D7" w:rsidRDefault="004909D7" w:rsidP="00785717">
      <w:pPr>
        <w:spacing w:line="240" w:lineRule="auto"/>
      </w:pPr>
      <w:r>
        <w:separator/>
      </w:r>
    </w:p>
  </w:endnote>
  <w:endnote w:type="continuationSeparator" w:id="0">
    <w:p w14:paraId="192540F0" w14:textId="77777777" w:rsidR="004909D7" w:rsidRDefault="004909D7" w:rsidP="007857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Noto Sans">
    <w:panose1 w:val="020B0502040504020204"/>
    <w:charset w:val="00"/>
    <w:family w:val="swiss"/>
    <w:pitch w:val="variable"/>
    <w:sig w:usb0="E00002FF" w:usb1="4000201F" w:usb2="08000029" w:usb3="00000000" w:csb0="0000019F" w:csb1="00000000"/>
  </w:font>
  <w:font w:name="Gill Sans">
    <w:altName w:val="Arial"/>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0F32A" w14:textId="77777777" w:rsidR="00EC1C5A" w:rsidRDefault="00EC1C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523E4" w14:textId="77777777" w:rsidR="00785717" w:rsidRDefault="000F6D00" w:rsidP="00785717">
    <w:pPr>
      <w:pStyle w:val="Footer"/>
    </w:pPr>
    <w:r>
      <w:rPr>
        <w:noProof/>
      </w:rPr>
      <w:drawing>
        <wp:anchor distT="0" distB="0" distL="114300" distR="114300" simplePos="0" relativeHeight="251659264" behindDoc="0" locked="0" layoutInCell="1" allowOverlap="1" wp14:anchorId="5F1A3A08" wp14:editId="0C311E39">
          <wp:simplePos x="0" y="0"/>
          <wp:positionH relativeFrom="column">
            <wp:posOffset>4953000</wp:posOffset>
          </wp:positionH>
          <wp:positionV relativeFrom="paragraph">
            <wp:posOffset>1231440</wp:posOffset>
          </wp:positionV>
          <wp:extent cx="1466850" cy="1393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466850" cy="139350"/>
                  </a:xfrm>
                  <a:prstGeom prst="rect">
                    <a:avLst/>
                  </a:prstGeom>
                </pic:spPr>
              </pic:pic>
            </a:graphicData>
          </a:graphic>
          <wp14:sizeRelH relativeFrom="margin">
            <wp14:pctWidth>0</wp14:pctWidth>
          </wp14:sizeRelH>
          <wp14:sizeRelV relativeFrom="margin">
            <wp14:pctHeight>0</wp14:pctHeight>
          </wp14:sizeRelV>
        </wp:anchor>
      </w:drawing>
    </w:r>
    <w:r w:rsidR="00BC7C15">
      <w:rPr>
        <w:noProof/>
      </w:rPr>
      <w:drawing>
        <wp:anchor distT="0" distB="0" distL="114300" distR="114300" simplePos="0" relativeHeight="251658240" behindDoc="1" locked="0" layoutInCell="1" allowOverlap="1" wp14:anchorId="536137F7" wp14:editId="53ACCE9A">
          <wp:simplePos x="0" y="0"/>
          <wp:positionH relativeFrom="page">
            <wp:posOffset>47625</wp:posOffset>
          </wp:positionH>
          <wp:positionV relativeFrom="page">
            <wp:posOffset>9247505</wp:posOffset>
          </wp:positionV>
          <wp:extent cx="7448550" cy="1259840"/>
          <wp:effectExtent l="0" t="0" r="0" b="0"/>
          <wp:wrapNone/>
          <wp:docPr id="1" name="Picture 1" descr="A picture containing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knif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448550" cy="125984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3FA95" w14:textId="77777777" w:rsidR="00EC1C5A" w:rsidRDefault="00EC1C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9F58E" w14:textId="77777777" w:rsidR="004909D7" w:rsidRDefault="004909D7" w:rsidP="00785717">
      <w:pPr>
        <w:spacing w:line="240" w:lineRule="auto"/>
      </w:pPr>
      <w:r>
        <w:separator/>
      </w:r>
    </w:p>
  </w:footnote>
  <w:footnote w:type="continuationSeparator" w:id="0">
    <w:p w14:paraId="3718D310" w14:textId="77777777" w:rsidR="004909D7" w:rsidRDefault="004909D7" w:rsidP="0078571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7E0BA" w14:textId="77777777" w:rsidR="00EC1C5A" w:rsidRDefault="00EC1C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5D583" w14:textId="77777777" w:rsidR="000F6D00" w:rsidRDefault="002766D9">
    <w:pPr>
      <w:pStyle w:val="Header"/>
    </w:pPr>
    <w:r>
      <w:rPr>
        <w:noProof/>
      </w:rPr>
      <w:drawing>
        <wp:anchor distT="0" distB="0" distL="114300" distR="114300" simplePos="0" relativeHeight="251661312" behindDoc="0" locked="0" layoutInCell="1" allowOverlap="1" wp14:anchorId="652D8042" wp14:editId="1D9E5B1D">
          <wp:simplePos x="0" y="0"/>
          <wp:positionH relativeFrom="page">
            <wp:posOffset>228600</wp:posOffset>
          </wp:positionH>
          <wp:positionV relativeFrom="paragraph">
            <wp:posOffset>-972185</wp:posOffset>
          </wp:positionV>
          <wp:extent cx="2781300" cy="1096645"/>
          <wp:effectExtent l="0" t="0" r="0" b="0"/>
          <wp:wrapSquare wrapText="bothSides"/>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a:picLocks noChangeAspect="1" noChangeArrowheads="1"/>
                  </pic:cNvPicPr>
                </pic:nvPicPr>
                <pic:blipFill rotWithShape="1">
                  <a:blip r:embed="rId1">
                    <a:clrChange>
                      <a:clrFrom>
                        <a:srgbClr val="FFFEFD"/>
                      </a:clrFrom>
                      <a:clrTo>
                        <a:srgbClr val="FFFEFD">
                          <a:alpha val="0"/>
                        </a:srgbClr>
                      </a:clrTo>
                    </a:clrChange>
                    <a:extLst>
                      <a:ext uri="{28A0092B-C50C-407E-A947-70E740481C1C}">
                        <a14:useLocalDpi xmlns:a14="http://schemas.microsoft.com/office/drawing/2010/main" val="0"/>
                      </a:ext>
                    </a:extLst>
                  </a:blip>
                  <a:srcRect b="11420"/>
                  <a:stretch/>
                </pic:blipFill>
                <pic:spPr bwMode="auto">
                  <a:xfrm>
                    <a:off x="0" y="0"/>
                    <a:ext cx="2781300" cy="10966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1E02A" w14:textId="77777777" w:rsidR="00EC1C5A" w:rsidRDefault="00EC1C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804E7"/>
    <w:multiLevelType w:val="hybridMultilevel"/>
    <w:tmpl w:val="7D884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EE35C6D"/>
    <w:multiLevelType w:val="hybridMultilevel"/>
    <w:tmpl w:val="3594DF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A60E99"/>
    <w:multiLevelType w:val="hybridMultilevel"/>
    <w:tmpl w:val="52DACE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46367333">
    <w:abstractNumId w:val="0"/>
  </w:num>
  <w:num w:numId="2" w16cid:durableId="44304865">
    <w:abstractNumId w:val="1"/>
  </w:num>
  <w:num w:numId="3" w16cid:durableId="17965551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64D"/>
    <w:rsid w:val="0002201E"/>
    <w:rsid w:val="000F6D00"/>
    <w:rsid w:val="00113106"/>
    <w:rsid w:val="001D743C"/>
    <w:rsid w:val="002766D9"/>
    <w:rsid w:val="002C1032"/>
    <w:rsid w:val="002C3337"/>
    <w:rsid w:val="00372E92"/>
    <w:rsid w:val="004909D7"/>
    <w:rsid w:val="005272B1"/>
    <w:rsid w:val="005524DB"/>
    <w:rsid w:val="005741C7"/>
    <w:rsid w:val="0060122E"/>
    <w:rsid w:val="00647055"/>
    <w:rsid w:val="00660F46"/>
    <w:rsid w:val="00682566"/>
    <w:rsid w:val="00785717"/>
    <w:rsid w:val="008220B7"/>
    <w:rsid w:val="00823B77"/>
    <w:rsid w:val="008916A8"/>
    <w:rsid w:val="008B6461"/>
    <w:rsid w:val="008E7573"/>
    <w:rsid w:val="008F3E38"/>
    <w:rsid w:val="008F74D8"/>
    <w:rsid w:val="00931996"/>
    <w:rsid w:val="00943A95"/>
    <w:rsid w:val="00993248"/>
    <w:rsid w:val="009A1716"/>
    <w:rsid w:val="009A1DEC"/>
    <w:rsid w:val="009D6280"/>
    <w:rsid w:val="009E564D"/>
    <w:rsid w:val="00A34918"/>
    <w:rsid w:val="00AB11DA"/>
    <w:rsid w:val="00B23C3C"/>
    <w:rsid w:val="00B546C5"/>
    <w:rsid w:val="00BC7C15"/>
    <w:rsid w:val="00C063FE"/>
    <w:rsid w:val="00C44603"/>
    <w:rsid w:val="00C541FE"/>
    <w:rsid w:val="00CF1AD5"/>
    <w:rsid w:val="00E03029"/>
    <w:rsid w:val="00EC1C5A"/>
    <w:rsid w:val="00F82F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75E0C"/>
  <w15:chartTrackingRefBased/>
  <w15:docId w15:val="{C5FE791E-4976-45BD-8795-31D7E3D9B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43C"/>
    <w:pPr>
      <w:spacing w:after="0" w:line="360" w:lineRule="auto"/>
    </w:pPr>
    <w:rPr>
      <w:rFonts w:ascii="Verdana" w:eastAsia="Calibri" w:hAnsi="Verdana" w:cs="Times New Roman"/>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717"/>
    <w:pPr>
      <w:tabs>
        <w:tab w:val="center" w:pos="4513"/>
        <w:tab w:val="right" w:pos="9026"/>
      </w:tabs>
      <w:spacing w:line="240" w:lineRule="auto"/>
    </w:pPr>
    <w:rPr>
      <w:rFonts w:asciiTheme="minorHAnsi" w:eastAsiaTheme="minorHAnsi" w:hAnsiTheme="minorHAnsi" w:cstheme="minorBidi"/>
      <w:sz w:val="22"/>
    </w:rPr>
  </w:style>
  <w:style w:type="character" w:customStyle="1" w:styleId="HeaderChar">
    <w:name w:val="Header Char"/>
    <w:basedOn w:val="DefaultParagraphFont"/>
    <w:link w:val="Header"/>
    <w:uiPriority w:val="99"/>
    <w:rsid w:val="00785717"/>
  </w:style>
  <w:style w:type="paragraph" w:styleId="Footer">
    <w:name w:val="footer"/>
    <w:basedOn w:val="Normal"/>
    <w:link w:val="FooterChar"/>
    <w:uiPriority w:val="99"/>
    <w:unhideWhenUsed/>
    <w:rsid w:val="00785717"/>
    <w:pPr>
      <w:tabs>
        <w:tab w:val="center" w:pos="4513"/>
        <w:tab w:val="right" w:pos="9026"/>
      </w:tabs>
      <w:spacing w:line="240" w:lineRule="auto"/>
    </w:pPr>
    <w:rPr>
      <w:rFonts w:asciiTheme="minorHAnsi" w:eastAsiaTheme="minorHAnsi" w:hAnsiTheme="minorHAnsi" w:cstheme="minorBidi"/>
      <w:sz w:val="22"/>
    </w:rPr>
  </w:style>
  <w:style w:type="character" w:customStyle="1" w:styleId="FooterChar">
    <w:name w:val="Footer Char"/>
    <w:basedOn w:val="DefaultParagraphFont"/>
    <w:link w:val="Footer"/>
    <w:uiPriority w:val="99"/>
    <w:rsid w:val="00785717"/>
  </w:style>
  <w:style w:type="character" w:styleId="Hyperlink">
    <w:name w:val="Hyperlink"/>
    <w:basedOn w:val="DefaultParagraphFont"/>
    <w:uiPriority w:val="99"/>
    <w:rsid w:val="001D743C"/>
    <w:rPr>
      <w:color w:val="0000FF"/>
      <w:u w:val="single"/>
    </w:rPr>
  </w:style>
  <w:style w:type="paragraph" w:styleId="NoSpacing">
    <w:name w:val="No Spacing"/>
    <w:uiPriority w:val="1"/>
    <w:qFormat/>
    <w:rsid w:val="001D743C"/>
    <w:pPr>
      <w:spacing w:after="0" w:line="240" w:lineRule="auto"/>
    </w:pPr>
    <w:rPr>
      <w:rFonts w:ascii="Verdana" w:eastAsia="Calibri" w:hAnsi="Verdana" w:cs="Times New Roman"/>
      <w:sz w:val="18"/>
    </w:rPr>
  </w:style>
  <w:style w:type="character" w:styleId="UnresolvedMention">
    <w:name w:val="Unresolved Mention"/>
    <w:basedOn w:val="DefaultParagraphFont"/>
    <w:uiPriority w:val="99"/>
    <w:semiHidden/>
    <w:unhideWhenUsed/>
    <w:rsid w:val="00931996"/>
    <w:rPr>
      <w:color w:val="605E5C"/>
      <w:shd w:val="clear" w:color="auto" w:fill="E1DFDD"/>
    </w:rPr>
  </w:style>
  <w:style w:type="paragraph" w:styleId="ListParagraph">
    <w:name w:val="List Paragraph"/>
    <w:basedOn w:val="Normal"/>
    <w:uiPriority w:val="34"/>
    <w:qFormat/>
    <w:rsid w:val="002C1032"/>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CommentReference">
    <w:name w:val="annotation reference"/>
    <w:basedOn w:val="DefaultParagraphFont"/>
    <w:uiPriority w:val="99"/>
    <w:semiHidden/>
    <w:unhideWhenUsed/>
    <w:rsid w:val="002C1032"/>
    <w:rPr>
      <w:sz w:val="16"/>
      <w:szCs w:val="16"/>
    </w:rPr>
  </w:style>
  <w:style w:type="paragraph" w:styleId="CommentText">
    <w:name w:val="annotation text"/>
    <w:basedOn w:val="Normal"/>
    <w:link w:val="CommentTextChar"/>
    <w:uiPriority w:val="99"/>
    <w:unhideWhenUsed/>
    <w:rsid w:val="002C1032"/>
    <w:pPr>
      <w:spacing w:after="160" w:line="240" w:lineRule="auto"/>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2C1032"/>
    <w:rPr>
      <w:kern w:val="2"/>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mino-printing.com/fr-fr/company/corporate-social-responsibility?utm_medium=non-paid&amp;utm_source=onlinepublication&amp;utm_content=csr-report-2025-pr-fr&amp;utm_campaign=2026-int-fr-'global-pr-cm-fy26-q2"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domino-printing.com/fr-fr/news-and-events/news.aspx?utm_medium=non-paid&amp;utm_source=onlinepublication&amp;utm_content=csr-report-2025-pr-fr&amp;utm_campaign=2026-int-fr-'global-pr-cm-fy26-q2"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elphine.baudesson@domino-marquage.com"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Jade.Taylor-Salazar@domino-uk.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domino-printing.com"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_Taylor-Salazar\AppData\Roaming\Microsoft\Templates\header%20and%20foo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header and footer</Template>
  <TotalTime>5</TotalTime>
  <Pages>4</Pages>
  <Words>1405</Words>
  <Characters>8015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Jade Taylor-Salazar</dc:creator>
  <cp:keywords/>
  <dc:description/>
  <cp:lastModifiedBy>Rachael Cooper</cp:lastModifiedBy>
  <cp:revision>2</cp:revision>
  <dcterms:created xsi:type="dcterms:W3CDTF">2026-09-14T16:01:00Z</dcterms:created>
  <dcterms:modified xsi:type="dcterms:W3CDTF">2026-09-14T16:01:00Z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8c460ca5-f23d-4821-b40e-ba4a1f2458c0</vt:lpwstr>
  </property>
</Properties>
</file>