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554647" w14:textId="3C6C5112" w:rsidR="00966602" w:rsidRPr="000D26D3" w:rsidRDefault="00546A53" w:rsidP="00966602">
      <w:pPr>
        <w:spacing w:after="0" w:line="240" w:lineRule="auto"/>
        <w:jc w:val="right"/>
        <w:rPr>
          <w:lang w:val="en-GB"/>
        </w:rPr>
      </w:pPr>
      <w:r w:rsidRPr="000D26D3">
        <w:rPr>
          <w:lang w:val="en-GB"/>
        </w:rPr>
        <w:t>Gliwice</w:t>
      </w:r>
      <w:r w:rsidR="00966602" w:rsidRPr="000D26D3">
        <w:rPr>
          <w:lang w:val="en-GB"/>
        </w:rPr>
        <w:t xml:space="preserve">, </w:t>
      </w:r>
      <w:r w:rsidR="000D26D3" w:rsidRPr="000D26D3">
        <w:rPr>
          <w:lang w:val="en-GB"/>
        </w:rPr>
        <w:t xml:space="preserve">September </w:t>
      </w:r>
      <w:r w:rsidR="00EC66D1">
        <w:rPr>
          <w:lang w:val="en-GB"/>
        </w:rPr>
        <w:t>15</w:t>
      </w:r>
      <w:r w:rsidR="000D26D3" w:rsidRPr="000D26D3">
        <w:rPr>
          <w:lang w:val="en-GB"/>
        </w:rPr>
        <w:t>, 2026</w:t>
      </w:r>
    </w:p>
    <w:p w14:paraId="6D75CFFB" w14:textId="29F455E5" w:rsidR="00966602" w:rsidRPr="000D26D3" w:rsidRDefault="000D26D3" w:rsidP="00966602">
      <w:pPr>
        <w:spacing w:after="0" w:line="240" w:lineRule="auto"/>
        <w:jc w:val="right"/>
        <w:rPr>
          <w:b/>
          <w:bCs/>
          <w:lang w:val="en-GB"/>
        </w:rPr>
      </w:pPr>
      <w:r w:rsidRPr="000D26D3">
        <w:rPr>
          <w:b/>
          <w:bCs/>
          <w:lang w:val="en-GB"/>
        </w:rPr>
        <w:t>Press re</w:t>
      </w:r>
      <w:r>
        <w:rPr>
          <w:b/>
          <w:bCs/>
          <w:lang w:val="en-GB"/>
        </w:rPr>
        <w:t>lease</w:t>
      </w:r>
    </w:p>
    <w:p w14:paraId="3603B486" w14:textId="77777777" w:rsidR="00E30584" w:rsidRPr="000D26D3" w:rsidRDefault="00E30584" w:rsidP="00966602">
      <w:pPr>
        <w:spacing w:after="0" w:line="240" w:lineRule="auto"/>
        <w:jc w:val="right"/>
        <w:rPr>
          <w:b/>
          <w:bCs/>
          <w:lang w:val="en-GB"/>
        </w:rPr>
      </w:pPr>
    </w:p>
    <w:p w14:paraId="2B093B10" w14:textId="146324F7" w:rsidR="009979A6" w:rsidRDefault="00D56D24" w:rsidP="00D56D24">
      <w:pPr>
        <w:jc w:val="center"/>
        <w:rPr>
          <w:b/>
          <w:bCs/>
          <w:lang w:val="en-GB"/>
        </w:rPr>
      </w:pPr>
      <w:r w:rsidRPr="00D56D24">
        <w:rPr>
          <w:b/>
          <w:bCs/>
        </w:rPr>
        <w:t xml:space="preserve">White Star Real Estate appointed </w:t>
      </w:r>
      <w:r w:rsidR="00245824">
        <w:rPr>
          <w:b/>
          <w:bCs/>
        </w:rPr>
        <w:t>P</w:t>
      </w:r>
      <w:r w:rsidRPr="00D56D24">
        <w:rPr>
          <w:b/>
          <w:bCs/>
        </w:rPr>
        <w:t xml:space="preserve">roperty </w:t>
      </w:r>
      <w:r w:rsidR="00245824">
        <w:rPr>
          <w:b/>
          <w:bCs/>
        </w:rPr>
        <w:t>M</w:t>
      </w:r>
      <w:r w:rsidRPr="00D56D24">
        <w:rPr>
          <w:b/>
          <w:bCs/>
        </w:rPr>
        <w:t>anager of Forum Gliwice</w:t>
      </w:r>
    </w:p>
    <w:p w14:paraId="50001145" w14:textId="5968CF78" w:rsidR="002776E4" w:rsidRPr="002776E4" w:rsidRDefault="002776E4" w:rsidP="002776E4">
      <w:pPr>
        <w:jc w:val="both"/>
        <w:rPr>
          <w:b/>
          <w:bCs/>
          <w:lang w:val="en-GB"/>
        </w:rPr>
      </w:pPr>
      <w:r w:rsidRPr="002776E4">
        <w:rPr>
          <w:b/>
          <w:bCs/>
          <w:lang w:val="en-GB"/>
        </w:rPr>
        <w:t xml:space="preserve">Deka </w:t>
      </w:r>
      <w:proofErr w:type="spellStart"/>
      <w:r w:rsidRPr="002776E4">
        <w:rPr>
          <w:b/>
          <w:bCs/>
          <w:lang w:val="en-GB"/>
        </w:rPr>
        <w:t>Immobilien</w:t>
      </w:r>
      <w:proofErr w:type="spellEnd"/>
      <w:r w:rsidRPr="002776E4">
        <w:rPr>
          <w:b/>
          <w:bCs/>
          <w:lang w:val="en-GB"/>
        </w:rPr>
        <w:t xml:space="preserve"> Investment GmbH has entrusted White Star Real Estate with the comprehensive management of Forum Gliwice, one of the largest retail and leisure centres in Silesia. Since September 2026, in addition to its existing </w:t>
      </w:r>
      <w:r w:rsidR="00245824">
        <w:rPr>
          <w:b/>
          <w:bCs/>
          <w:lang w:val="en-GB"/>
        </w:rPr>
        <w:t>L</w:t>
      </w:r>
      <w:r w:rsidRPr="002776E4">
        <w:rPr>
          <w:b/>
          <w:bCs/>
          <w:lang w:val="en-GB"/>
        </w:rPr>
        <w:t xml:space="preserve">easing role, WSRE has also been responsible for </w:t>
      </w:r>
      <w:r w:rsidR="006336B7">
        <w:rPr>
          <w:b/>
          <w:bCs/>
          <w:lang w:val="en-GB"/>
        </w:rPr>
        <w:t>P</w:t>
      </w:r>
      <w:r w:rsidRPr="002776E4">
        <w:rPr>
          <w:b/>
          <w:bCs/>
          <w:lang w:val="en-GB"/>
        </w:rPr>
        <w:t xml:space="preserve">roperty </w:t>
      </w:r>
      <w:r w:rsidR="006336B7">
        <w:rPr>
          <w:b/>
          <w:bCs/>
          <w:lang w:val="en-GB"/>
        </w:rPr>
        <w:t>M</w:t>
      </w:r>
      <w:r w:rsidRPr="002776E4">
        <w:rPr>
          <w:b/>
          <w:bCs/>
          <w:lang w:val="en-GB"/>
        </w:rPr>
        <w:t xml:space="preserve">anagement, including the centre’s </w:t>
      </w:r>
      <w:r w:rsidR="006336B7">
        <w:rPr>
          <w:b/>
          <w:bCs/>
          <w:lang w:val="en-GB"/>
        </w:rPr>
        <w:t>M</w:t>
      </w:r>
      <w:r w:rsidRPr="002776E4">
        <w:rPr>
          <w:b/>
          <w:bCs/>
          <w:lang w:val="en-GB"/>
        </w:rPr>
        <w:t xml:space="preserve">arketing, as well as </w:t>
      </w:r>
      <w:r w:rsidR="006336B7">
        <w:rPr>
          <w:b/>
          <w:bCs/>
          <w:lang w:val="en-GB"/>
        </w:rPr>
        <w:t>P</w:t>
      </w:r>
      <w:r w:rsidRPr="002776E4">
        <w:rPr>
          <w:b/>
          <w:bCs/>
          <w:lang w:val="en-GB"/>
        </w:rPr>
        <w:t xml:space="preserve">roject </w:t>
      </w:r>
      <w:r w:rsidR="006336B7">
        <w:rPr>
          <w:b/>
          <w:bCs/>
          <w:lang w:val="en-GB"/>
        </w:rPr>
        <w:t>M</w:t>
      </w:r>
      <w:r w:rsidRPr="002776E4">
        <w:rPr>
          <w:b/>
          <w:bCs/>
          <w:lang w:val="en-GB"/>
        </w:rPr>
        <w:t>anagement.</w:t>
      </w:r>
    </w:p>
    <w:p w14:paraId="551406AF" w14:textId="4477A6B5" w:rsidR="008135B6" w:rsidRPr="008135B6" w:rsidRDefault="006E3944" w:rsidP="008135B6">
      <w:pPr>
        <w:jc w:val="both"/>
        <w:rPr>
          <w:lang w:val="en-GB"/>
        </w:rPr>
      </w:pPr>
      <w:r w:rsidRPr="006E3944">
        <w:rPr>
          <w:lang w:val="en-GB"/>
        </w:rPr>
        <w:t xml:space="preserve">Forum Gliwice Shopping Centre, part of the Deka </w:t>
      </w:r>
      <w:proofErr w:type="spellStart"/>
      <w:r w:rsidRPr="006E3944">
        <w:rPr>
          <w:lang w:val="en-GB"/>
        </w:rPr>
        <w:t>Immobilien</w:t>
      </w:r>
      <w:proofErr w:type="spellEnd"/>
      <w:r w:rsidRPr="006E3944">
        <w:rPr>
          <w:lang w:val="en-GB"/>
        </w:rPr>
        <w:t xml:space="preserve"> portfolio, opened in 2007 and is one of Silesia’s leading retail destinations. White Star Real Estate has been responsible for managing the property since September 2026. The new agreement broadens the scope of the existing relationship, with WSRE remaining responsible for leasing the centre. This means that a single team now oversees all key areas, from the property’s day-to-day operations and tenant relations to the continued development of the centre’s retail offer and spaces. </w:t>
      </w:r>
    </w:p>
    <w:p w14:paraId="179C401E" w14:textId="6A9B23D0" w:rsidR="00650CBE" w:rsidRDefault="00F14EAA" w:rsidP="00966602">
      <w:pPr>
        <w:jc w:val="both"/>
      </w:pPr>
      <w:r w:rsidRPr="00F14EAA">
        <w:t>“</w:t>
      </w:r>
      <w:r w:rsidR="00DF66D1" w:rsidRPr="00DF66D1">
        <w:t xml:space="preserve">Forum Gliwice is a mature, well-performing shopping centre with an established position in the local market. In selecting a </w:t>
      </w:r>
      <w:r w:rsidR="006336B7">
        <w:t>P</w:t>
      </w:r>
      <w:r w:rsidR="00DF66D1" w:rsidRPr="00DF66D1">
        <w:t xml:space="preserve">roperty </w:t>
      </w:r>
      <w:r w:rsidR="006336B7">
        <w:t>M</w:t>
      </w:r>
      <w:r w:rsidR="00DF66D1" w:rsidRPr="00DF66D1">
        <w:t>anagement partner, we were looking for a company capable not only of maintaining high standards in day-to-day operations, but also of actively supporting the delivery of the centre’s long-term strategy</w:t>
      </w:r>
      <w:r w:rsidR="006336B7">
        <w:t xml:space="preserve"> and </w:t>
      </w:r>
      <w:r w:rsidR="00E94979" w:rsidRPr="00E94979">
        <w:t>enhancing the value of the asset</w:t>
      </w:r>
      <w:r w:rsidR="00DF66D1" w:rsidRPr="00DF66D1">
        <w:t xml:space="preserve">. White Star Real Estate brings together </w:t>
      </w:r>
      <w:r w:rsidR="006336B7">
        <w:t>P</w:t>
      </w:r>
      <w:r w:rsidR="00DF66D1" w:rsidRPr="00DF66D1">
        <w:t xml:space="preserve">roperty </w:t>
      </w:r>
      <w:r w:rsidR="006336B7">
        <w:t>M</w:t>
      </w:r>
      <w:r w:rsidR="00DF66D1" w:rsidRPr="00DF66D1">
        <w:t xml:space="preserve">anagement, </w:t>
      </w:r>
      <w:r w:rsidR="006336B7">
        <w:t>L</w:t>
      </w:r>
      <w:r w:rsidR="00DF66D1" w:rsidRPr="00DF66D1">
        <w:t xml:space="preserve">easing and </w:t>
      </w:r>
      <w:r w:rsidR="006336B7">
        <w:t>M</w:t>
      </w:r>
      <w:r w:rsidR="00DF66D1" w:rsidRPr="00DF66D1">
        <w:t>arketing expertise and already knows Forum Gliwice well through its existing leasing role. This combination of expertise and first-hand knowledge of the asset was an important factor in our decision,</w:t>
      </w:r>
      <w:r w:rsidR="00073EBC" w:rsidRPr="00073EBC">
        <w:t>”</w:t>
      </w:r>
      <w:r w:rsidR="00DF66D1" w:rsidRPr="00DF66D1">
        <w:t xml:space="preserve"> says</w:t>
      </w:r>
      <w:r w:rsidR="00650CBE" w:rsidRPr="00650CBE">
        <w:t xml:space="preserve"> </w:t>
      </w:r>
      <w:r w:rsidR="00EC66D1" w:rsidRPr="00EC66D1">
        <w:rPr>
          <w:b/>
          <w:bCs/>
        </w:rPr>
        <w:t>Martin Görz of Deka Immobilien’s International Asset Management team.</w:t>
      </w:r>
    </w:p>
    <w:p w14:paraId="3ECA94AD" w14:textId="0D925C16" w:rsidR="00781B27" w:rsidRDefault="001D4F4C" w:rsidP="00B139F8">
      <w:pPr>
        <w:jc w:val="both"/>
      </w:pPr>
      <w:r w:rsidRPr="001D4F4C">
        <w:t xml:space="preserve">The appointment of White Star Real Estate as </w:t>
      </w:r>
      <w:r w:rsidR="006336B7">
        <w:t>P</w:t>
      </w:r>
      <w:r w:rsidRPr="001D4F4C">
        <w:t xml:space="preserve">roperty </w:t>
      </w:r>
      <w:r w:rsidR="006336B7">
        <w:t>M</w:t>
      </w:r>
      <w:r w:rsidRPr="001D4F4C">
        <w:t xml:space="preserve">anager of Forum Gliwice </w:t>
      </w:r>
      <w:r w:rsidR="00E12707" w:rsidRPr="00E12707">
        <w:t xml:space="preserve">marks another step in the continued expansion of the company’s </w:t>
      </w:r>
      <w:r w:rsidR="006336B7">
        <w:t>P</w:t>
      </w:r>
      <w:r w:rsidR="00E12707" w:rsidRPr="00E12707">
        <w:t xml:space="preserve">roperty </w:t>
      </w:r>
      <w:r w:rsidR="006336B7">
        <w:t>M</w:t>
      </w:r>
      <w:r w:rsidR="00E12707" w:rsidRPr="00E12707">
        <w:t>anagement business, both in Poland and across Central and Eastern Europe</w:t>
      </w:r>
      <w:r w:rsidR="00781B27" w:rsidRPr="00781B27">
        <w:t>.</w:t>
      </w:r>
    </w:p>
    <w:p w14:paraId="09D74197" w14:textId="7615BA68" w:rsidR="00B139F8" w:rsidRDefault="00F14EAA" w:rsidP="00B139F8">
      <w:pPr>
        <w:jc w:val="both"/>
      </w:pPr>
      <w:r w:rsidRPr="00F14EAA">
        <w:t>“</w:t>
      </w:r>
      <w:r w:rsidR="000A40CF" w:rsidRPr="000A40CF">
        <w:t xml:space="preserve">Retail is an important part of White Star Real Estate’s business, which we continue to grow by expanding our relationships with existing partners and attracting new clients. Each new project entrusted to us reflects the market’s confidence in WSRE as a </w:t>
      </w:r>
      <w:r w:rsidR="007C5392">
        <w:t>P</w:t>
      </w:r>
      <w:r w:rsidR="007C5392" w:rsidRPr="000A40CF">
        <w:t xml:space="preserve">roperty </w:t>
      </w:r>
      <w:r w:rsidR="007C5392">
        <w:t>M</w:t>
      </w:r>
      <w:r w:rsidR="007C5392" w:rsidRPr="000A40CF">
        <w:t>anager</w:t>
      </w:r>
      <w:r w:rsidR="000A40CF" w:rsidRPr="000A40CF">
        <w:t xml:space="preserve">. </w:t>
      </w:r>
      <w:r w:rsidR="00C55269" w:rsidRPr="00C55269">
        <w:t>The total area of properties under our management across CEE now exceeds 2</w:t>
      </w:r>
      <w:r w:rsidR="00CC0864">
        <w:t>.4</w:t>
      </w:r>
      <w:r w:rsidR="00C55269" w:rsidRPr="00C55269">
        <w:t xml:space="preserve"> million sqm</w:t>
      </w:r>
      <w:r w:rsidR="000A40CF" w:rsidRPr="000A40CF">
        <w:t xml:space="preserve">. </w:t>
      </w:r>
      <w:r w:rsidR="00E95C4A" w:rsidRPr="00E95C4A">
        <w:t>This scale is underpinned by the experience of our teams and our continuously expanding platform of integrated management services, enabling us to provide property owners with comprehensive support tailored to their needs</w:t>
      </w:r>
      <w:r w:rsidR="000A40CF">
        <w:t>,</w:t>
      </w:r>
      <w:r w:rsidR="00073EBC" w:rsidRPr="00073EBC">
        <w:t>”</w:t>
      </w:r>
      <w:r w:rsidR="00B139F8" w:rsidRPr="00B139F8">
        <w:t xml:space="preserve"> </w:t>
      </w:r>
      <w:r w:rsidR="00765924">
        <w:t>says</w:t>
      </w:r>
      <w:r w:rsidR="00B139F8" w:rsidRPr="00B139F8">
        <w:t xml:space="preserve"> </w:t>
      </w:r>
      <w:r w:rsidR="00B139F8" w:rsidRPr="00B139F8">
        <w:rPr>
          <w:b/>
          <w:bCs/>
        </w:rPr>
        <w:t xml:space="preserve">Bartosz Prytuła, Managing Partner, Poland </w:t>
      </w:r>
      <w:r w:rsidR="00765924">
        <w:rPr>
          <w:b/>
          <w:bCs/>
        </w:rPr>
        <w:t>at</w:t>
      </w:r>
      <w:r w:rsidR="00B139F8" w:rsidRPr="00B139F8">
        <w:rPr>
          <w:b/>
          <w:bCs/>
        </w:rPr>
        <w:t xml:space="preserve"> White Star Real Estate</w:t>
      </w:r>
      <w:r w:rsidR="00B139F8" w:rsidRPr="00B139F8">
        <w:t>.</w:t>
      </w:r>
    </w:p>
    <w:p w14:paraId="4051FC00" w14:textId="5792C76B" w:rsidR="003A6985" w:rsidRDefault="003A6985" w:rsidP="00966602">
      <w:pPr>
        <w:jc w:val="both"/>
      </w:pPr>
      <w:r w:rsidRPr="003A6985">
        <w:lastRenderedPageBreak/>
        <w:t xml:space="preserve">Asset </w:t>
      </w:r>
      <w:r w:rsidR="007C5392">
        <w:t>M</w:t>
      </w:r>
      <w:r w:rsidR="007C5392" w:rsidRPr="003A6985">
        <w:t xml:space="preserve">anagement </w:t>
      </w:r>
      <w:r w:rsidRPr="003A6985">
        <w:t xml:space="preserve">services for Forum Gliwice are provided by Hawksworth, an independent advisory firm specialising in the European shopping centre market, which also managed the tender process for the </w:t>
      </w:r>
      <w:r w:rsidR="006336B7">
        <w:t>P</w:t>
      </w:r>
      <w:r w:rsidRPr="003A6985">
        <w:t xml:space="preserve">roperty </w:t>
      </w:r>
      <w:r w:rsidR="006336B7">
        <w:t>M</w:t>
      </w:r>
      <w:r w:rsidRPr="003A6985">
        <w:t>anagement services on behalf of Deka Immobilien.</w:t>
      </w:r>
    </w:p>
    <w:p w14:paraId="765A45C0" w14:textId="61A63527" w:rsidR="006B59E6" w:rsidRPr="00213256" w:rsidRDefault="00F14EAA" w:rsidP="00966602">
      <w:pPr>
        <w:jc w:val="both"/>
      </w:pPr>
      <w:r w:rsidRPr="00F14EAA">
        <w:t>“</w:t>
      </w:r>
      <w:r w:rsidR="0091774F" w:rsidRPr="0091774F">
        <w:t>During the tender process, we assessed not only the bidders’ operational experience, but also their approach to enhancing the value of the asset, working with tenants and supporting the continued development of Forum Gliwice. White Star Real Estate presented a cohesive approach encompassing all these areas. Continuity was also an important consideration, given WSRE’s existing responsibility for leasing and its knowledge of the tenants and the centre’s leasing situation. Expanding our cooperation will allow the owner’s objectives to be translated more efficiently into tangible actions at the centre</w:t>
      </w:r>
      <w:r w:rsidR="00213256">
        <w:t>,</w:t>
      </w:r>
      <w:r w:rsidR="00073EBC" w:rsidRPr="00073EBC">
        <w:t>”</w:t>
      </w:r>
      <w:r w:rsidR="000A6350" w:rsidRPr="00213256">
        <w:t xml:space="preserve"> </w:t>
      </w:r>
      <w:r w:rsidR="002D3D99">
        <w:t>says</w:t>
      </w:r>
      <w:r w:rsidR="000A6350" w:rsidRPr="00213256">
        <w:t xml:space="preserve"> </w:t>
      </w:r>
      <w:r w:rsidR="000A6350" w:rsidRPr="00213256">
        <w:rPr>
          <w:b/>
          <w:bCs/>
        </w:rPr>
        <w:t>Mike Holt, Co-Founder, Hawksworth</w:t>
      </w:r>
      <w:r w:rsidR="000A6350" w:rsidRPr="00213256">
        <w:t xml:space="preserve">. </w:t>
      </w:r>
    </w:p>
    <w:p w14:paraId="6D1F44A5" w14:textId="14C56C7E" w:rsidR="003C2BE4" w:rsidRDefault="003C2BE4" w:rsidP="00966602">
      <w:pPr>
        <w:jc w:val="both"/>
      </w:pPr>
      <w:r w:rsidRPr="003C2BE4">
        <w:t xml:space="preserve">Forum </w:t>
      </w:r>
      <w:r w:rsidR="008029F7" w:rsidRPr="008029F7">
        <w:t xml:space="preserve">Gliwice offers close to 43,000 sqm of space and is currently </w:t>
      </w:r>
      <w:r w:rsidR="007C5392">
        <w:t>over</w:t>
      </w:r>
      <w:r w:rsidR="007C5392" w:rsidRPr="008029F7">
        <w:t xml:space="preserve"> 9</w:t>
      </w:r>
      <w:r w:rsidR="007C5392">
        <w:t>7</w:t>
      </w:r>
      <w:r w:rsidR="008029F7" w:rsidRPr="008029F7">
        <w:t>% occupied</w:t>
      </w:r>
      <w:r w:rsidRPr="003C2BE4">
        <w:t>. The centre is home to more than 120 shops and service outlets, while its leisure offer includes a 13-screen Cinema City multiplex. Located in the centre of Gliwice, the property also provides 970 underground parking spaces.</w:t>
      </w:r>
    </w:p>
    <w:p w14:paraId="4CA94BC8" w14:textId="0E147EB0" w:rsidR="002E54FF" w:rsidRDefault="00073EBC" w:rsidP="00966602">
      <w:pPr>
        <w:jc w:val="both"/>
      </w:pPr>
      <w:r w:rsidRPr="00F14EAA">
        <w:t>“</w:t>
      </w:r>
      <w:r w:rsidR="006D2AE1" w:rsidRPr="006D2AE1">
        <w:t>Forum Gliwice is another project on which we are working with Deka Immobilien in Central and Eastern Europe. In the Czech Republic, we are responsible for managing The Park Prague, an office complex previously built and developed by White Star Real Estate. As a result, we have a strong understanding of the owner’s standards and expectations. At Forum, our aim is to combine high-quality day-to-day management with the continued development of the tenant mix and marketing initiatives that strengthen the centre’s role in the life of the city. One of our first initiatives will be to develop a new design for the food court. In shopping centres serving regional markets, the food and beverage offer supports the core retail function, enhances the visitor experience and creates a natural social space. Its development will therefore be one of the key areas of our work at Forum</w:t>
      </w:r>
      <w:r w:rsidR="006D2AE1">
        <w:t>,</w:t>
      </w:r>
      <w:r w:rsidRPr="00073EBC">
        <w:t>”</w:t>
      </w:r>
      <w:r w:rsidR="002E54FF" w:rsidRPr="00833B72">
        <w:t xml:space="preserve"> </w:t>
      </w:r>
      <w:r w:rsidR="00833B72">
        <w:t>says</w:t>
      </w:r>
      <w:r w:rsidR="002E54FF" w:rsidRPr="00833B72">
        <w:t xml:space="preserve"> </w:t>
      </w:r>
      <w:r w:rsidR="002E54FF" w:rsidRPr="00833B72">
        <w:rPr>
          <w:b/>
          <w:bCs/>
        </w:rPr>
        <w:t xml:space="preserve">Justyna Williams, Associate Director, Asset &amp; Property Management </w:t>
      </w:r>
      <w:r w:rsidR="00833B72">
        <w:rPr>
          <w:b/>
          <w:bCs/>
        </w:rPr>
        <w:t>at</w:t>
      </w:r>
      <w:r w:rsidR="002E54FF" w:rsidRPr="00833B72">
        <w:rPr>
          <w:b/>
          <w:bCs/>
        </w:rPr>
        <w:t xml:space="preserve"> White</w:t>
      </w:r>
      <w:r w:rsidR="002E54FF" w:rsidRPr="002E54FF">
        <w:rPr>
          <w:b/>
          <w:bCs/>
        </w:rPr>
        <w:t xml:space="preserve"> Star Real Estate</w:t>
      </w:r>
      <w:r w:rsidR="002E54FF" w:rsidRPr="002E54FF">
        <w:t>.</w:t>
      </w:r>
    </w:p>
    <w:p w14:paraId="256D4CA2" w14:textId="24C8D7F1" w:rsidR="007A6B75" w:rsidRDefault="00EE5278" w:rsidP="00966602">
      <w:pPr>
        <w:jc w:val="both"/>
      </w:pPr>
      <w:r w:rsidRPr="00EE5278">
        <w:t>Further details of the centre’s development plans, including the planned changes to the food court, will be announced as work progresses</w:t>
      </w:r>
      <w:r w:rsidR="007A6B75" w:rsidRPr="007A6B75">
        <w:t>.</w:t>
      </w:r>
    </w:p>
    <w:p w14:paraId="6881CFEB" w14:textId="5712481B" w:rsidR="008D154B" w:rsidRDefault="008D154B" w:rsidP="00966602">
      <w:pPr>
        <w:jc w:val="both"/>
      </w:pPr>
      <w:r>
        <w:rPr>
          <w:noProof/>
          <w:lang w:val="pl-PL"/>
        </w:rPr>
        <mc:AlternateContent>
          <mc:Choice Requires="wps">
            <w:drawing>
              <wp:anchor distT="0" distB="0" distL="114300" distR="114300" simplePos="0" relativeHeight="251662336" behindDoc="0" locked="0" layoutInCell="1" allowOverlap="1" wp14:anchorId="73651690" wp14:editId="5328CED0">
                <wp:simplePos x="0" y="0"/>
                <wp:positionH relativeFrom="margin">
                  <wp:align>left</wp:align>
                </wp:positionH>
                <wp:positionV relativeFrom="paragraph">
                  <wp:posOffset>9525</wp:posOffset>
                </wp:positionV>
                <wp:extent cx="5676900" cy="19050"/>
                <wp:effectExtent l="0" t="0" r="19050" b="19050"/>
                <wp:wrapNone/>
                <wp:docPr id="738429093" name="Łącznik prosty 1"/>
                <wp:cNvGraphicFramePr/>
                <a:graphic xmlns:a="http://schemas.openxmlformats.org/drawingml/2006/main">
                  <a:graphicData uri="http://schemas.microsoft.com/office/word/2010/wordprocessingShape">
                    <wps:wsp>
                      <wps:cNvCnPr/>
                      <wps:spPr>
                        <a:xfrm flipV="1">
                          <a:off x="0" y="0"/>
                          <a:ext cx="5676900" cy="19050"/>
                        </a:xfrm>
                        <a:prstGeom prst="line">
                          <a:avLst/>
                        </a:prstGeom>
                        <a:ln>
                          <a:solidFill>
                            <a:schemeClr val="bg1">
                              <a:lumMod val="85000"/>
                            </a:schemeClr>
                          </a:solidFill>
                        </a:ln>
                      </wps:spPr>
                      <wps:style>
                        <a:lnRef idx="1">
                          <a:schemeClr val="accent6"/>
                        </a:lnRef>
                        <a:fillRef idx="0">
                          <a:schemeClr val="accent6"/>
                        </a:fillRef>
                        <a:effectRef idx="0">
                          <a:schemeClr val="accent6"/>
                        </a:effectRef>
                        <a:fontRef idx="minor">
                          <a:schemeClr val="tx1"/>
                        </a:fontRef>
                      </wps:style>
                      <wps:bodyPr/>
                    </wps:wsp>
                  </a:graphicData>
                </a:graphic>
              </wp:anchor>
            </w:drawing>
          </mc:Choice>
          <mc:Fallback>
            <w:pict>
              <v:line w14:anchorId="54D59FD6" id="Łącznik prosty 1" o:spid="_x0000_s1026" style="position:absolute;flip:y;z-index:251662336;visibility:visible;mso-wrap-style:square;mso-wrap-distance-left:9pt;mso-wrap-distance-top:0;mso-wrap-distance-right:9pt;mso-wrap-distance-bottom:0;mso-position-horizontal:left;mso-position-horizontal-relative:margin;mso-position-vertical:absolute;mso-position-vertical-relative:text" from="0,.75pt" to="447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" strokecolor="#d8d8d8 [2732]" strokeweight="1pt">
                <v:stroke joinstyle="miter"/>
                <w10:wrap anchorx="margin"/>
              </v:line>
            </w:pict>
          </mc:Fallback>
        </mc:AlternateContent>
      </w:r>
    </w:p>
    <w:p w14:paraId="47A0A538" w14:textId="38A41834" w:rsidR="00090F15" w:rsidRPr="008D154B" w:rsidRDefault="00090F15" w:rsidP="00966602">
      <w:pPr>
        <w:jc w:val="both"/>
        <w:rPr>
          <w:b/>
          <w:bCs/>
          <w:sz w:val="22"/>
          <w:szCs w:val="22"/>
        </w:rPr>
      </w:pPr>
      <w:r w:rsidRPr="008D154B">
        <w:rPr>
          <w:b/>
          <w:bCs/>
          <w:sz w:val="22"/>
          <w:szCs w:val="22"/>
        </w:rPr>
        <w:t>About White Star Real Estate</w:t>
      </w:r>
    </w:p>
    <w:p w14:paraId="72C7F6F5" w14:textId="77777777" w:rsidR="00FF1D01" w:rsidRPr="008D154B" w:rsidRDefault="00FF1D01" w:rsidP="00FF1D01">
      <w:pPr>
        <w:jc w:val="both"/>
        <w:rPr>
          <w:sz w:val="22"/>
          <w:szCs w:val="22"/>
          <w:lang w:val="en-GB"/>
        </w:rPr>
      </w:pPr>
      <w:r w:rsidRPr="008D154B">
        <w:rPr>
          <w:b/>
          <w:bCs/>
          <w:sz w:val="22"/>
          <w:szCs w:val="22"/>
          <w:lang w:val="en-GB"/>
        </w:rPr>
        <w:t>White Star Real Estate</w:t>
      </w:r>
      <w:r w:rsidRPr="008D154B">
        <w:rPr>
          <w:sz w:val="22"/>
          <w:szCs w:val="22"/>
          <w:lang w:val="en-GB"/>
        </w:rPr>
        <w:t xml:space="preserve"> is a leading real estate investor, developer, asset manager and property manager operating across Central and Eastern Europe since 1997. The company has </w:t>
      </w:r>
      <w:r w:rsidRPr="008D154B">
        <w:rPr>
          <w:sz w:val="22"/>
          <w:szCs w:val="22"/>
        </w:rPr>
        <w:t xml:space="preserve">developed and invested in over 65 projects </w:t>
      </w:r>
      <w:r w:rsidRPr="008D154B">
        <w:rPr>
          <w:sz w:val="22"/>
          <w:szCs w:val="22"/>
          <w:lang w:val="en-GB"/>
        </w:rPr>
        <w:t xml:space="preserve">totalling </w:t>
      </w:r>
      <w:r w:rsidRPr="008D154B">
        <w:rPr>
          <w:sz w:val="22"/>
          <w:szCs w:val="22"/>
        </w:rPr>
        <w:t xml:space="preserve">2.4 million sqm across the region, spanning office, </w:t>
      </w:r>
      <w:r w:rsidRPr="008D154B">
        <w:rPr>
          <w:sz w:val="22"/>
          <w:szCs w:val="22"/>
        </w:rPr>
        <w:lastRenderedPageBreak/>
        <w:t xml:space="preserve">logistics, retail, </w:t>
      </w:r>
      <w:r w:rsidRPr="008D154B">
        <w:rPr>
          <w:sz w:val="22"/>
          <w:szCs w:val="22"/>
          <w:lang w:val="en-GB"/>
        </w:rPr>
        <w:t>leisure</w:t>
      </w:r>
      <w:r w:rsidRPr="008D154B">
        <w:rPr>
          <w:sz w:val="22"/>
          <w:szCs w:val="22"/>
        </w:rPr>
        <w:t>, residential and mixed-use sectors</w:t>
      </w:r>
      <w:r w:rsidRPr="008D154B">
        <w:rPr>
          <w:sz w:val="22"/>
          <w:szCs w:val="22"/>
          <w:lang w:val="en-GB"/>
        </w:rPr>
        <w:t>. With local teams in Poland, the Czech Republic, Hungary and Romania, White Star Real Estate provides integrated development, asset management and property management services for institutional investors and occupiers across the region.</w:t>
      </w:r>
    </w:p>
    <w:p w14:paraId="29F3CAF4" w14:textId="77777777" w:rsidR="00966602" w:rsidRPr="00090F15" w:rsidRDefault="00966602" w:rsidP="00966602">
      <w:pPr>
        <w:rPr>
          <w:lang w:val="en-GB"/>
        </w:rPr>
      </w:pPr>
      <w:r>
        <w:rPr>
          <w:noProof/>
          <w:lang w:val="pl-PL"/>
        </w:rPr>
        <mc:AlternateContent>
          <mc:Choice Requires="wps">
            <w:drawing>
              <wp:anchor distT="0" distB="0" distL="114300" distR="114300" simplePos="0" relativeHeight="251660288" behindDoc="0" locked="0" layoutInCell="1" allowOverlap="1" wp14:anchorId="73D0C44F" wp14:editId="2B081103">
                <wp:simplePos x="0" y="0"/>
                <wp:positionH relativeFrom="column">
                  <wp:posOffset>0</wp:posOffset>
                </wp:positionH>
                <wp:positionV relativeFrom="paragraph">
                  <wp:posOffset>-635</wp:posOffset>
                </wp:positionV>
                <wp:extent cx="5676900" cy="19050"/>
                <wp:effectExtent l="0" t="0" r="19050" b="19050"/>
                <wp:wrapNone/>
                <wp:docPr id="926210209" name="Łącznik prosty 1"/>
                <wp:cNvGraphicFramePr/>
                <a:graphic xmlns:a="http://schemas.openxmlformats.org/drawingml/2006/main">
                  <a:graphicData uri="http://schemas.microsoft.com/office/word/2010/wordprocessingShape">
                    <wps:wsp>
                      <wps:cNvCnPr/>
                      <wps:spPr>
                        <a:xfrm flipV="1">
                          <a:off x="0" y="0"/>
                          <a:ext cx="5676900" cy="19050"/>
                        </a:xfrm>
                        <a:prstGeom prst="line">
                          <a:avLst/>
                        </a:prstGeom>
                        <a:ln>
                          <a:solidFill>
                            <a:schemeClr val="bg1">
                              <a:lumMod val="85000"/>
                            </a:schemeClr>
                          </a:solidFill>
                        </a:ln>
                      </wps:spPr>
                      <wps:style>
                        <a:lnRef idx="1">
                          <a:schemeClr val="accent6"/>
                        </a:lnRef>
                        <a:fillRef idx="0">
                          <a:schemeClr val="accent6"/>
                        </a:fillRef>
                        <a:effectRef idx="0">
                          <a:schemeClr val="accent6"/>
                        </a:effectRef>
                        <a:fontRef idx="minor">
                          <a:schemeClr val="tx1"/>
                        </a:fontRef>
                      </wps:style>
                      <wps:bodyPr/>
                    </wps:wsp>
                  </a:graphicData>
                </a:graphic>
              </wp:anchor>
            </w:drawing>
          </mc:Choice>
          <mc:Fallback>
            <w:pict>
              <v:line w14:anchorId="23ACFE54" id="Łącznik prosty 1"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0,-.05pt" to="447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" strokecolor="#d8d8d8 [2732]" strokeweight="1pt">
                <v:stroke joinstyle="miter"/>
              </v:line>
            </w:pict>
          </mc:Fallback>
        </mc:AlternateContent>
      </w:r>
    </w:p>
    <w:p w14:paraId="08BDC657" w14:textId="01493A3F" w:rsidR="00966602" w:rsidRPr="00145EA5" w:rsidRDefault="00DB3038" w:rsidP="00966602">
      <w:pPr>
        <w:spacing w:after="0" w:line="240" w:lineRule="auto"/>
        <w:rPr>
          <w:b/>
          <w:bCs/>
          <w:sz w:val="16"/>
          <w:szCs w:val="16"/>
        </w:rPr>
      </w:pPr>
      <w:r>
        <w:rPr>
          <w:b/>
          <w:bCs/>
          <w:sz w:val="16"/>
          <w:szCs w:val="16"/>
        </w:rPr>
        <w:t>Media contact</w:t>
      </w:r>
    </w:p>
    <w:p w14:paraId="736EA6F5" w14:textId="77777777" w:rsidR="00966602" w:rsidRPr="00145EA5" w:rsidRDefault="00966602" w:rsidP="00966602">
      <w:pPr>
        <w:spacing w:after="0" w:line="240" w:lineRule="auto"/>
        <w:rPr>
          <w:sz w:val="16"/>
          <w:szCs w:val="16"/>
        </w:rPr>
      </w:pPr>
      <w:r w:rsidRPr="00145EA5">
        <w:rPr>
          <w:sz w:val="16"/>
          <w:szCs w:val="16"/>
        </w:rPr>
        <w:t>Agnieszka Kurczych</w:t>
      </w:r>
    </w:p>
    <w:p w14:paraId="7707FD69" w14:textId="77777777" w:rsidR="00966602" w:rsidRPr="00145EA5" w:rsidRDefault="00966602" w:rsidP="00966602">
      <w:pPr>
        <w:spacing w:after="0" w:line="240" w:lineRule="auto"/>
        <w:rPr>
          <w:sz w:val="16"/>
          <w:szCs w:val="16"/>
        </w:rPr>
      </w:pPr>
      <w:r w:rsidRPr="00145EA5">
        <w:rPr>
          <w:sz w:val="16"/>
          <w:szCs w:val="16"/>
        </w:rPr>
        <w:t>PR &amp; Marketing Manager</w:t>
      </w:r>
    </w:p>
    <w:p w14:paraId="0891A174" w14:textId="77777777" w:rsidR="00966602" w:rsidRPr="0062601D" w:rsidRDefault="00966602" w:rsidP="00966602">
      <w:pPr>
        <w:spacing w:after="0" w:line="240" w:lineRule="auto"/>
        <w:rPr>
          <w:sz w:val="16"/>
          <w:szCs w:val="16"/>
        </w:rPr>
      </w:pPr>
      <w:hyperlink r:id="rId6" w:history="1">
        <w:r w:rsidRPr="0062601D">
          <w:rPr>
            <w:rStyle w:val="Hipercze"/>
            <w:sz w:val="16"/>
            <w:szCs w:val="16"/>
          </w:rPr>
          <w:t>kurczych.agnieszka@whitestar-realestate.com</w:t>
        </w:r>
      </w:hyperlink>
      <w:r w:rsidRPr="0062601D">
        <w:rPr>
          <w:sz w:val="16"/>
          <w:szCs w:val="16"/>
        </w:rPr>
        <w:t xml:space="preserve"> </w:t>
      </w:r>
    </w:p>
    <w:p w14:paraId="55EB9FCD" w14:textId="6E9D4433" w:rsidR="00966602" w:rsidRPr="004A3D1E" w:rsidRDefault="00DB3038" w:rsidP="00966602">
      <w:pPr>
        <w:spacing w:after="0" w:line="240" w:lineRule="auto"/>
        <w:rPr>
          <w:sz w:val="16"/>
          <w:szCs w:val="16"/>
          <w:lang w:val="en-GB"/>
        </w:rPr>
      </w:pPr>
      <w:r>
        <w:rPr>
          <w:sz w:val="16"/>
          <w:szCs w:val="16"/>
          <w:lang w:val="en-GB"/>
        </w:rPr>
        <w:t>phone:</w:t>
      </w:r>
      <w:r w:rsidR="00966602" w:rsidRPr="004A3D1E">
        <w:rPr>
          <w:sz w:val="16"/>
          <w:szCs w:val="16"/>
          <w:lang w:val="en-GB"/>
        </w:rPr>
        <w:t xml:space="preserve"> +48 667 770 281</w:t>
      </w:r>
    </w:p>
    <w:p w14:paraId="15F982BA" w14:textId="77777777" w:rsidR="00452D41" w:rsidRDefault="00452D41"/>
    <w:sectPr w:rsidR="00452D41" w:rsidSect="00966602">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0BFE3A" w14:textId="77777777" w:rsidR="00A13083" w:rsidRDefault="00A13083">
      <w:pPr>
        <w:spacing w:after="0" w:line="240" w:lineRule="auto"/>
      </w:pPr>
      <w:r>
        <w:separator/>
      </w:r>
    </w:p>
  </w:endnote>
  <w:endnote w:type="continuationSeparator" w:id="0">
    <w:p w14:paraId="2569E399" w14:textId="77777777" w:rsidR="00A13083" w:rsidRDefault="00A130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C9D822" w14:textId="77777777" w:rsidR="00A13083" w:rsidRDefault="00A13083">
      <w:pPr>
        <w:spacing w:after="0" w:line="240" w:lineRule="auto"/>
      </w:pPr>
      <w:r>
        <w:separator/>
      </w:r>
    </w:p>
  </w:footnote>
  <w:footnote w:type="continuationSeparator" w:id="0">
    <w:p w14:paraId="351EBAFE" w14:textId="77777777" w:rsidR="00A13083" w:rsidRDefault="00A130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15729" w14:textId="77777777" w:rsidR="00966602" w:rsidRDefault="00966602" w:rsidP="00632185">
    <w:pPr>
      <w:pStyle w:val="Nagwek"/>
      <w:tabs>
        <w:tab w:val="clear" w:pos="4536"/>
        <w:tab w:val="clear" w:pos="9072"/>
        <w:tab w:val="left" w:pos="3340"/>
      </w:tabs>
    </w:pPr>
    <w:r>
      <w:rPr>
        <w:noProof/>
      </w:rPr>
      <w:drawing>
        <wp:inline distT="0" distB="0" distL="0" distR="0" wp14:anchorId="57D4EEE8" wp14:editId="1EDE1492">
          <wp:extent cx="1854777" cy="647700"/>
          <wp:effectExtent l="0" t="0" r="0" b="0"/>
          <wp:docPr id="149191269"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91269" name="Obraz 149191269"/>
                  <pic:cNvPicPr/>
                </pic:nvPicPr>
                <pic:blipFill>
                  <a:blip r:embed="rId1">
                    <a:extLst>
                      <a:ext uri="{28A0092B-C50C-407E-A947-70E740481C1C}">
                        <a14:useLocalDpi xmlns:a14="http://schemas.microsoft.com/office/drawing/2010/main" val="0"/>
                      </a:ext>
                    </a:extLst>
                  </a:blip>
                  <a:stretch>
                    <a:fillRect/>
                  </a:stretch>
                </pic:blipFill>
                <pic:spPr>
                  <a:xfrm>
                    <a:off x="0" y="0"/>
                    <a:ext cx="1864688" cy="651161"/>
                  </a:xfrm>
                  <a:prstGeom prst="rect">
                    <a:avLst/>
                  </a:prstGeom>
                </pic:spPr>
              </pic:pic>
            </a:graphicData>
          </a:graphic>
        </wp:inline>
      </w:drawing>
    </w:r>
    <w:r>
      <w:tab/>
    </w:r>
  </w:p>
  <w:p w14:paraId="4FF9AD24" w14:textId="77777777" w:rsidR="00966602" w:rsidRDefault="00966602" w:rsidP="00632185">
    <w:pPr>
      <w:pStyle w:val="Nagwek"/>
      <w:tabs>
        <w:tab w:val="clear" w:pos="4536"/>
        <w:tab w:val="clear" w:pos="9072"/>
        <w:tab w:val="left" w:pos="3340"/>
      </w:tabs>
    </w:pPr>
  </w:p>
  <w:p w14:paraId="0911E084" w14:textId="77777777" w:rsidR="00CD0470" w:rsidRDefault="00CD0470" w:rsidP="00632185">
    <w:pPr>
      <w:pStyle w:val="Nagwek"/>
      <w:tabs>
        <w:tab w:val="clear" w:pos="4536"/>
        <w:tab w:val="clear" w:pos="9072"/>
        <w:tab w:val="left" w:pos="3340"/>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6602"/>
    <w:rsid w:val="0000210D"/>
    <w:rsid w:val="00007594"/>
    <w:rsid w:val="00052497"/>
    <w:rsid w:val="00053DB4"/>
    <w:rsid w:val="00073EBC"/>
    <w:rsid w:val="00082A91"/>
    <w:rsid w:val="00090F15"/>
    <w:rsid w:val="00092DF4"/>
    <w:rsid w:val="000A40CF"/>
    <w:rsid w:val="000A6350"/>
    <w:rsid w:val="000D26D3"/>
    <w:rsid w:val="000F258E"/>
    <w:rsid w:val="00132380"/>
    <w:rsid w:val="00144834"/>
    <w:rsid w:val="00152E1B"/>
    <w:rsid w:val="00152FF6"/>
    <w:rsid w:val="001B481A"/>
    <w:rsid w:val="001D0EA7"/>
    <w:rsid w:val="001D2EA0"/>
    <w:rsid w:val="001D4F4C"/>
    <w:rsid w:val="001E2B4E"/>
    <w:rsid w:val="00213256"/>
    <w:rsid w:val="00226947"/>
    <w:rsid w:val="00245824"/>
    <w:rsid w:val="002640B3"/>
    <w:rsid w:val="002776E4"/>
    <w:rsid w:val="002C1656"/>
    <w:rsid w:val="002D3D99"/>
    <w:rsid w:val="002E54FF"/>
    <w:rsid w:val="00313667"/>
    <w:rsid w:val="00337D2A"/>
    <w:rsid w:val="00342CD5"/>
    <w:rsid w:val="003512CE"/>
    <w:rsid w:val="003A1D39"/>
    <w:rsid w:val="003A6985"/>
    <w:rsid w:val="003C2BE4"/>
    <w:rsid w:val="003E4D44"/>
    <w:rsid w:val="003E6ABE"/>
    <w:rsid w:val="003F3FD0"/>
    <w:rsid w:val="00451306"/>
    <w:rsid w:val="00452D41"/>
    <w:rsid w:val="0045751E"/>
    <w:rsid w:val="004D7DFE"/>
    <w:rsid w:val="004F30A7"/>
    <w:rsid w:val="004F7317"/>
    <w:rsid w:val="00505DA1"/>
    <w:rsid w:val="00522CD6"/>
    <w:rsid w:val="00522D34"/>
    <w:rsid w:val="00540A9B"/>
    <w:rsid w:val="00546A53"/>
    <w:rsid w:val="005519BA"/>
    <w:rsid w:val="005A7AE0"/>
    <w:rsid w:val="0060711D"/>
    <w:rsid w:val="006336B7"/>
    <w:rsid w:val="00650CBE"/>
    <w:rsid w:val="006808F2"/>
    <w:rsid w:val="006A5060"/>
    <w:rsid w:val="006B59E6"/>
    <w:rsid w:val="006C29D2"/>
    <w:rsid w:val="006C49E8"/>
    <w:rsid w:val="006D2AE1"/>
    <w:rsid w:val="006E3944"/>
    <w:rsid w:val="00712827"/>
    <w:rsid w:val="00713912"/>
    <w:rsid w:val="00765924"/>
    <w:rsid w:val="00774EE6"/>
    <w:rsid w:val="007773CF"/>
    <w:rsid w:val="00781B27"/>
    <w:rsid w:val="00783A59"/>
    <w:rsid w:val="007A6B75"/>
    <w:rsid w:val="007A7BD9"/>
    <w:rsid w:val="007C5392"/>
    <w:rsid w:val="007D0925"/>
    <w:rsid w:val="007E2472"/>
    <w:rsid w:val="008029F7"/>
    <w:rsid w:val="008135B6"/>
    <w:rsid w:val="00816E57"/>
    <w:rsid w:val="00822AB3"/>
    <w:rsid w:val="00823876"/>
    <w:rsid w:val="00833B72"/>
    <w:rsid w:val="00897C70"/>
    <w:rsid w:val="008B7062"/>
    <w:rsid w:val="008D154B"/>
    <w:rsid w:val="008E2D6F"/>
    <w:rsid w:val="0091774F"/>
    <w:rsid w:val="00952317"/>
    <w:rsid w:val="00966602"/>
    <w:rsid w:val="009727EF"/>
    <w:rsid w:val="0098736B"/>
    <w:rsid w:val="009979A6"/>
    <w:rsid w:val="00997D4B"/>
    <w:rsid w:val="009A0FFD"/>
    <w:rsid w:val="009B2370"/>
    <w:rsid w:val="009C6A3E"/>
    <w:rsid w:val="009F5DED"/>
    <w:rsid w:val="00A06560"/>
    <w:rsid w:val="00A13083"/>
    <w:rsid w:val="00A21ED7"/>
    <w:rsid w:val="00A535A1"/>
    <w:rsid w:val="00A55D49"/>
    <w:rsid w:val="00A750CC"/>
    <w:rsid w:val="00B048A2"/>
    <w:rsid w:val="00B139F8"/>
    <w:rsid w:val="00B1726B"/>
    <w:rsid w:val="00B53214"/>
    <w:rsid w:val="00C034CE"/>
    <w:rsid w:val="00C20D2D"/>
    <w:rsid w:val="00C269D4"/>
    <w:rsid w:val="00C4721E"/>
    <w:rsid w:val="00C50D9D"/>
    <w:rsid w:val="00C55269"/>
    <w:rsid w:val="00C63ACC"/>
    <w:rsid w:val="00C77609"/>
    <w:rsid w:val="00C863F0"/>
    <w:rsid w:val="00C91686"/>
    <w:rsid w:val="00CA5327"/>
    <w:rsid w:val="00CC0864"/>
    <w:rsid w:val="00CC7B8D"/>
    <w:rsid w:val="00CD0470"/>
    <w:rsid w:val="00D169A1"/>
    <w:rsid w:val="00D16A5E"/>
    <w:rsid w:val="00D317B7"/>
    <w:rsid w:val="00D3304D"/>
    <w:rsid w:val="00D36683"/>
    <w:rsid w:val="00D50317"/>
    <w:rsid w:val="00D56D24"/>
    <w:rsid w:val="00D6177F"/>
    <w:rsid w:val="00D96546"/>
    <w:rsid w:val="00DB3038"/>
    <w:rsid w:val="00DB76DC"/>
    <w:rsid w:val="00DC3B03"/>
    <w:rsid w:val="00DD0FC3"/>
    <w:rsid w:val="00DF66D1"/>
    <w:rsid w:val="00E061AD"/>
    <w:rsid w:val="00E12707"/>
    <w:rsid w:val="00E172AC"/>
    <w:rsid w:val="00E30584"/>
    <w:rsid w:val="00E350F9"/>
    <w:rsid w:val="00E527EA"/>
    <w:rsid w:val="00E60A8B"/>
    <w:rsid w:val="00E94979"/>
    <w:rsid w:val="00E95C4A"/>
    <w:rsid w:val="00EC66D1"/>
    <w:rsid w:val="00EE5278"/>
    <w:rsid w:val="00F14EAA"/>
    <w:rsid w:val="00F24055"/>
    <w:rsid w:val="00F42EBF"/>
    <w:rsid w:val="00F76AAD"/>
    <w:rsid w:val="00FB70DE"/>
    <w:rsid w:val="00FD6A8B"/>
    <w:rsid w:val="00FF1D01"/>
    <w:rsid w:val="00FF1F97"/>
    <w:rsid w:val="00FF30D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77BFD8"/>
  <w15:chartTrackingRefBased/>
  <w15:docId w15:val="{47B9C0E8-AFBB-4FCF-A975-7CC4FDD92A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66602"/>
    <w:rPr>
      <w:lang w:val="et-EE"/>
    </w:rPr>
  </w:style>
  <w:style w:type="paragraph" w:styleId="Nagwek1">
    <w:name w:val="heading 1"/>
    <w:basedOn w:val="Normalny"/>
    <w:next w:val="Normalny"/>
    <w:link w:val="Nagwek1Znak"/>
    <w:uiPriority w:val="9"/>
    <w:qFormat/>
    <w:rsid w:val="00966602"/>
    <w:pPr>
      <w:keepNext/>
      <w:keepLines/>
      <w:spacing w:before="360" w:after="80"/>
      <w:outlineLvl w:val="0"/>
    </w:pPr>
    <w:rPr>
      <w:rFonts w:asciiTheme="majorHAnsi" w:eastAsiaTheme="majorEastAsia" w:hAnsiTheme="majorHAnsi" w:cstheme="majorBidi"/>
      <w:color w:val="0F4761" w:themeColor="accent1" w:themeShade="BF"/>
      <w:sz w:val="40"/>
      <w:szCs w:val="40"/>
      <w:lang w:val="pl-PL"/>
    </w:rPr>
  </w:style>
  <w:style w:type="paragraph" w:styleId="Nagwek2">
    <w:name w:val="heading 2"/>
    <w:basedOn w:val="Normalny"/>
    <w:next w:val="Normalny"/>
    <w:link w:val="Nagwek2Znak"/>
    <w:uiPriority w:val="9"/>
    <w:semiHidden/>
    <w:unhideWhenUsed/>
    <w:qFormat/>
    <w:rsid w:val="00966602"/>
    <w:pPr>
      <w:keepNext/>
      <w:keepLines/>
      <w:spacing w:before="160" w:after="80"/>
      <w:outlineLvl w:val="1"/>
    </w:pPr>
    <w:rPr>
      <w:rFonts w:asciiTheme="majorHAnsi" w:eastAsiaTheme="majorEastAsia" w:hAnsiTheme="majorHAnsi" w:cstheme="majorBidi"/>
      <w:color w:val="0F4761" w:themeColor="accent1" w:themeShade="BF"/>
      <w:sz w:val="32"/>
      <w:szCs w:val="32"/>
      <w:lang w:val="pl-PL"/>
    </w:rPr>
  </w:style>
  <w:style w:type="paragraph" w:styleId="Nagwek3">
    <w:name w:val="heading 3"/>
    <w:basedOn w:val="Normalny"/>
    <w:next w:val="Normalny"/>
    <w:link w:val="Nagwek3Znak"/>
    <w:uiPriority w:val="9"/>
    <w:semiHidden/>
    <w:unhideWhenUsed/>
    <w:qFormat/>
    <w:rsid w:val="00966602"/>
    <w:pPr>
      <w:keepNext/>
      <w:keepLines/>
      <w:spacing w:before="160" w:after="80"/>
      <w:outlineLvl w:val="2"/>
    </w:pPr>
    <w:rPr>
      <w:rFonts w:eastAsiaTheme="majorEastAsia" w:cstheme="majorBidi"/>
      <w:color w:val="0F4761" w:themeColor="accent1" w:themeShade="BF"/>
      <w:sz w:val="28"/>
      <w:szCs w:val="28"/>
      <w:lang w:val="pl-PL"/>
    </w:rPr>
  </w:style>
  <w:style w:type="paragraph" w:styleId="Nagwek4">
    <w:name w:val="heading 4"/>
    <w:basedOn w:val="Normalny"/>
    <w:next w:val="Normalny"/>
    <w:link w:val="Nagwek4Znak"/>
    <w:uiPriority w:val="9"/>
    <w:semiHidden/>
    <w:unhideWhenUsed/>
    <w:qFormat/>
    <w:rsid w:val="00966602"/>
    <w:pPr>
      <w:keepNext/>
      <w:keepLines/>
      <w:spacing w:before="80" w:after="40"/>
      <w:outlineLvl w:val="3"/>
    </w:pPr>
    <w:rPr>
      <w:rFonts w:eastAsiaTheme="majorEastAsia" w:cstheme="majorBidi"/>
      <w:i/>
      <w:iCs/>
      <w:color w:val="0F4761" w:themeColor="accent1" w:themeShade="BF"/>
      <w:lang w:val="pl-PL"/>
    </w:rPr>
  </w:style>
  <w:style w:type="paragraph" w:styleId="Nagwek5">
    <w:name w:val="heading 5"/>
    <w:basedOn w:val="Normalny"/>
    <w:next w:val="Normalny"/>
    <w:link w:val="Nagwek5Znak"/>
    <w:uiPriority w:val="9"/>
    <w:semiHidden/>
    <w:unhideWhenUsed/>
    <w:qFormat/>
    <w:rsid w:val="00966602"/>
    <w:pPr>
      <w:keepNext/>
      <w:keepLines/>
      <w:spacing w:before="80" w:after="40"/>
      <w:outlineLvl w:val="4"/>
    </w:pPr>
    <w:rPr>
      <w:rFonts w:eastAsiaTheme="majorEastAsia" w:cstheme="majorBidi"/>
      <w:color w:val="0F4761" w:themeColor="accent1" w:themeShade="BF"/>
      <w:lang w:val="pl-PL"/>
    </w:rPr>
  </w:style>
  <w:style w:type="paragraph" w:styleId="Nagwek6">
    <w:name w:val="heading 6"/>
    <w:basedOn w:val="Normalny"/>
    <w:next w:val="Normalny"/>
    <w:link w:val="Nagwek6Znak"/>
    <w:uiPriority w:val="9"/>
    <w:semiHidden/>
    <w:unhideWhenUsed/>
    <w:qFormat/>
    <w:rsid w:val="00966602"/>
    <w:pPr>
      <w:keepNext/>
      <w:keepLines/>
      <w:spacing w:before="40" w:after="0"/>
      <w:outlineLvl w:val="5"/>
    </w:pPr>
    <w:rPr>
      <w:rFonts w:eastAsiaTheme="majorEastAsia" w:cstheme="majorBidi"/>
      <w:i/>
      <w:iCs/>
      <w:color w:val="595959" w:themeColor="text1" w:themeTint="A6"/>
      <w:lang w:val="pl-PL"/>
    </w:rPr>
  </w:style>
  <w:style w:type="paragraph" w:styleId="Nagwek7">
    <w:name w:val="heading 7"/>
    <w:basedOn w:val="Normalny"/>
    <w:next w:val="Normalny"/>
    <w:link w:val="Nagwek7Znak"/>
    <w:uiPriority w:val="9"/>
    <w:semiHidden/>
    <w:unhideWhenUsed/>
    <w:qFormat/>
    <w:rsid w:val="00966602"/>
    <w:pPr>
      <w:keepNext/>
      <w:keepLines/>
      <w:spacing w:before="40" w:after="0"/>
      <w:outlineLvl w:val="6"/>
    </w:pPr>
    <w:rPr>
      <w:rFonts w:eastAsiaTheme="majorEastAsia" w:cstheme="majorBidi"/>
      <w:color w:val="595959" w:themeColor="text1" w:themeTint="A6"/>
      <w:lang w:val="pl-PL"/>
    </w:rPr>
  </w:style>
  <w:style w:type="paragraph" w:styleId="Nagwek8">
    <w:name w:val="heading 8"/>
    <w:basedOn w:val="Normalny"/>
    <w:next w:val="Normalny"/>
    <w:link w:val="Nagwek8Znak"/>
    <w:uiPriority w:val="9"/>
    <w:semiHidden/>
    <w:unhideWhenUsed/>
    <w:qFormat/>
    <w:rsid w:val="00966602"/>
    <w:pPr>
      <w:keepNext/>
      <w:keepLines/>
      <w:spacing w:after="0"/>
      <w:outlineLvl w:val="7"/>
    </w:pPr>
    <w:rPr>
      <w:rFonts w:eastAsiaTheme="majorEastAsia" w:cstheme="majorBidi"/>
      <w:i/>
      <w:iCs/>
      <w:color w:val="272727" w:themeColor="text1" w:themeTint="D8"/>
      <w:lang w:val="pl-PL"/>
    </w:rPr>
  </w:style>
  <w:style w:type="paragraph" w:styleId="Nagwek9">
    <w:name w:val="heading 9"/>
    <w:basedOn w:val="Normalny"/>
    <w:next w:val="Normalny"/>
    <w:link w:val="Nagwek9Znak"/>
    <w:uiPriority w:val="9"/>
    <w:semiHidden/>
    <w:unhideWhenUsed/>
    <w:qFormat/>
    <w:rsid w:val="00966602"/>
    <w:pPr>
      <w:keepNext/>
      <w:keepLines/>
      <w:spacing w:after="0"/>
      <w:outlineLvl w:val="8"/>
    </w:pPr>
    <w:rPr>
      <w:rFonts w:eastAsiaTheme="majorEastAsia" w:cstheme="majorBidi"/>
      <w:color w:val="272727" w:themeColor="text1" w:themeTint="D8"/>
      <w:lang w:val="pl-PL"/>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966602"/>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966602"/>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966602"/>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966602"/>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966602"/>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966602"/>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966602"/>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966602"/>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966602"/>
    <w:rPr>
      <w:rFonts w:eastAsiaTheme="majorEastAsia" w:cstheme="majorBidi"/>
      <w:color w:val="272727" w:themeColor="text1" w:themeTint="D8"/>
    </w:rPr>
  </w:style>
  <w:style w:type="paragraph" w:styleId="Tytu">
    <w:name w:val="Title"/>
    <w:basedOn w:val="Normalny"/>
    <w:next w:val="Normalny"/>
    <w:link w:val="TytuZnak"/>
    <w:uiPriority w:val="10"/>
    <w:qFormat/>
    <w:rsid w:val="00966602"/>
    <w:pPr>
      <w:spacing w:after="80" w:line="240" w:lineRule="auto"/>
      <w:contextualSpacing/>
    </w:pPr>
    <w:rPr>
      <w:rFonts w:asciiTheme="majorHAnsi" w:eastAsiaTheme="majorEastAsia" w:hAnsiTheme="majorHAnsi" w:cstheme="majorBidi"/>
      <w:spacing w:val="-10"/>
      <w:kern w:val="28"/>
      <w:sz w:val="56"/>
      <w:szCs w:val="56"/>
      <w:lang w:val="pl-PL"/>
    </w:rPr>
  </w:style>
  <w:style w:type="character" w:customStyle="1" w:styleId="TytuZnak">
    <w:name w:val="Tytuł Znak"/>
    <w:basedOn w:val="Domylnaczcionkaakapitu"/>
    <w:link w:val="Tytu"/>
    <w:uiPriority w:val="10"/>
    <w:rsid w:val="00966602"/>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966602"/>
    <w:pPr>
      <w:numPr>
        <w:ilvl w:val="1"/>
      </w:numPr>
    </w:pPr>
    <w:rPr>
      <w:rFonts w:eastAsiaTheme="majorEastAsia" w:cstheme="majorBidi"/>
      <w:color w:val="595959" w:themeColor="text1" w:themeTint="A6"/>
      <w:spacing w:val="15"/>
      <w:sz w:val="28"/>
      <w:szCs w:val="28"/>
      <w:lang w:val="pl-PL"/>
    </w:rPr>
  </w:style>
  <w:style w:type="character" w:customStyle="1" w:styleId="PodtytuZnak">
    <w:name w:val="Podtytuł Znak"/>
    <w:basedOn w:val="Domylnaczcionkaakapitu"/>
    <w:link w:val="Podtytu"/>
    <w:uiPriority w:val="11"/>
    <w:rsid w:val="00966602"/>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966602"/>
    <w:pPr>
      <w:spacing w:before="160"/>
      <w:jc w:val="center"/>
    </w:pPr>
    <w:rPr>
      <w:i/>
      <w:iCs/>
      <w:color w:val="404040" w:themeColor="text1" w:themeTint="BF"/>
      <w:lang w:val="pl-PL"/>
    </w:rPr>
  </w:style>
  <w:style w:type="character" w:customStyle="1" w:styleId="CytatZnak">
    <w:name w:val="Cytat Znak"/>
    <w:basedOn w:val="Domylnaczcionkaakapitu"/>
    <w:link w:val="Cytat"/>
    <w:uiPriority w:val="29"/>
    <w:rsid w:val="00966602"/>
    <w:rPr>
      <w:i/>
      <w:iCs/>
      <w:color w:val="404040" w:themeColor="text1" w:themeTint="BF"/>
    </w:rPr>
  </w:style>
  <w:style w:type="paragraph" w:styleId="Akapitzlist">
    <w:name w:val="List Paragraph"/>
    <w:basedOn w:val="Normalny"/>
    <w:uiPriority w:val="34"/>
    <w:qFormat/>
    <w:rsid w:val="00966602"/>
    <w:pPr>
      <w:ind w:left="720"/>
      <w:contextualSpacing/>
    </w:pPr>
    <w:rPr>
      <w:lang w:val="pl-PL"/>
    </w:rPr>
  </w:style>
  <w:style w:type="character" w:styleId="Wyrnienieintensywne">
    <w:name w:val="Intense Emphasis"/>
    <w:basedOn w:val="Domylnaczcionkaakapitu"/>
    <w:uiPriority w:val="21"/>
    <w:qFormat/>
    <w:rsid w:val="00966602"/>
    <w:rPr>
      <w:i/>
      <w:iCs/>
      <w:color w:val="0F4761" w:themeColor="accent1" w:themeShade="BF"/>
    </w:rPr>
  </w:style>
  <w:style w:type="paragraph" w:styleId="Cytatintensywny">
    <w:name w:val="Intense Quote"/>
    <w:basedOn w:val="Normalny"/>
    <w:next w:val="Normalny"/>
    <w:link w:val="CytatintensywnyZnak"/>
    <w:uiPriority w:val="30"/>
    <w:qFormat/>
    <w:rsid w:val="009666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lang w:val="pl-PL"/>
    </w:rPr>
  </w:style>
  <w:style w:type="character" w:customStyle="1" w:styleId="CytatintensywnyZnak">
    <w:name w:val="Cytat intensywny Znak"/>
    <w:basedOn w:val="Domylnaczcionkaakapitu"/>
    <w:link w:val="Cytatintensywny"/>
    <w:uiPriority w:val="30"/>
    <w:rsid w:val="00966602"/>
    <w:rPr>
      <w:i/>
      <w:iCs/>
      <w:color w:val="0F4761" w:themeColor="accent1" w:themeShade="BF"/>
    </w:rPr>
  </w:style>
  <w:style w:type="character" w:styleId="Odwoanieintensywne">
    <w:name w:val="Intense Reference"/>
    <w:basedOn w:val="Domylnaczcionkaakapitu"/>
    <w:uiPriority w:val="32"/>
    <w:qFormat/>
    <w:rsid w:val="00966602"/>
    <w:rPr>
      <w:b/>
      <w:bCs/>
      <w:smallCaps/>
      <w:color w:val="0F4761" w:themeColor="accent1" w:themeShade="BF"/>
      <w:spacing w:val="5"/>
    </w:rPr>
  </w:style>
  <w:style w:type="character" w:styleId="Hipercze">
    <w:name w:val="Hyperlink"/>
    <w:basedOn w:val="Domylnaczcionkaakapitu"/>
    <w:uiPriority w:val="99"/>
    <w:unhideWhenUsed/>
    <w:rsid w:val="00966602"/>
    <w:rPr>
      <w:color w:val="467886" w:themeColor="hyperlink"/>
      <w:u w:val="single"/>
    </w:rPr>
  </w:style>
  <w:style w:type="paragraph" w:styleId="Nagwek">
    <w:name w:val="header"/>
    <w:basedOn w:val="Normalny"/>
    <w:link w:val="NagwekZnak"/>
    <w:uiPriority w:val="99"/>
    <w:unhideWhenUsed/>
    <w:rsid w:val="0096660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66602"/>
    <w:rPr>
      <w:lang w:val="et-EE"/>
    </w:rPr>
  </w:style>
  <w:style w:type="paragraph" w:styleId="Stopka">
    <w:name w:val="footer"/>
    <w:basedOn w:val="Normalny"/>
    <w:link w:val="StopkaZnak"/>
    <w:uiPriority w:val="99"/>
    <w:unhideWhenUsed/>
    <w:rsid w:val="00CD047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D0470"/>
    <w:rPr>
      <w:lang w:val="et-EE"/>
    </w:rPr>
  </w:style>
  <w:style w:type="paragraph" w:styleId="Poprawka">
    <w:name w:val="Revision"/>
    <w:hidden/>
    <w:uiPriority w:val="99"/>
    <w:semiHidden/>
    <w:rsid w:val="006336B7"/>
    <w:pPr>
      <w:spacing w:after="0" w:line="240" w:lineRule="auto"/>
    </w:pPr>
    <w:rPr>
      <w:lang w:val="et-E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kurczych.agnieszka@whitestar-realestate.com"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23</TotalTime>
  <Pages>3</Pages>
  <Words>824</Words>
  <Characters>4945</Characters>
  <Application>Microsoft Office Word</Application>
  <DocSecurity>0</DocSecurity>
  <Lines>41</Lines>
  <Paragraphs>11</Paragraphs>
  <ScaleCrop>false</ScaleCrop>
  <Company/>
  <LinksUpToDate>false</LinksUpToDate>
  <CharactersWithSpaces>5758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Agnieszka Kurczych</dc:creator>
  <cp:keywords/>
  <dc:description/>
  <cp:lastModifiedBy>Agnieszka Kurczych</cp:lastModifiedBy>
  <cp:revision>8</cp:revision>
  <dcterms:created xsi:type="dcterms:W3CDTF">2026-09-07T08:23:00Z</dcterms:created>
  <dcterms:modified xsi:type="dcterms:W3CDTF">2026-09-15T09:41:00Z</dcterms:modified>
</cp:coreProperties>
</file>