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pPr>
      <w:r w:rsidDel="00000000" w:rsidR="00000000" w:rsidRPr="00000000">
        <w:rPr>
          <w:rtl w:val="0"/>
        </w:rPr>
        <w:t xml:space="preserve">Komentarz ekspercki</w:t>
      </w:r>
    </w:p>
    <w:p w:rsidR="00000000" w:rsidDel="00000000" w:rsidP="00000000" w:rsidRDefault="00000000" w:rsidRPr="00000000" w14:paraId="00000002">
      <w:pPr>
        <w:jc w:val="right"/>
        <w:rPr/>
      </w:pPr>
      <w:r w:rsidDel="00000000" w:rsidR="00000000" w:rsidRPr="00000000">
        <w:rPr>
          <w:rtl w:val="0"/>
        </w:rPr>
        <w:t xml:space="preserve">15.09.2026 r. </w:t>
      </w:r>
    </w:p>
    <w:p w:rsidR="00000000" w:rsidDel="00000000" w:rsidP="00000000" w:rsidRDefault="00000000" w:rsidRPr="00000000" w14:paraId="00000003">
      <w:pPr>
        <w:jc w:val="left"/>
        <w:rPr>
          <w:b w:val="1"/>
          <w:bCs w:val="1"/>
          <w:sz w:val="24"/>
          <w:szCs w:val="24"/>
        </w:rPr>
      </w:pPr>
      <w:r w:rsidDel="00000000" w:rsidR="00000000" w:rsidRPr="00000000">
        <w:rPr>
          <w:rtl w:val="0"/>
        </w:rPr>
      </w:r>
    </w:p>
    <w:p w:rsidR="00000000" w:rsidDel="00000000" w:rsidP="00000000" w:rsidRDefault="00000000" w:rsidRPr="00000000" w14:paraId="00000004">
      <w:pPr>
        <w:jc w:val="center"/>
        <w:rPr>
          <w:b w:val="1"/>
          <w:bCs w:val="1"/>
          <w:sz w:val="24"/>
          <w:szCs w:val="24"/>
        </w:rPr>
      </w:pPr>
      <w:r w:rsidDel="00000000" w:rsidR="00000000" w:rsidRPr="00000000">
        <w:rPr>
          <w:b w:val="1"/>
          <w:bCs w:val="1"/>
          <w:sz w:val="24"/>
          <w:szCs w:val="24"/>
          <w:rtl w:val="0"/>
        </w:rPr>
        <w:t xml:space="preserve">Czy benefit przestaje być przywilejem etatu?</w:t>
      </w:r>
    </w:p>
    <w:p w:rsidR="00000000" w:rsidDel="00000000" w:rsidP="00000000" w:rsidRDefault="00000000" w:rsidRPr="00000000" w14:paraId="00000005">
      <w:pPr>
        <w:ind w:left="720" w:firstLine="0"/>
        <w:jc w:val="left"/>
        <w:rPr>
          <w:b w:val="1"/>
          <w:bCs w:val="1"/>
        </w:rPr>
      </w:pPr>
      <w:r w:rsidDel="00000000" w:rsidR="00000000" w:rsidRPr="00000000">
        <w:rPr>
          <w:rtl w:val="0"/>
        </w:rPr>
      </w:r>
    </w:p>
    <w:p w:rsidR="00000000" w:rsidDel="00000000" w:rsidP="00000000" w:rsidRDefault="00000000" w:rsidRPr="00000000" w14:paraId="00000006">
      <w:pPr>
        <w:jc w:val="both"/>
        <w:rPr>
          <w:b w:val="1"/>
          <w:bCs w:val="1"/>
        </w:rPr>
      </w:pPr>
      <w:r w:rsidDel="00000000" w:rsidR="00000000" w:rsidRPr="00000000">
        <w:rPr>
          <w:b w:val="1"/>
          <w:bCs w:val="1"/>
          <w:rtl w:val="0"/>
        </w:rPr>
        <w:t xml:space="preserve">O benefitach pracowniczych przez lata mówiło się głównie w kontekście etatu, a symbolem tego podejścia stały się „owocowe czwartki”. Firmy traktowały je jako sposób na zwiększenie atrakcyjności miejsca pracy i przyciągnięcie poszukiwanych specjalistów. Dziś rynek idzie jednak krok dalej: benefit coraz częściej przestaje być przypisany do jednego pracodawcy i zaczyna „podążać za specjalistą”. Sprzyja temu rozwój freelancingu oraz rozwiązań, dzięki którym niezależni profesjonaliści mogą samodzielnie wybierać model współpracy i korzystać ze świadczeń zapewnianych na podstawie dodatkowej umowy lub za pośrednictwem platformy. Etat nadal daje szerszą ochronę, jednak oferowane wraz z nim dodatki nie zawsze odpowiadają na indywidualne potrzeby ani nie przekładają się na realną wartość dla pracownika. </w:t>
      </w:r>
    </w:p>
    <w:p w:rsidR="00000000" w:rsidDel="00000000" w:rsidP="00000000" w:rsidRDefault="00000000" w:rsidRPr="00000000" w14:paraId="00000007">
      <w:pPr>
        <w:spacing w:after="240" w:before="240" w:lineRule="auto"/>
        <w:jc w:val="both"/>
        <w:rPr>
          <w:i w:val="1"/>
          <w:iCs w:val="1"/>
        </w:rPr>
      </w:pPr>
      <w:r w:rsidDel="00000000" w:rsidR="00000000" w:rsidRPr="00000000">
        <w:rPr>
          <w:i w:val="1"/>
          <w:iCs w:val="1"/>
          <w:rtl w:val="0"/>
        </w:rPr>
        <w:t xml:space="preserve">O tym, dlaczego benefity coraz rzadziej są zarezerwowane wyłącznie dla osób zatrudnionych na etacie i jak zmieniają się potrzeby niezależnych specjalistów, mówi </w:t>
      </w:r>
      <w:r w:rsidDel="00000000" w:rsidR="00000000" w:rsidRPr="00000000">
        <w:rPr>
          <w:b w:val="1"/>
          <w:bCs w:val="1"/>
          <w:i w:val="1"/>
          <w:iCs w:val="1"/>
          <w:rtl w:val="0"/>
        </w:rPr>
        <w:t xml:space="preserve">Przemek Głośny, założyciel i CEO </w:t>
      </w:r>
      <w:r w:rsidDel="00000000" w:rsidR="00000000" w:rsidRPr="00000000">
        <w:rPr>
          <w:b w:val="1"/>
          <w:bCs w:val="1"/>
          <w:i w:val="1"/>
          <w:iCs w:val="1"/>
          <w:rtl w:val="0"/>
        </w:rPr>
        <w:t xml:space="preserve">Useme</w:t>
      </w:r>
      <w:r w:rsidDel="00000000" w:rsidR="00000000" w:rsidRPr="00000000">
        <w:rPr>
          <w:b w:val="1"/>
          <w:bCs w:val="1"/>
          <w:i w:val="1"/>
          <w:iCs w:val="1"/>
          <w:rtl w:val="0"/>
        </w:rPr>
        <w:t xml:space="preserve">. </w:t>
      </w:r>
      <w:r w:rsidDel="00000000" w:rsidR="00000000" w:rsidRPr="00000000">
        <w:rPr>
          <w:rtl w:val="0"/>
        </w:rPr>
      </w:r>
    </w:p>
    <w:p w:rsidR="00000000" w:rsidDel="00000000" w:rsidP="00000000" w:rsidRDefault="00000000" w:rsidRPr="00000000" w14:paraId="00000008">
      <w:pPr>
        <w:spacing w:after="240" w:before="240" w:lineRule="auto"/>
        <w:jc w:val="both"/>
        <w:rPr/>
      </w:pPr>
      <w:r w:rsidDel="00000000" w:rsidR="00000000" w:rsidRPr="00000000">
        <w:rPr>
          <w:rtl w:val="0"/>
        </w:rPr>
        <w:t xml:space="preserve">Rynek freelancingu wchodzi w fazę stabilizacji. Potwierdzają to wyniki badania „Freelancing w Polsce 2025. Między stabilnością a adaptacją”, przeprowadzonego przez Useme we współpracy z agencją badawczą ABR SESTA. Najczęściej ankietowani realizują 1-2 projekty miesięcznie.</w:t>
      </w:r>
      <w:r w:rsidDel="00000000" w:rsidR="00000000" w:rsidRPr="00000000">
        <w:rPr>
          <w:rtl w:val="0"/>
        </w:rPr>
        <w:t xml:space="preserve"> O dojrzałości tego modelu świadczą ciągłość </w:t>
      </w:r>
      <w:r w:rsidDel="00000000" w:rsidR="00000000" w:rsidRPr="00000000">
        <w:rPr>
          <w:rtl w:val="0"/>
        </w:rPr>
        <w:t xml:space="preserve">współprac</w:t>
      </w:r>
      <w:r w:rsidDel="00000000" w:rsidR="00000000" w:rsidRPr="00000000">
        <w:rPr>
          <w:rtl w:val="0"/>
        </w:rPr>
        <w:t xml:space="preserve"> oraz większa wartość poszczególnych projektów.</w:t>
      </w:r>
      <w:r w:rsidDel="00000000" w:rsidR="00000000" w:rsidRPr="00000000">
        <w:rPr>
          <w:rtl w:val="0"/>
        </w:rPr>
        <w:t xml:space="preserve"> Tradycyjny etat nadal kojarzy się z pracą w określonych godzinach i miejscu oraz według zasad obowiązujących w organizacji.</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Freelancerzy coraz częściej rozliczają się za rezultat i samodzielnie wyceniają swoją pracę. Taki model zwiększa przewidywalność współpracy po obu stronach: klient zna zakres i koszt realizacji, a specjalista wie, za jaki efekt otrzyma wynagrodzenie. Bardzo często pojedyncze zlecenie staje się początkiem stałej relacji. Freelancerzy oraz firmy, w tym korporacje i duże przedsiębiorstwa, nawiązują długofalową współpracę bez konieczności zatrudniania specjalisty na etat. To jeden z sygnałów, że niezależna praca staje się trwałym elementem procesów biznesowych, a nie wyłącznie doraźnym wsparciem.</w:t>
      </w:r>
    </w:p>
    <w:p w:rsidR="00000000" w:rsidDel="00000000" w:rsidP="00000000" w:rsidRDefault="00000000" w:rsidRPr="00000000" w14:paraId="0000000A">
      <w:pPr>
        <w:spacing w:after="240" w:before="240" w:lineRule="auto"/>
        <w:jc w:val="both"/>
        <w:rPr/>
      </w:pPr>
      <w:r w:rsidDel="00000000" w:rsidR="00000000" w:rsidRPr="00000000">
        <w:rPr>
          <w:rtl w:val="0"/>
        </w:rPr>
        <w:t xml:space="preserve">O przywiązaniu do tego modelu świadczą również plany badanych. Łącznie 73 proc. zamierzało kontynuować freelancing w 2026 roku: 56 proc. na dotychczasowych zasadach, a 17 proc. po zmianie sposobu rozliczania się z klientami. </w:t>
      </w:r>
    </w:p>
    <w:p w:rsidR="00000000" w:rsidDel="00000000" w:rsidP="00000000" w:rsidRDefault="00000000" w:rsidRPr="00000000" w14:paraId="0000000B">
      <w:pPr>
        <w:spacing w:after="240" w:before="240" w:lineRule="auto"/>
        <w:jc w:val="both"/>
        <w:rPr>
          <w:b w:val="1"/>
          <w:bCs w:val="1"/>
        </w:rPr>
      </w:pPr>
      <w:r w:rsidDel="00000000" w:rsidR="00000000" w:rsidRPr="00000000">
        <w:rPr>
          <w:b w:val="1"/>
          <w:bCs w:val="1"/>
          <w:rtl w:val="0"/>
        </w:rPr>
        <w:t xml:space="preserve">Elastyczność też może być benefitem</w:t>
      </w:r>
    </w:p>
    <w:p w:rsidR="00000000" w:rsidDel="00000000" w:rsidP="00000000" w:rsidRDefault="00000000" w:rsidRPr="00000000" w14:paraId="0000000C">
      <w:pPr>
        <w:spacing w:after="240" w:before="240" w:lineRule="auto"/>
        <w:jc w:val="both"/>
        <w:rPr/>
      </w:pPr>
      <w:r w:rsidDel="00000000" w:rsidR="00000000" w:rsidRPr="00000000">
        <w:rPr>
          <w:rtl w:val="0"/>
        </w:rPr>
        <w:t xml:space="preserve">We freelancingu część benefitów nie wynika jednak z polityki pracodawcy, lecz z samego modelu pracy. Niezależny specjalista ma większy wpływ na wybór projektów, wysokość proponowanych stawek oraz organizację codzienności. W pracy projektowej klienta najbardziej interesuje uzgodniony rezultat i termin jego dostarczenia, a nie obecność przy biurku od ósmej rano. Daje to możliwość dopasowania godzin i miejsca pracy do własnego rytmu, a także łatwiejszego łączenia obowiązków zawodowych z życiem rodzinnym. Taka swoboda wymaga dobrej organizacji, ale dla niezależnego specjalisty może mieć większą wartość niż część dodatków oferowanych wraz z etatem.</w:t>
      </w:r>
    </w:p>
    <w:p w:rsidR="00000000" w:rsidDel="00000000" w:rsidP="00000000" w:rsidRDefault="00000000" w:rsidRPr="00000000" w14:paraId="0000000D">
      <w:pPr>
        <w:spacing w:after="240" w:before="240" w:lineRule="auto"/>
        <w:jc w:val="both"/>
        <w:rPr/>
      </w:pPr>
      <w:r w:rsidDel="00000000" w:rsidR="00000000" w:rsidRPr="00000000">
        <w:rPr>
          <w:b w:val="1"/>
          <w:bCs w:val="1"/>
          <w:rtl w:val="0"/>
        </w:rPr>
        <w:t xml:space="preserve">Więcej swobody, więcej odpowiedzialności </w:t>
      </w:r>
      <w:r w:rsidDel="00000000" w:rsidR="00000000" w:rsidRPr="00000000">
        <w:rPr>
          <w:rtl w:val="0"/>
        </w:rPr>
      </w:r>
    </w:p>
    <w:p w:rsidR="00000000" w:rsidDel="00000000" w:rsidP="00000000" w:rsidRDefault="00000000" w:rsidRPr="00000000" w14:paraId="0000000E">
      <w:pPr>
        <w:spacing w:after="240" w:before="240" w:lineRule="auto"/>
        <w:jc w:val="both"/>
        <w:rPr/>
      </w:pPr>
      <w:r w:rsidDel="00000000" w:rsidR="00000000" w:rsidRPr="00000000">
        <w:rPr>
          <w:rtl w:val="0"/>
        </w:rPr>
        <w:t xml:space="preserve">Freelancing nie oznacza jednego sposobu pracy. Według raportu 41 proc. badanych pracuje wyłącznie na zleceniach, 33 proc. łączy je z etatem, a 17 proc. współpracuje z jednym głównym klientem i jednocześnie realizuje mniejsze projekty dla innych firm. Kolejne 6 proc. pracuje podczas studiów. Ponad 40 proc. ankietowanych osiąga z freelancingu miesięczne dochody poniżej 2000 zł. Dla wielu osób zlecenia, są więc dodatkowym źródłem utrzymania, a nie alternatywą dla etatu.</w:t>
      </w:r>
    </w:p>
    <w:p w:rsidR="00000000" w:rsidDel="00000000" w:rsidP="00000000" w:rsidRDefault="00000000" w:rsidRPr="00000000" w14:paraId="0000000F">
      <w:pPr>
        <w:spacing w:after="240" w:before="240" w:lineRule="auto"/>
        <w:jc w:val="both"/>
        <w:rPr/>
      </w:pPr>
      <w:r w:rsidDel="00000000" w:rsidR="00000000" w:rsidRPr="00000000">
        <w:rPr>
          <w:rtl w:val="0"/>
        </w:rPr>
        <w:t xml:space="preserve">Gdy freelancing </w:t>
      </w:r>
      <w:r w:rsidDel="00000000" w:rsidR="00000000" w:rsidRPr="00000000">
        <w:rPr>
          <w:rtl w:val="0"/>
        </w:rPr>
        <w:t xml:space="preserve">staje</w:t>
      </w:r>
      <w:r w:rsidDel="00000000" w:rsidR="00000000" w:rsidRPr="00000000">
        <w:rPr>
          <w:rtl w:val="0"/>
        </w:rPr>
        <w:t xml:space="preserve"> się głównym modelem pracy, freelancer przejmuje obowiązki, którymi na etacie zajmuje się pracodawca. Musi sam zaplanować przerwy w realizacji zleceń i zabezpieczyć się finansowo na czas choroby.</w:t>
      </w:r>
    </w:p>
    <w:p w:rsidR="00000000" w:rsidDel="00000000" w:rsidP="00000000" w:rsidRDefault="00000000" w:rsidRPr="00000000" w14:paraId="00000010">
      <w:pPr>
        <w:spacing w:after="240" w:before="240" w:lineRule="auto"/>
        <w:jc w:val="both"/>
        <w:rPr/>
      </w:pPr>
      <w:r w:rsidDel="00000000" w:rsidR="00000000" w:rsidRPr="00000000">
        <w:rPr>
          <w:rtl w:val="0"/>
        </w:rPr>
        <w:t xml:space="preserve">Elastyczny model pracy sprzyja zjawisku work-life blending, czyli przenikaniu się życia zawodowego i prywatnego. Można załatwić osobistą sprawę w ciągu dnia, ale termin realizacji projektu pozostaje bez zmian. Praca zostaje wtedy przesunięta na wieczór lub weekend. Bez świadomie ustalonych granic odpoczynek łatwo schodzi na dalszy plan.</w:t>
      </w:r>
    </w:p>
    <w:p w:rsidR="00000000" w:rsidDel="00000000" w:rsidP="00000000" w:rsidRDefault="00000000" w:rsidRPr="00000000" w14:paraId="00000011">
      <w:pPr>
        <w:spacing w:after="240" w:before="240" w:lineRule="auto"/>
        <w:jc w:val="both"/>
        <w:rPr/>
      </w:pPr>
      <w:r w:rsidDel="00000000" w:rsidR="00000000" w:rsidRPr="00000000">
        <w:rPr>
          <w:rtl w:val="0"/>
        </w:rPr>
        <w:t xml:space="preserve">Zdrowie i możliwość regularnej pracy mają także wymiar finansowy, szczególnie gdy dochód zależy od terminowej realizacji projektów. Dostęp do opieki zdrowotnej lub świadczeń wspierających aktywność fizyczną nie jest więc wyłącznie atrakcyjnym dodatkiem. Może pomóc w dbaniu o regenerację i ograniczyć część ryzyka związanego z pracą na własny rachunek.</w:t>
      </w:r>
    </w:p>
    <w:p w:rsidR="00000000" w:rsidDel="00000000" w:rsidP="00000000" w:rsidRDefault="00000000" w:rsidRPr="00000000" w14:paraId="00000012">
      <w:pPr>
        <w:spacing w:after="240" w:before="240" w:lineRule="auto"/>
        <w:jc w:val="both"/>
        <w:rPr>
          <w:b w:val="1"/>
          <w:bCs w:val="1"/>
        </w:rPr>
      </w:pPr>
      <w:r w:rsidDel="00000000" w:rsidR="00000000" w:rsidRPr="00000000">
        <w:rPr>
          <w:b w:val="1"/>
          <w:bCs w:val="1"/>
          <w:rtl w:val="0"/>
        </w:rPr>
        <w:t xml:space="preserve">Ubezpieczenie zdrowotne</w:t>
      </w:r>
      <w:r w:rsidDel="00000000" w:rsidR="00000000" w:rsidRPr="00000000">
        <w:rPr>
          <w:rtl w:val="0"/>
        </w:rPr>
        <w:t xml:space="preserve"> </w:t>
      </w:r>
      <w:r w:rsidDel="00000000" w:rsidR="00000000" w:rsidRPr="00000000">
        <w:rPr>
          <w:b w:val="1"/>
          <w:bCs w:val="1"/>
          <w:rtl w:val="0"/>
        </w:rPr>
        <w:t xml:space="preserve">i karta sportowa. Czy etat traci monopol na benefity?</w:t>
      </w:r>
    </w:p>
    <w:p w:rsidR="00000000" w:rsidDel="00000000" w:rsidP="00000000" w:rsidRDefault="00000000" w:rsidRPr="00000000" w14:paraId="00000013">
      <w:pPr>
        <w:spacing w:after="240" w:before="240" w:lineRule="auto"/>
        <w:ind w:left="0" w:firstLine="0"/>
        <w:jc w:val="both"/>
        <w:rPr/>
      </w:pPr>
      <w:r w:rsidDel="00000000" w:rsidR="00000000" w:rsidRPr="00000000">
        <w:rPr>
          <w:rtl w:val="0"/>
        </w:rPr>
        <w:t xml:space="preserve">Jednym z najważniejszych czynników wpływających na wybór między etatem a freelancingiem pozostaje poczucie bezpieczeństwa. Decyzji o pracy na własny rachunek często towarzyszą obawy o dostęp do opieki zdrowotnej, obowiązki związane ze składkami czy konieczność prowadzenia księgowości. Jednym z przykładów rozwiązań odpowiadających na te potrzeby jest Useme Plus. Użytkownicy mogą wystawiać faktury bez zakładania działalności gospodarczej, uzyskać dostęp do świadczeń w ramach NFZ </w:t>
      </w:r>
      <w:r w:rsidDel="00000000" w:rsidR="00000000" w:rsidRPr="00000000">
        <w:rPr>
          <w:rtl w:val="0"/>
        </w:rPr>
        <w:t xml:space="preserve">na podstawie odrębnej umowy</w:t>
      </w:r>
      <w:r w:rsidDel="00000000" w:rsidR="00000000" w:rsidRPr="00000000">
        <w:rPr>
          <w:rtl w:val="0"/>
        </w:rPr>
        <w:t xml:space="preserve"> oraz korzystać ze środków w systemie MyBenefit, które można przeznaczyć m.in. na kartę MultiSport. </w:t>
      </w:r>
    </w:p>
    <w:p w:rsidR="00000000" w:rsidDel="00000000" w:rsidP="00000000" w:rsidRDefault="00000000" w:rsidRPr="00000000" w14:paraId="00000014">
      <w:pPr>
        <w:spacing w:after="240" w:before="240" w:lineRule="auto"/>
        <w:ind w:left="0" w:firstLine="0"/>
        <w:jc w:val="both"/>
        <w:rPr/>
      </w:pPr>
      <w:r w:rsidDel="00000000" w:rsidR="00000000" w:rsidRPr="00000000">
        <w:rPr>
          <w:rtl w:val="0"/>
        </w:rPr>
        <w:t xml:space="preserve">Takie rozwiązania pokazują, że dostęp do części świadczeń może być zorganizowany niezależnie od formy zatrudnienia i dopasowany do potrzeb konkretnej osoby. </w:t>
      </w:r>
    </w:p>
    <w:p w:rsidR="00000000" w:rsidDel="00000000" w:rsidP="00000000" w:rsidRDefault="00000000" w:rsidRPr="00000000" w14:paraId="00000015">
      <w:pPr>
        <w:spacing w:after="240" w:before="240" w:lineRule="auto"/>
        <w:ind w:left="0" w:firstLine="0"/>
        <w:jc w:val="both"/>
        <w:rPr>
          <w:b w:val="1"/>
          <w:bCs w:val="1"/>
        </w:rPr>
      </w:pPr>
      <w:r w:rsidDel="00000000" w:rsidR="00000000" w:rsidRPr="00000000">
        <w:rPr>
          <w:b w:val="1"/>
          <w:bCs w:val="1"/>
          <w:rtl w:val="0"/>
        </w:rPr>
        <w:t xml:space="preserve">Freelancing bez rezygnacji z bezpieczeństwa </w:t>
      </w:r>
    </w:p>
    <w:p w:rsidR="00000000" w:rsidDel="00000000" w:rsidP="00000000" w:rsidRDefault="00000000" w:rsidRPr="00000000" w14:paraId="00000016">
      <w:pPr>
        <w:jc w:val="both"/>
        <w:rPr/>
      </w:pPr>
      <w:r w:rsidDel="00000000" w:rsidR="00000000" w:rsidRPr="00000000">
        <w:rPr>
          <w:rtl w:val="0"/>
        </w:rPr>
        <w:t xml:space="preserve">Decyzja o przejściu na freelancing wiąże się z dużą zmianą sposobu pracy i organizacji własnego bezpieczeństwa. Nie musi jednak oznaczać całkowitej rezygnacji ze świadczeń kojarzonych dotychczas głównie z etatem. Rozwój elastycznych modeli współpracy sprawia, że niezależny specjalista może dobierać benefity do swojej obecnej sytuacji życiowej, zamiast korzystać z góry określonego pakietu oferowanego przez pracodawcę. Przyszłością jest tworzenie rozwiązań, które pozwalają niezależnym specjalistom samodzielnie wybierać potrzebne im świadczenia. Współczesny benefit może podążać za osobą, która z niego </w:t>
      </w:r>
      <w:r w:rsidDel="00000000" w:rsidR="00000000" w:rsidRPr="00000000">
        <w:rPr>
          <w:rtl w:val="0"/>
        </w:rPr>
        <w:t xml:space="preserve">korzysta</w:t>
      </w:r>
      <w:r w:rsidDel="00000000" w:rsidR="00000000" w:rsidRPr="00000000">
        <w:rPr>
          <w:rtl w:val="0"/>
        </w:rPr>
        <w:t xml:space="preserve">. </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spacing w:after="120" w:lineRule="auto"/>
        <w:jc w:val="both"/>
        <w:rPr>
          <w:sz w:val="20"/>
          <w:szCs w:val="20"/>
        </w:rPr>
      </w:pPr>
      <w:r w:rsidDel="00000000" w:rsidR="00000000" w:rsidRPr="00000000">
        <w:rPr>
          <w:b w:val="1"/>
          <w:bCs w:val="1"/>
          <w:sz w:val="20"/>
          <w:szCs w:val="20"/>
          <w:rtl w:val="0"/>
        </w:rPr>
        <w:t xml:space="preserve">O Useme</w:t>
      </w:r>
      <w:r w:rsidDel="00000000" w:rsidR="00000000" w:rsidRPr="00000000">
        <w:rPr>
          <w:rtl w:val="0"/>
        </w:rPr>
      </w:r>
    </w:p>
    <w:p w:rsidR="00000000" w:rsidDel="00000000" w:rsidP="00000000" w:rsidRDefault="00000000" w:rsidRPr="00000000" w14:paraId="00000019">
      <w:pPr>
        <w:widowControl w:val="0"/>
        <w:spacing w:after="120" w:line="240" w:lineRule="auto"/>
        <w:jc w:val="both"/>
        <w:rPr>
          <w:sz w:val="20"/>
          <w:szCs w:val="20"/>
        </w:rPr>
      </w:pPr>
      <w:r w:rsidDel="00000000" w:rsidR="00000000" w:rsidRPr="00000000">
        <w:rPr>
          <w:sz w:val="20"/>
          <w:szCs w:val="20"/>
          <w:rtl w:val="0"/>
        </w:rPr>
        <w:t xml:space="preserve">Useme to istniejąca od 2013 roku platforma dla freelancerów oraz zleceniodawców z siedzibą we Wrocławiu. W bazie Useme znajduje się ponad 200 000 freelancerów z takich dziedzin jak IT, grafika, copywriting, marketing, tłumaczenia i inne. Platforma zajmuje się wszystkimi kwestiami prawnymi i podatkowymi po stronie freelancera i zleceniodawcy, a także umożliwia rozliczanie podwykonawców zagranicznych. Obecnie Useme jest liderem rozliczeń pracy zdalnej w Polsce, Europie Centralnej i Wschodniej.</w:t>
      </w:r>
    </w:p>
    <w:p w:rsidR="00000000" w:rsidDel="00000000" w:rsidP="00000000" w:rsidRDefault="00000000" w:rsidRPr="00000000" w14:paraId="0000001A">
      <w:pPr>
        <w:widowControl w:val="0"/>
        <w:spacing w:after="0" w:before="0" w:line="240" w:lineRule="auto"/>
        <w:jc w:val="both"/>
        <w:rPr>
          <w:b w:val="1"/>
          <w:bCs w:val="1"/>
          <w:sz w:val="20"/>
          <w:szCs w:val="20"/>
        </w:rPr>
      </w:pPr>
      <w:r w:rsidDel="00000000" w:rsidR="00000000" w:rsidRPr="00000000">
        <w:rPr>
          <w:rtl w:val="0"/>
        </w:rPr>
      </w:r>
    </w:p>
    <w:p w:rsidR="00000000" w:rsidDel="00000000" w:rsidP="00000000" w:rsidRDefault="00000000" w:rsidRPr="00000000" w14:paraId="0000001B">
      <w:pPr>
        <w:pBdr>
          <w:top w:color="000000" w:space="0" w:sz="0" w:val="none"/>
          <w:left w:color="000000" w:space="0" w:sz="0" w:val="none"/>
          <w:bottom w:color="000000" w:space="0" w:sz="0" w:val="none"/>
          <w:right w:color="000000" w:space="0" w:sz="0" w:val="none"/>
          <w:between w:color="000000" w:space="0" w:sz="0" w:val="none"/>
        </w:pBdr>
        <w:shd w:fill="ffffff" w:val="clear"/>
        <w:tabs>
          <w:tab w:val="left" w:leader="none" w:pos="0"/>
        </w:tabs>
        <w:spacing w:after="0" w:before="0" w:line="276" w:lineRule="auto"/>
        <w:jc w:val="both"/>
        <w:rPr>
          <w:b w:val="1"/>
          <w:bCs w:val="1"/>
          <w:sz w:val="20"/>
          <w:szCs w:val="20"/>
        </w:rPr>
      </w:pPr>
      <w:r w:rsidDel="00000000" w:rsidR="00000000" w:rsidRPr="00000000">
        <w:rPr>
          <w:b w:val="1"/>
          <w:bCs w:val="1"/>
          <w:sz w:val="20"/>
          <w:szCs w:val="20"/>
          <w:rtl w:val="0"/>
        </w:rPr>
        <w:t xml:space="preserve">Kontakt dla mediów: </w:t>
      </w:r>
    </w:p>
    <w:p w:rsidR="00000000" w:rsidDel="00000000" w:rsidP="00000000" w:rsidRDefault="00000000" w:rsidRPr="00000000" w14:paraId="0000001C">
      <w:pPr>
        <w:tabs>
          <w:tab w:val="left" w:leader="none" w:pos="0"/>
        </w:tabs>
        <w:spacing w:after="0" w:before="0" w:line="276" w:lineRule="auto"/>
        <w:jc w:val="both"/>
        <w:rPr>
          <w:sz w:val="20"/>
          <w:szCs w:val="20"/>
        </w:rPr>
      </w:pPr>
      <w:r w:rsidDel="00000000" w:rsidR="00000000" w:rsidRPr="00000000">
        <w:rPr>
          <w:sz w:val="20"/>
          <w:szCs w:val="20"/>
          <w:rtl w:val="0"/>
        </w:rPr>
        <w:t xml:space="preserve">Julia Knychała</w:t>
      </w:r>
    </w:p>
    <w:p w:rsidR="00000000" w:rsidDel="00000000" w:rsidP="00000000" w:rsidRDefault="00000000" w:rsidRPr="00000000" w14:paraId="0000001D">
      <w:pPr>
        <w:tabs>
          <w:tab w:val="left" w:leader="none" w:pos="0"/>
        </w:tabs>
        <w:spacing w:after="0" w:before="0" w:line="276" w:lineRule="auto"/>
        <w:jc w:val="both"/>
        <w:rPr>
          <w:sz w:val="20"/>
          <w:szCs w:val="20"/>
        </w:rPr>
      </w:pPr>
      <w:r w:rsidDel="00000000" w:rsidR="00000000" w:rsidRPr="00000000">
        <w:rPr>
          <w:sz w:val="20"/>
          <w:szCs w:val="20"/>
          <w:rtl w:val="0"/>
        </w:rPr>
        <w:t xml:space="preserve">Tel: +48 796 990 064</w:t>
      </w:r>
    </w:p>
    <w:p w:rsidR="00000000" w:rsidDel="00000000" w:rsidP="00000000" w:rsidRDefault="00000000" w:rsidRPr="00000000" w14:paraId="0000001E">
      <w:pPr>
        <w:tabs>
          <w:tab w:val="left" w:leader="none" w:pos="0"/>
        </w:tabs>
        <w:spacing w:after="0" w:before="0" w:line="276" w:lineRule="auto"/>
        <w:jc w:val="both"/>
        <w:rPr>
          <w:sz w:val="20"/>
          <w:szCs w:val="20"/>
        </w:rPr>
      </w:pPr>
      <w:r w:rsidDel="00000000" w:rsidR="00000000" w:rsidRPr="00000000">
        <w:rPr>
          <w:sz w:val="20"/>
          <w:szCs w:val="20"/>
          <w:rtl w:val="0"/>
        </w:rPr>
        <w:t xml:space="preserve">E-mail: julia.knychala@goodonepr.pl</w:t>
      </w:r>
    </w:p>
    <w:p w:rsidR="00000000" w:rsidDel="00000000" w:rsidP="00000000" w:rsidRDefault="00000000" w:rsidRPr="00000000" w14:paraId="0000001F">
      <w:pPr>
        <w:widowControl w:val="0"/>
        <w:spacing w:line="240" w:lineRule="auto"/>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a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widowControl w:val="0"/>
      <w:spacing w:line="240" w:lineRule="auto"/>
      <w:rPr/>
    </w:pPr>
    <w:r w:rsidDel="00000000" w:rsidR="00000000" w:rsidRPr="00000000">
      <w:rPr>
        <w:rFonts w:ascii="Lato" w:cs="Lato" w:eastAsia="Lato" w:hAnsi="Lato"/>
        <w:sz w:val="20"/>
        <w:szCs w:val="20"/>
      </w:rPr>
      <w:drawing>
        <wp:inline distB="114300" distT="114300" distL="114300" distR="114300">
          <wp:extent cx="1228725" cy="619125"/>
          <wp:effectExtent b="0" l="0" r="0" t="0"/>
          <wp:docPr id="1" name="image1.png"/>
          <a:graphic>
            <a:graphicData uri="http://schemas.openxmlformats.org/drawingml/2006/picture">
              <pic:pic>
                <pic:nvPicPr>
                  <pic:cNvPr id="0" name="image1.png"/>
                  <pic:cNvPicPr preferRelativeResize="0"/>
                </pic:nvPicPr>
                <pic:blipFill>
                  <a:blip r:embed="rId1"/>
                  <a:srcRect b="0" l="0" r="78571" t="0"/>
                  <a:stretch>
                    <a:fillRect/>
                  </a:stretch>
                </pic:blipFill>
                <pic:spPr>
                  <a:xfrm>
                    <a:off x="0" y="0"/>
                    <a:ext cx="1228725" cy="61912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Lato-regular.ttf"/><Relationship Id="rId2" Type="http://schemas.openxmlformats.org/officeDocument/2006/relationships/font" Target="fonts/Lato-bold.ttf"/><Relationship Id="rId3" Type="http://schemas.openxmlformats.org/officeDocument/2006/relationships/font" Target="fonts/Lato-italic.ttf"/><Relationship Id="rId4" Type="http://schemas.openxmlformats.org/officeDocument/2006/relationships/font" Target="fonts/La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