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7E82" w14:textId="502EFC6D" w:rsidR="00D763C9" w:rsidRDefault="00C66D98" w:rsidP="00D8477D">
      <w:r w:rsidRPr="00C66D98">
        <w:rPr>
          <w:noProof/>
        </w:rPr>
        <mc:AlternateContent>
          <mc:Choice Requires="wps">
            <w:drawing>
              <wp:anchor distT="0" distB="0" distL="114300" distR="114300" simplePos="0" relativeHeight="251658240" behindDoc="0" locked="0" layoutInCell="1" allowOverlap="1" wp14:anchorId="79F3970F" wp14:editId="48B2DE3A">
                <wp:simplePos x="0" y="0"/>
                <wp:positionH relativeFrom="margin">
                  <wp:align>center</wp:align>
                </wp:positionH>
                <wp:positionV relativeFrom="paragraph">
                  <wp:posOffset>3175</wp:posOffset>
                </wp:positionV>
                <wp:extent cx="659958" cy="330200"/>
                <wp:effectExtent l="0" t="0" r="6985" b="0"/>
                <wp:wrapNone/>
                <wp:docPr id="6" name="Rounded Rectangle">
                  <a:extLst xmlns:a="http://schemas.openxmlformats.org/drawingml/2006/main">
                    <a:ext uri="{FF2B5EF4-FFF2-40B4-BE49-F238E27FC236}">
                      <a16:creationId xmlns:a16="http://schemas.microsoft.com/office/drawing/2014/main" id="{FAD25626-EF60-4A21-BFC4-2A00B0CE03C5}"/>
                    </a:ext>
                  </a:extLst>
                </wp:docPr>
                <wp:cNvGraphicFramePr/>
                <a:graphic xmlns:a="http://schemas.openxmlformats.org/drawingml/2006/main">
                  <a:graphicData uri="http://schemas.microsoft.com/office/word/2010/wordprocessingShape">
                    <wps:wsp>
                      <wps:cNvSpPr/>
                      <wps:spPr>
                        <a:xfrm>
                          <a:off x="0" y="0"/>
                          <a:ext cx="659958" cy="330200"/>
                        </a:xfrm>
                        <a:prstGeom prst="roundRect">
                          <a:avLst>
                            <a:gd name="adj" fmla="val 50000"/>
                          </a:avLst>
                        </a:prstGeom>
                        <a:solidFill>
                          <a:srgbClr val="0195C7"/>
                        </a:solidFill>
                        <a:ln w="12700">
                          <a:miter lim="400000"/>
                        </a:ln>
                      </wps:spPr>
                      <wps:txbx>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wps:txbx>
                      <wps:bodyPr wrap="square" lIns="50800" tIns="50800" rIns="50800" bIns="50800" anchor="ctr">
                        <a:noAutofit/>
                      </wps:bodyPr>
                    </wps:wsp>
                  </a:graphicData>
                </a:graphic>
                <wp14:sizeRelH relativeFrom="margin">
                  <wp14:pctWidth>0</wp14:pctWidth>
                </wp14:sizeRelH>
                <wp14:sizeRelV relativeFrom="margin">
                  <wp14:pctHeight>0</wp14:pctHeight>
                </wp14:sizeRelV>
              </wp:anchor>
            </w:drawing>
          </mc:Choice>
          <mc:Fallback>
            <w:pict>
              <v:roundrect w14:anchorId="79F3970F" id="Rounded Rectangle" o:spid="_x0000_s1026" style="position:absolute;margin-left:0;margin-top:.25pt;width:51.95pt;height: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IB1QEAAJwDAAAOAAAAZHJzL2Uyb0RvYy54bWysU8tu2zAQvBfoPxC815KdKokNy0GRIEWB&#10;og2S9gMoPiwWfHVJW/Lfd8kottveguhAcUTu7O7saH0zWkP2EqL2rqXzWU2JdNwL7bYt/fnj/sM1&#10;JTExJ5jxTrb0ICO92bx/tx7CSi58742QQJDExdUQWtqnFFZVFXkvLYszH6TDQ+XBsoQQtpUANiC7&#10;NdWiri+rwYMI4LmMEb/ePR/STeFXSvL0XakoEzEtxdpSWaGsXV6rzZqttsBCr/lUBntFFZZph0mP&#10;VHcsMbID/R+V1Rx89CrNuLeVV0pzWXrAbub1P9089SzI0guKE8NRpvh2tPzb/ik8AMowhLiKuM1d&#10;jApsfmN9ZCxiHY5iyTERjh8vm+WywelyPLq4qHEYWczqFBwgps/SW5I3LQW/c+IRB1J0YvuvMRXB&#10;BHHMojOY+EWJsgbl3zNDmhqfiXG6jNwvnDkyeqPFvTamANh2twYIhmKl82VzezUF/3XNODKgTRdX&#10;yJ3DrE5oP6NtSz/mhC8ZjcNWTorkXRq7cZKp8+LwAGRA27Q0/t4xkJSYLw7n0tTXSELSOYBz0J0D&#10;5njv0Y08QSnH+U+75JVOWcmc9DnTBNACReDJrtlj57jcOv1Umz8AAAD//wMAUEsDBBQABgAIAAAA&#10;IQBe6kt62QAAAAQBAAAPAAAAZHJzL2Rvd25yZXYueG1sTI/BTsMwEETvSP0Ha5G4UYeiUhriVFUl&#10;TohSCh/gxksSiNeR12nD33d7guNoRjNvitXoO3XEyG0gA3fTDBRSFVxLtYHPj+fbR1CcLDnbBUID&#10;v8iwKidXhc1dONE7HvepVlJCnFsDTUp9rjVXDXrL09AjifcVordJZKy1i/Yk5b7Tsyx70N62JAuN&#10;7XHTYPWzH7yB5aLaviwojm/t7nvw+pXXrmdjbq7H9ROohGP6C8MFX9ChFKZDGMix6gzIkWRgDuri&#10;ZfdLUAeRsznostD/4cszAAAA//8DAFBLAQItABQABgAIAAAAIQC2gziS/gAAAOEBAAATAAAAAAAA&#10;AAAAAAAAAAAAAABbQ29udGVudF9UeXBlc10ueG1sUEsBAi0AFAAGAAgAAAAhADj9If/WAAAAlAEA&#10;AAsAAAAAAAAAAAAAAAAALwEAAF9yZWxzLy5yZWxzUEsBAi0AFAAGAAgAAAAhAGlHUgHVAQAAnAMA&#10;AA4AAAAAAAAAAAAAAAAALgIAAGRycy9lMm9Eb2MueG1sUEsBAi0AFAAGAAgAAAAhAF7qS3rZAAAA&#10;BAEAAA8AAAAAAAAAAAAAAAAALwQAAGRycy9kb3ducmV2LnhtbFBLBQYAAAAABAAEAPMAAAA1BQAA&#10;AAA=&#10;" fillcolor="#0195c7" stroked="f" strokeweight="1pt">
                <v:stroke miterlimit="4" joinstyle="miter"/>
                <v:textbox inset="4pt,4pt,4pt,4pt">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v:textbox>
                <w10:wrap anchorx="margin"/>
              </v:roundrect>
            </w:pict>
          </mc:Fallback>
        </mc:AlternateContent>
      </w:r>
    </w:p>
    <w:p w14:paraId="75CC24E3" w14:textId="77777777" w:rsidR="00D8477D" w:rsidRPr="00D8477D" w:rsidRDefault="00D8477D" w:rsidP="00D8477D"/>
    <w:p w14:paraId="1DBD5298" w14:textId="77777777" w:rsidR="00A42186" w:rsidRDefault="00FE13B1" w:rsidP="00DF2C62">
      <w:pPr>
        <w:spacing w:after="80" w:line="264" w:lineRule="auto"/>
        <w:jc w:val="center"/>
        <w:rPr>
          <w:rFonts w:ascii="Microsoft PhagsPa" w:eastAsia="Microsoft JhengHei UI" w:hAnsi="Microsoft PhagsPa"/>
          <w:b/>
          <w:bCs/>
          <w:color w:val="0195C7"/>
          <w:sz w:val="40"/>
          <w:szCs w:val="40"/>
          <w:lang w:val="pt-PT"/>
        </w:rPr>
      </w:pPr>
      <w:r w:rsidRPr="00FE13B1">
        <w:rPr>
          <w:rFonts w:ascii="Microsoft PhagsPa" w:eastAsia="Microsoft JhengHei UI" w:hAnsi="Microsoft PhagsPa"/>
          <w:b/>
          <w:bCs/>
          <w:color w:val="0195C7"/>
          <w:sz w:val="40"/>
          <w:szCs w:val="40"/>
          <w:lang w:val="pt-PT"/>
        </w:rPr>
        <w:t xml:space="preserve">Da procura à escritura: </w:t>
      </w:r>
    </w:p>
    <w:p w14:paraId="324B1A98" w14:textId="7B3E3D29" w:rsidR="00C66D98" w:rsidRDefault="00FE13B1" w:rsidP="00DF2C62">
      <w:pPr>
        <w:spacing w:after="80" w:line="264" w:lineRule="auto"/>
        <w:jc w:val="center"/>
        <w:rPr>
          <w:rFonts w:ascii="Microsoft PhagsPa" w:eastAsia="Microsoft JhengHei UI" w:hAnsi="Microsoft PhagsPa"/>
          <w:b/>
          <w:bCs/>
          <w:color w:val="0195C7"/>
          <w:sz w:val="40"/>
          <w:szCs w:val="40"/>
          <w:lang w:val="pt-PT"/>
        </w:rPr>
      </w:pPr>
      <w:r w:rsidRPr="00FE13B1">
        <w:rPr>
          <w:rFonts w:ascii="Microsoft PhagsPa" w:eastAsia="Microsoft JhengHei UI" w:hAnsi="Microsoft PhagsPa"/>
          <w:b/>
          <w:bCs/>
          <w:color w:val="0195C7"/>
          <w:sz w:val="40"/>
          <w:szCs w:val="40"/>
          <w:lang w:val="pt-PT"/>
        </w:rPr>
        <w:t xml:space="preserve">8 cuidados </w:t>
      </w:r>
      <w:r>
        <w:rPr>
          <w:rFonts w:ascii="Microsoft PhagsPa" w:eastAsia="Microsoft JhengHei UI" w:hAnsi="Microsoft PhagsPa"/>
          <w:b/>
          <w:bCs/>
          <w:color w:val="0195C7"/>
          <w:sz w:val="40"/>
          <w:szCs w:val="40"/>
          <w:lang w:val="pt-PT"/>
        </w:rPr>
        <w:t>no financiamento da</w:t>
      </w:r>
      <w:r w:rsidRPr="00FE13B1">
        <w:rPr>
          <w:rFonts w:ascii="Microsoft PhagsPa" w:eastAsia="Microsoft JhengHei UI" w:hAnsi="Microsoft PhagsPa"/>
          <w:b/>
          <w:bCs/>
          <w:color w:val="0195C7"/>
          <w:sz w:val="40"/>
          <w:szCs w:val="40"/>
          <w:lang w:val="pt-PT"/>
        </w:rPr>
        <w:t xml:space="preserve"> nova casa</w:t>
      </w:r>
    </w:p>
    <w:p w14:paraId="25697B2D" w14:textId="77777777" w:rsidR="00DF7F0D" w:rsidRDefault="00DF7F0D" w:rsidP="00DF7F0D">
      <w:pPr>
        <w:spacing w:after="240" w:line="360" w:lineRule="auto"/>
        <w:ind w:left="357"/>
        <w:jc w:val="both"/>
        <w:rPr>
          <w:rFonts w:ascii="Microsoft PhagsPa" w:eastAsia="Microsoft JhengHei UI" w:hAnsi="Microsoft PhagsPa"/>
          <w:sz w:val="22"/>
          <w:szCs w:val="22"/>
          <w:lang w:val="pt-PT"/>
        </w:rPr>
      </w:pPr>
    </w:p>
    <w:p w14:paraId="6EEE677C" w14:textId="77777777" w:rsidR="00A408F6" w:rsidRPr="00A408F6" w:rsidRDefault="00A408F6" w:rsidP="00A408F6">
      <w:pPr>
        <w:spacing w:after="240"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Comprar casa implica muito mais do que encontrar o imóvel certo. Antes de avançar, é importante perceber quanto pode ser financiado, que valor é necessário ter disponível e que prestação cabe no orçamento sem comprometer as restantes despesas.</w:t>
      </w:r>
    </w:p>
    <w:p w14:paraId="08FA2070" w14:textId="18971835" w:rsidR="0032632B" w:rsidRPr="0032632B" w:rsidRDefault="00A408F6" w:rsidP="00A408F6">
      <w:pPr>
        <w:spacing w:after="240"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Entre a procura da casa, a escolha do crédito e a escritura há várias decisões que podem fazer diferença no valor pago todos os meses e no custo total da compra. Preparar estas etapas com antecedência ajuda a evitar surpresas e a perceber até onde é possível ir.</w:t>
      </w:r>
    </w:p>
    <w:p w14:paraId="26AA7420" w14:textId="116ED364" w:rsidR="002F5B37" w:rsidRDefault="0032632B" w:rsidP="00D763C9">
      <w:pPr>
        <w:spacing w:after="240" w:line="360" w:lineRule="auto"/>
        <w:ind w:left="357"/>
        <w:jc w:val="both"/>
        <w:rPr>
          <w:rFonts w:ascii="Microsoft PhagsPa" w:eastAsia="Microsoft JhengHei UI" w:hAnsi="Microsoft PhagsPa"/>
          <w:sz w:val="22"/>
          <w:szCs w:val="22"/>
          <w:lang w:val="pt-PT"/>
        </w:rPr>
      </w:pPr>
      <w:r w:rsidRPr="0032632B">
        <w:rPr>
          <w:rFonts w:ascii="Microsoft PhagsPa" w:eastAsia="Microsoft JhengHei UI" w:hAnsi="Microsoft PhagsPa"/>
          <w:sz w:val="22"/>
          <w:szCs w:val="22"/>
          <w:lang w:val="pt-PT"/>
        </w:rPr>
        <w:t xml:space="preserve">A pensar </w:t>
      </w:r>
      <w:r w:rsidR="00A408F6" w:rsidRPr="00A408F6">
        <w:rPr>
          <w:rFonts w:ascii="Microsoft PhagsPa" w:eastAsia="Microsoft JhengHei UI" w:hAnsi="Microsoft PhagsPa"/>
          <w:sz w:val="22"/>
          <w:szCs w:val="22"/>
          <w:lang w:val="pt-PT"/>
        </w:rPr>
        <w:t>em quem está a preparar a compra de casa</w:t>
      </w:r>
      <w:r w:rsidRPr="0032632B">
        <w:rPr>
          <w:rFonts w:ascii="Microsoft PhagsPa" w:eastAsia="Microsoft JhengHei UI" w:hAnsi="Microsoft PhagsPa"/>
          <w:sz w:val="22"/>
          <w:szCs w:val="22"/>
          <w:lang w:val="pt-PT"/>
        </w:rPr>
        <w:t xml:space="preserve">, </w:t>
      </w:r>
      <w:r w:rsidR="00D763C9" w:rsidRPr="00D763C9">
        <w:rPr>
          <w:rFonts w:ascii="Microsoft PhagsPa" w:eastAsia="Microsoft JhengHei UI" w:hAnsi="Microsoft PhagsPa"/>
          <w:sz w:val="22"/>
          <w:szCs w:val="22"/>
          <w:lang w:val="pt-PT"/>
        </w:rPr>
        <w:t xml:space="preserve">o </w:t>
      </w:r>
      <w:hyperlink r:id="rId10" w:history="1">
        <w:r w:rsidR="00D763C9" w:rsidRPr="00D763C9">
          <w:rPr>
            <w:rStyle w:val="Hiperligao"/>
            <w:rFonts w:ascii="Microsoft PhagsPa" w:eastAsia="Microsoft JhengHei UI" w:hAnsi="Microsoft PhagsPa"/>
            <w:sz w:val="22"/>
            <w:szCs w:val="22"/>
            <w:lang w:val="pt-PT"/>
          </w:rPr>
          <w:t>Doutor Finanças</w:t>
        </w:r>
      </w:hyperlink>
      <w:r w:rsidR="00D763C9" w:rsidRPr="00D763C9">
        <w:rPr>
          <w:rFonts w:ascii="Microsoft PhagsPa" w:eastAsia="Microsoft JhengHei UI" w:hAnsi="Microsoft PhagsPa"/>
          <w:sz w:val="22"/>
          <w:szCs w:val="22"/>
          <w:lang w:val="pt-PT"/>
        </w:rPr>
        <w:t xml:space="preserve"> </w:t>
      </w:r>
      <w:r w:rsidRPr="0032632B">
        <w:rPr>
          <w:rFonts w:ascii="Microsoft PhagsPa" w:eastAsia="Microsoft JhengHei UI" w:hAnsi="Microsoft PhagsPa"/>
          <w:sz w:val="22"/>
          <w:szCs w:val="22"/>
          <w:lang w:val="pt-PT"/>
        </w:rPr>
        <w:t xml:space="preserve">reuniu oito </w:t>
      </w:r>
      <w:r w:rsidR="00A408F6" w:rsidRPr="00A408F6">
        <w:rPr>
          <w:rFonts w:ascii="Microsoft PhagsPa" w:eastAsia="Microsoft JhengHei UI" w:hAnsi="Microsoft PhagsPa"/>
          <w:sz w:val="22"/>
          <w:szCs w:val="22"/>
          <w:lang w:val="pt-PT"/>
        </w:rPr>
        <w:t>pontos a ter em conta antes de chegar à escritura</w:t>
      </w:r>
      <w:r w:rsidRPr="0032632B">
        <w:rPr>
          <w:rFonts w:ascii="Microsoft PhagsPa" w:eastAsia="Microsoft JhengHei UI" w:hAnsi="Microsoft PhagsPa"/>
          <w:sz w:val="22"/>
          <w:szCs w:val="22"/>
          <w:lang w:val="pt-PT"/>
        </w:rPr>
        <w:t>.</w:t>
      </w:r>
      <w:r w:rsidR="00CE7139" w:rsidRPr="00CE7139">
        <w:rPr>
          <w:rFonts w:ascii="Microsoft PhagsPa" w:eastAsia="Microsoft JhengHei UI" w:hAnsi="Microsoft PhagsPa"/>
          <w:sz w:val="22"/>
          <w:szCs w:val="22"/>
          <w:lang w:val="pt-PT"/>
        </w:rPr>
        <w:t xml:space="preserve"> </w:t>
      </w:r>
    </w:p>
    <w:p w14:paraId="3D20BE3B" w14:textId="526CD8F8" w:rsidR="00DC411D" w:rsidRPr="0014328B" w:rsidRDefault="00A408F6" w:rsidP="0014328B">
      <w:pPr>
        <w:pStyle w:val="PargrafodaLista"/>
        <w:numPr>
          <w:ilvl w:val="0"/>
          <w:numId w:val="6"/>
        </w:numPr>
        <w:spacing w:after="240" w:line="360" w:lineRule="auto"/>
        <w:jc w:val="both"/>
        <w:rPr>
          <w:rFonts w:ascii="Microsoft PhagsPa" w:eastAsia="Microsoft JhengHei UI" w:hAnsi="Microsoft PhagsPa"/>
          <w:lang w:val="pt-PT"/>
        </w:rPr>
      </w:pPr>
      <w:r w:rsidRPr="00A408F6">
        <w:rPr>
          <w:rFonts w:ascii="Microsoft PhagsPa" w:eastAsia="Microsoft JhengHei UI" w:hAnsi="Microsoft PhagsPa"/>
          <w:b/>
          <w:bCs/>
          <w:color w:val="0195C7"/>
          <w:lang w:val="pt-PT"/>
        </w:rPr>
        <w:t>Definir um orçamento antes de começar a procurar casa</w:t>
      </w:r>
    </w:p>
    <w:p w14:paraId="621820DC" w14:textId="77777777" w:rsidR="00A408F6" w:rsidRPr="00A408F6" w:rsidRDefault="00A408F6" w:rsidP="00A408F6">
      <w:pPr>
        <w:spacing w:after="240" w:line="360" w:lineRule="auto"/>
        <w:ind w:left="426"/>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O primeiro passo passa por perceber que valor de compra é compatível com o rendimento e com as despesas mensais. Uma simulação pode dar uma primeira indicação, enquanto uma pré-aprovação permite perceber com maior rigor o montante que poderá ser financiado.</w:t>
      </w:r>
    </w:p>
    <w:p w14:paraId="1D9B24BE" w14:textId="7F06B93F" w:rsidR="00D8477D" w:rsidRPr="00D8477D" w:rsidRDefault="00A408F6" w:rsidP="00A408F6">
      <w:pPr>
        <w:spacing w:after="240" w:line="360" w:lineRule="auto"/>
        <w:ind w:left="426"/>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Ainda assim, uma pré-aprovação não significa que o crédito esteja garantido. A decisão final depende também do imóvel escolhido e da respetiva avaliação pelo banco.</w:t>
      </w:r>
    </w:p>
    <w:p w14:paraId="5BF07517" w14:textId="398165CF" w:rsidR="0014328B" w:rsidRPr="00D763C9" w:rsidRDefault="00A408F6" w:rsidP="0014328B">
      <w:pPr>
        <w:pStyle w:val="PargrafodaLista"/>
        <w:numPr>
          <w:ilvl w:val="0"/>
          <w:numId w:val="6"/>
        </w:numPr>
        <w:spacing w:after="240" w:line="360" w:lineRule="auto"/>
        <w:jc w:val="both"/>
        <w:rPr>
          <w:rFonts w:ascii="Microsoft PhagsPa" w:eastAsia="Microsoft JhengHei UI" w:hAnsi="Microsoft PhagsPa"/>
          <w:lang w:val="pt-PT"/>
        </w:rPr>
      </w:pPr>
      <w:r w:rsidRPr="00A408F6">
        <w:rPr>
          <w:rFonts w:ascii="Microsoft PhagsPa" w:eastAsia="Microsoft JhengHei UI" w:hAnsi="Microsoft PhagsPa"/>
          <w:b/>
          <w:bCs/>
          <w:color w:val="0195C7"/>
          <w:lang w:val="pt-PT"/>
        </w:rPr>
        <w:t>Reservar alguma folga no orçamento mensal</w:t>
      </w:r>
    </w:p>
    <w:p w14:paraId="4CE88A09" w14:textId="77777777" w:rsidR="00A408F6" w:rsidRPr="00A408F6"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A prestação da casa não é a única despesa a considerar. Existem também seguros, condomínio, impostos, manutenção e todos os restantes encargos do dia a dia.</w:t>
      </w:r>
    </w:p>
    <w:p w14:paraId="1380CAFB" w14:textId="77777777" w:rsidR="00A408F6" w:rsidRPr="00A408F6"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lastRenderedPageBreak/>
        <w:t>Os bancos têm em conta a percentagem do rendimento que já está comprometida com outros créditos. Nos novos empréstimos, essas prestações não devem, em regra, ultrapassar 45% do rendimento líquido mensal. Mas ficar abaixo deste valor não significa necessariamente que o orçamento fique confortável.</w:t>
      </w:r>
    </w:p>
    <w:p w14:paraId="6E131A33" w14:textId="12736DB4" w:rsidR="002F5B37" w:rsidRPr="002F5B37"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Por isso, mais do que perceber se a prestação cabe no orçamento, importa garantir que continua a existir margem para despesas inesperadas.</w:t>
      </w:r>
    </w:p>
    <w:p w14:paraId="30C668C8" w14:textId="171D2B1D" w:rsidR="00963E08" w:rsidRPr="0014328B" w:rsidRDefault="00A408F6" w:rsidP="00963E08">
      <w:pPr>
        <w:pStyle w:val="PargrafodaLista"/>
        <w:numPr>
          <w:ilvl w:val="0"/>
          <w:numId w:val="6"/>
        </w:numPr>
        <w:spacing w:after="240" w:line="360" w:lineRule="auto"/>
        <w:jc w:val="both"/>
        <w:rPr>
          <w:rFonts w:ascii="Microsoft PhagsPa" w:eastAsia="Microsoft JhengHei UI" w:hAnsi="Microsoft PhagsPa"/>
          <w:lang w:val="pt-PT"/>
        </w:rPr>
      </w:pPr>
      <w:r w:rsidRPr="00A408F6">
        <w:rPr>
          <w:rFonts w:ascii="Microsoft PhagsPa" w:eastAsia="Microsoft JhengHei UI" w:hAnsi="Microsoft PhagsPa"/>
          <w:b/>
          <w:bCs/>
          <w:color w:val="0195C7"/>
          <w:lang w:val="pt-PT"/>
        </w:rPr>
        <w:t>Perceber quanto dinheiro será necessário ter disponível</w:t>
      </w:r>
    </w:p>
    <w:p w14:paraId="749961E0" w14:textId="77777777" w:rsidR="00A408F6" w:rsidRPr="00A408F6"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Na compra de habitação própria e permanente, o banco financia, em regra, até 90% do valor considerado para o imóvel. Isto significa que será normalmente necessário ter capitais próprios para suportar a parte restante, além dos impostos e de outras despesas associadas à compra.</w:t>
      </w:r>
    </w:p>
    <w:p w14:paraId="32795972" w14:textId="0B67637C" w:rsidR="0016079C" w:rsidRPr="00D8477D"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Há ainda outro fator importante: o banco considera o valor mais baixo entre o preço de compra e a avaliação. Se uma casa custar 300 mil euros, mas for avaliada em 280 mil, o montante financiado será calculado sobre os 280 mil euros.</w:t>
      </w:r>
    </w:p>
    <w:p w14:paraId="17D1A321" w14:textId="0524D038" w:rsidR="00753D12" w:rsidRPr="0014328B" w:rsidRDefault="00A408F6" w:rsidP="00753D12">
      <w:pPr>
        <w:pStyle w:val="PargrafodaLista"/>
        <w:numPr>
          <w:ilvl w:val="0"/>
          <w:numId w:val="6"/>
        </w:numPr>
        <w:spacing w:after="240" w:line="360" w:lineRule="auto"/>
        <w:jc w:val="both"/>
        <w:rPr>
          <w:rFonts w:ascii="Microsoft PhagsPa" w:eastAsia="Microsoft JhengHei UI" w:hAnsi="Microsoft PhagsPa"/>
          <w:lang w:val="pt-PT"/>
        </w:rPr>
      </w:pPr>
      <w:r w:rsidRPr="00A408F6">
        <w:rPr>
          <w:rFonts w:ascii="Microsoft PhagsPa" w:eastAsia="Microsoft JhengHei UI" w:hAnsi="Microsoft PhagsPa"/>
          <w:b/>
          <w:bCs/>
          <w:color w:val="0195C7"/>
          <w:lang w:val="pt-PT"/>
        </w:rPr>
        <w:t>Verificar se existem apoios que possam reduzir o esforço inicial</w:t>
      </w:r>
    </w:p>
    <w:p w14:paraId="4E4F00F8" w14:textId="77777777" w:rsidR="00A408F6" w:rsidRPr="00A408F6"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Quem compra a primeira habitação própria e permanente até aos 35 anos pode, caso cumpra os requisitos, beneficiar de medidas que reduzem o montante necessário à partida.</w:t>
      </w:r>
    </w:p>
    <w:p w14:paraId="79A3D6FE" w14:textId="0364741C" w:rsidR="00563C07" w:rsidRPr="00563C07" w:rsidRDefault="00A408F6" w:rsidP="0075240F">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Entre elas estão a garantia pública no crédito habitação e a isenção de IMT e de Imposto do Selo sobre a compra. Estes apoios podem diminuir significativamente o esforço inicial, embora não eliminem todas as despesas associadas à aquisição da casa.</w:t>
      </w:r>
      <w:r w:rsidR="0075240F">
        <w:rPr>
          <w:rFonts w:ascii="Microsoft PhagsPa" w:eastAsia="Microsoft JhengHei UI" w:hAnsi="Microsoft PhagsPa"/>
          <w:sz w:val="22"/>
          <w:szCs w:val="22"/>
          <w:lang w:val="pt-PT"/>
        </w:rPr>
        <w:t xml:space="preserve"> </w:t>
      </w:r>
      <w:r w:rsidRPr="00A408F6">
        <w:rPr>
          <w:rFonts w:ascii="Microsoft PhagsPa" w:eastAsia="Microsoft JhengHei UI" w:hAnsi="Microsoft PhagsPa"/>
          <w:sz w:val="22"/>
          <w:szCs w:val="22"/>
          <w:lang w:val="pt-PT"/>
        </w:rPr>
        <w:t>Mesmo com financiamento a 100%, continuam a existir encargos como o Imposto do Selo sobre o crédito, avaliação, registos ou formalização do contrato.</w:t>
      </w:r>
    </w:p>
    <w:p w14:paraId="7C95BADF" w14:textId="62B86187" w:rsidR="00563C07" w:rsidRPr="009E5BCE" w:rsidRDefault="00A408F6" w:rsidP="00753D12">
      <w:pPr>
        <w:pStyle w:val="PargrafodaLista"/>
        <w:numPr>
          <w:ilvl w:val="0"/>
          <w:numId w:val="6"/>
        </w:numPr>
        <w:spacing w:after="240" w:line="360" w:lineRule="auto"/>
        <w:jc w:val="both"/>
        <w:rPr>
          <w:rFonts w:ascii="Microsoft PhagsPa" w:eastAsia="Microsoft JhengHei UI" w:hAnsi="Microsoft PhagsPa"/>
          <w:lang w:val="pt-PT"/>
        </w:rPr>
      </w:pPr>
      <w:r w:rsidRPr="00A408F6">
        <w:rPr>
          <w:rFonts w:ascii="Microsoft PhagsPa" w:eastAsia="Microsoft JhengHei UI" w:hAnsi="Microsoft PhagsPa"/>
          <w:b/>
          <w:bCs/>
          <w:color w:val="0195C7"/>
          <w:lang w:val="pt-PT"/>
        </w:rPr>
        <w:t>Comparar mais do que a prestação mensal</w:t>
      </w:r>
    </w:p>
    <w:p w14:paraId="1DE7E521" w14:textId="50C462BF" w:rsidR="00A408F6" w:rsidRPr="00A408F6" w:rsidRDefault="00A408F6" w:rsidP="0075240F">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Uma prestação mais baixa à partida nem sempre corresponde à proposta mais barata.</w:t>
      </w:r>
      <w:r w:rsidR="0075240F">
        <w:rPr>
          <w:rFonts w:ascii="Microsoft PhagsPa" w:eastAsia="Microsoft JhengHei UI" w:hAnsi="Microsoft PhagsPa"/>
          <w:sz w:val="22"/>
          <w:szCs w:val="22"/>
          <w:lang w:val="pt-PT"/>
        </w:rPr>
        <w:t xml:space="preserve"> </w:t>
      </w:r>
      <w:r w:rsidRPr="00A408F6">
        <w:rPr>
          <w:rFonts w:ascii="Microsoft PhagsPa" w:eastAsia="Microsoft JhengHei UI" w:hAnsi="Microsoft PhagsPa"/>
          <w:sz w:val="22"/>
          <w:szCs w:val="22"/>
          <w:lang w:val="pt-PT"/>
        </w:rPr>
        <w:t xml:space="preserve">Na comparação entre bancos, é importante olhar para o conjunto das condições: juros, </w:t>
      </w:r>
      <w:r w:rsidRPr="00A408F6">
        <w:rPr>
          <w:rFonts w:ascii="Microsoft PhagsPa" w:eastAsia="Microsoft JhengHei UI" w:hAnsi="Microsoft PhagsPa"/>
          <w:sz w:val="22"/>
          <w:szCs w:val="22"/>
          <w:lang w:val="pt-PT"/>
        </w:rPr>
        <w:lastRenderedPageBreak/>
        <w:t>seguros, comissões e outros produtos que possam estar associados ao crédito. A TAEG permite perceber o custo do financiamento em percentagem anual, enquanto o MTIC indica quanto está previsto pagar no total ao longo do contrato.</w:t>
      </w:r>
    </w:p>
    <w:p w14:paraId="2D96498E" w14:textId="19C49DEC" w:rsidR="00CE7139" w:rsidRDefault="00A408F6" w:rsidP="00A408F6">
      <w:pPr>
        <w:spacing w:line="360" w:lineRule="auto"/>
        <w:ind w:left="357"/>
        <w:jc w:val="both"/>
        <w:rPr>
          <w:rFonts w:ascii="Microsoft PhagsPa" w:eastAsia="Microsoft JhengHei UI" w:hAnsi="Microsoft PhagsPa"/>
          <w:sz w:val="22"/>
          <w:szCs w:val="22"/>
          <w:lang w:val="pt-PT"/>
        </w:rPr>
      </w:pPr>
      <w:r w:rsidRPr="00A408F6">
        <w:rPr>
          <w:rFonts w:ascii="Microsoft PhagsPa" w:eastAsia="Microsoft JhengHei UI" w:hAnsi="Microsoft PhagsPa"/>
          <w:sz w:val="22"/>
          <w:szCs w:val="22"/>
          <w:lang w:val="pt-PT"/>
        </w:rPr>
        <w:t>Comparar propostas com o mesmo montante e o mesmo prazo ajuda a perceber melhor qual representa efetivamente o menor custo.</w:t>
      </w:r>
    </w:p>
    <w:p w14:paraId="377D02DC" w14:textId="27695A6B" w:rsidR="00BD2929" w:rsidRPr="009E5BCE" w:rsidRDefault="004368B8" w:rsidP="00BD2929">
      <w:pPr>
        <w:pStyle w:val="PargrafodaLista"/>
        <w:numPr>
          <w:ilvl w:val="0"/>
          <w:numId w:val="6"/>
        </w:numPr>
        <w:spacing w:after="240" w:line="360" w:lineRule="auto"/>
        <w:jc w:val="both"/>
        <w:rPr>
          <w:rFonts w:ascii="Microsoft PhagsPa" w:eastAsia="Microsoft JhengHei UI" w:hAnsi="Microsoft PhagsPa"/>
          <w:lang w:val="pt-PT"/>
        </w:rPr>
      </w:pPr>
      <w:r w:rsidRPr="004368B8">
        <w:rPr>
          <w:rFonts w:ascii="Microsoft PhagsPa" w:eastAsia="Microsoft JhengHei UI" w:hAnsi="Microsoft PhagsPa"/>
          <w:b/>
          <w:bCs/>
          <w:color w:val="0195C7"/>
          <w:lang w:val="pt-PT"/>
        </w:rPr>
        <w:t>Escolher uma taxa que seja adequada ao orçamento</w:t>
      </w:r>
    </w:p>
    <w:p w14:paraId="3091FF4C" w14:textId="0C300334" w:rsidR="004368B8" w:rsidRPr="004368B8" w:rsidRDefault="004368B8" w:rsidP="0075240F">
      <w:pPr>
        <w:spacing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Taxa fixa, variável ou mista têm impactos diferentes na prestação</w:t>
      </w:r>
      <w:r w:rsidR="0075240F">
        <w:rPr>
          <w:rFonts w:ascii="Microsoft PhagsPa" w:eastAsia="Microsoft JhengHei UI" w:hAnsi="Microsoft PhagsPa"/>
          <w:sz w:val="22"/>
          <w:szCs w:val="22"/>
          <w:lang w:val="pt-PT"/>
        </w:rPr>
        <w:t xml:space="preserve">. </w:t>
      </w:r>
      <w:r w:rsidRPr="004368B8">
        <w:rPr>
          <w:rFonts w:ascii="Microsoft PhagsPa" w:eastAsia="Microsoft JhengHei UI" w:hAnsi="Microsoft PhagsPa"/>
          <w:sz w:val="22"/>
          <w:szCs w:val="22"/>
          <w:lang w:val="pt-PT"/>
        </w:rPr>
        <w:t>A taxa fixa mantém-se durante o período contratado e dá maior previsibilidade. Na taxa variável, a prestação acompanha a evolução da Euribor. Já a taxa mista começa com um período de taxa fixa e passa depois para variável.</w:t>
      </w:r>
    </w:p>
    <w:p w14:paraId="51E38936" w14:textId="3688885A" w:rsidR="00BD2929" w:rsidRDefault="004368B8" w:rsidP="004368B8">
      <w:pPr>
        <w:spacing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Não existe uma solução melhor para todos os casos. O mais importante é perceber como a prestação poderá evoluir e se o orçamento consegue suportar eventuais aumentos no futuro.</w:t>
      </w:r>
    </w:p>
    <w:p w14:paraId="2113CDE9" w14:textId="71611A59" w:rsidR="00BD2929" w:rsidRPr="009E5BCE" w:rsidRDefault="004368B8" w:rsidP="00BD2929">
      <w:pPr>
        <w:pStyle w:val="PargrafodaLista"/>
        <w:numPr>
          <w:ilvl w:val="0"/>
          <w:numId w:val="6"/>
        </w:numPr>
        <w:spacing w:after="240" w:line="360" w:lineRule="auto"/>
        <w:jc w:val="both"/>
        <w:rPr>
          <w:rFonts w:ascii="Microsoft PhagsPa" w:eastAsia="Microsoft JhengHei UI" w:hAnsi="Microsoft PhagsPa"/>
          <w:lang w:val="pt-PT"/>
        </w:rPr>
      </w:pPr>
      <w:r w:rsidRPr="004368B8">
        <w:rPr>
          <w:rFonts w:ascii="Microsoft PhagsPa" w:eastAsia="Microsoft JhengHei UI" w:hAnsi="Microsoft PhagsPa"/>
          <w:b/>
          <w:bCs/>
          <w:color w:val="0195C7"/>
          <w:lang w:val="pt-PT"/>
        </w:rPr>
        <w:t>Não deixar os seguros para o fim</w:t>
      </w:r>
    </w:p>
    <w:p w14:paraId="059F6A7C" w14:textId="3BABD104" w:rsidR="004368B8" w:rsidRPr="004368B8" w:rsidRDefault="004368B8" w:rsidP="004368B8">
      <w:pPr>
        <w:spacing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Os seguros associados ao crédito também pesam no custo mensal e podem variar bastante entre propostas.</w:t>
      </w:r>
      <w:r w:rsidR="0075240F">
        <w:rPr>
          <w:rFonts w:ascii="Microsoft PhagsPa" w:eastAsia="Microsoft JhengHei UI" w:hAnsi="Microsoft PhagsPa"/>
          <w:sz w:val="22"/>
          <w:szCs w:val="22"/>
          <w:lang w:val="pt-PT"/>
        </w:rPr>
        <w:t xml:space="preserve"> </w:t>
      </w:r>
      <w:r w:rsidRPr="004368B8">
        <w:rPr>
          <w:rFonts w:ascii="Microsoft PhagsPa" w:eastAsia="Microsoft JhengHei UI" w:hAnsi="Microsoft PhagsPa"/>
          <w:sz w:val="22"/>
          <w:szCs w:val="22"/>
          <w:lang w:val="pt-PT"/>
        </w:rPr>
        <w:t>No seguro de vida, importa perceber que situações estão cobertas e qual a percentagem do empréstimo protegida. No seguro multirriscos, devem ser verificadas as coberturas, exclusões e franquias, incluindo se proteções como fenómenos sísmicos estão efetivamente incluídas.</w:t>
      </w:r>
    </w:p>
    <w:p w14:paraId="5E638B4A" w14:textId="4ADC90E3" w:rsidR="009F775E" w:rsidRPr="009F775E" w:rsidRDefault="004368B8" w:rsidP="004368B8">
      <w:pPr>
        <w:spacing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Os seguros não têm necessariamente de ser contratados junto do banco que concede o crédito, desde que cumpram as condições exigidas. Antes de escolher outra seguradora, importa apenas confirmar se essa decisão altera o spread ou outras condições do empréstimo.</w:t>
      </w:r>
    </w:p>
    <w:p w14:paraId="1A65A784" w14:textId="10F7FDB6" w:rsidR="00BD2929" w:rsidRPr="009E5BCE" w:rsidRDefault="004368B8" w:rsidP="00BD2929">
      <w:pPr>
        <w:pStyle w:val="PargrafodaLista"/>
        <w:numPr>
          <w:ilvl w:val="0"/>
          <w:numId w:val="6"/>
        </w:numPr>
        <w:spacing w:after="240" w:line="360" w:lineRule="auto"/>
        <w:jc w:val="both"/>
        <w:rPr>
          <w:rFonts w:ascii="Microsoft PhagsPa" w:eastAsia="Microsoft JhengHei UI" w:hAnsi="Microsoft PhagsPa"/>
          <w:lang w:val="pt-PT"/>
        </w:rPr>
      </w:pPr>
      <w:r w:rsidRPr="004368B8">
        <w:rPr>
          <w:rFonts w:ascii="Microsoft PhagsPa" w:eastAsia="Microsoft JhengHei UI" w:hAnsi="Microsoft PhagsPa"/>
          <w:b/>
          <w:bCs/>
          <w:color w:val="0195C7"/>
          <w:lang w:val="pt-PT"/>
        </w:rPr>
        <w:t>Rever tudo antes da escritura</w:t>
      </w:r>
    </w:p>
    <w:p w14:paraId="475B7346" w14:textId="77777777" w:rsidR="004368B8" w:rsidRPr="004368B8" w:rsidRDefault="004368B8" w:rsidP="004368B8">
      <w:pPr>
        <w:spacing w:after="80"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lastRenderedPageBreak/>
        <w:t>Na fase final, vale a pena fazer uma última revisão: confirmar que o crédito está aprovado, que a avaliação permite obter o financiamento necessário, que existe dinheiro disponível para as despesas não financiadas e que toda a documentação está tratada.</w:t>
      </w:r>
    </w:p>
    <w:p w14:paraId="43D0B07A" w14:textId="77777777" w:rsidR="004368B8" w:rsidRPr="004368B8" w:rsidRDefault="004368B8" w:rsidP="004368B8">
      <w:pPr>
        <w:spacing w:after="80"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Também é importante verificar se a prestação, os seguros e os restantes encargos continuam dentro do orçamento inicialmente definido. Afinal, o objetivo não é apenas conseguir comprar a casa, mas garantir que a despesa continua a ser sustentável depois de receber as chaves.</w:t>
      </w:r>
    </w:p>
    <w:p w14:paraId="03B52781" w14:textId="158A4E0C" w:rsidR="00BD2929" w:rsidRPr="00BD2929" w:rsidRDefault="004368B8" w:rsidP="004368B8">
      <w:pPr>
        <w:spacing w:after="80" w:line="360" w:lineRule="auto"/>
        <w:ind w:left="357"/>
        <w:jc w:val="both"/>
        <w:rPr>
          <w:rFonts w:ascii="Microsoft PhagsPa" w:eastAsia="Microsoft JhengHei UI" w:hAnsi="Microsoft PhagsPa"/>
          <w:sz w:val="22"/>
          <w:szCs w:val="22"/>
          <w:lang w:val="pt-PT"/>
        </w:rPr>
      </w:pPr>
      <w:r w:rsidRPr="004368B8">
        <w:rPr>
          <w:rFonts w:ascii="Microsoft PhagsPa" w:eastAsia="Microsoft JhengHei UI" w:hAnsi="Microsoft PhagsPa"/>
          <w:sz w:val="22"/>
          <w:szCs w:val="22"/>
          <w:lang w:val="pt-PT"/>
        </w:rPr>
        <w:t>O artigo completo “</w:t>
      </w:r>
      <w:hyperlink r:id="rId11" w:history="1">
        <w:r w:rsidRPr="00301EBE">
          <w:rPr>
            <w:rStyle w:val="Hiperligao"/>
            <w:rFonts w:ascii="Microsoft PhagsPa" w:eastAsia="Microsoft JhengHei UI" w:hAnsi="Microsoft PhagsPa"/>
            <w:sz w:val="22"/>
            <w:szCs w:val="22"/>
            <w:lang w:val="pt-PT"/>
          </w:rPr>
          <w:t>Guia de financiamento para a nova casa: Da pré-aprovação aos seguros</w:t>
        </w:r>
      </w:hyperlink>
      <w:r w:rsidRPr="004368B8">
        <w:rPr>
          <w:rFonts w:ascii="Microsoft PhagsPa" w:eastAsia="Microsoft JhengHei UI" w:hAnsi="Microsoft PhagsPa"/>
          <w:sz w:val="22"/>
          <w:szCs w:val="22"/>
          <w:lang w:val="pt-PT"/>
        </w:rPr>
        <w:t>” está disponível no portal do Doutor Finanças, com mais informação sobre as diferentes etapas do processo de crédito habitação.</w:t>
      </w:r>
    </w:p>
    <w:p w14:paraId="5133A02D" w14:textId="77777777" w:rsidR="00D249E0" w:rsidRDefault="00D249E0" w:rsidP="00324ABF">
      <w:pPr>
        <w:spacing w:after="80" w:line="360" w:lineRule="auto"/>
        <w:ind w:left="357"/>
        <w:jc w:val="both"/>
        <w:rPr>
          <w:rFonts w:ascii="Microsoft PhagsPa" w:eastAsia="Microsoft JhengHei UI" w:hAnsi="Microsoft PhagsPa"/>
          <w:b/>
          <w:bCs/>
          <w:color w:val="0195C7"/>
          <w:sz w:val="18"/>
          <w:szCs w:val="18"/>
          <w:lang w:val="pt-PT"/>
        </w:rPr>
      </w:pPr>
    </w:p>
    <w:p w14:paraId="261A5A5F"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b/>
          <w:bCs/>
          <w:color w:val="404040" w:themeColor="text1" w:themeTint="BF"/>
          <w:sz w:val="18"/>
          <w:szCs w:val="18"/>
          <w:lang w:val="pt-PT"/>
        </w:rPr>
        <w:t>Sobre o Doutor Finanças</w:t>
      </w:r>
      <w:r w:rsidRPr="004368B8">
        <w:rPr>
          <w:rFonts w:ascii="Microsoft PhagsPa" w:eastAsia="Microsoft JhengHei UI" w:hAnsi="Microsoft PhagsPa"/>
          <w:color w:val="404040" w:themeColor="text1" w:themeTint="BF"/>
          <w:sz w:val="18"/>
          <w:szCs w:val="18"/>
          <w:lang w:val="pt-PT"/>
        </w:rPr>
        <w:t> </w:t>
      </w:r>
    </w:p>
    <w:p w14:paraId="5C09B5D8"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pt-PT"/>
        </w:rPr>
        <w:t>O Doutor Finanças é uma </w:t>
      </w:r>
      <w:proofErr w:type="spellStart"/>
      <w:r w:rsidRPr="004368B8">
        <w:rPr>
          <w:rFonts w:ascii="Microsoft PhagsPa" w:eastAsia="Microsoft JhengHei UI" w:hAnsi="Microsoft PhagsPa"/>
          <w:color w:val="404040" w:themeColor="text1" w:themeTint="BF"/>
          <w:sz w:val="18"/>
          <w:szCs w:val="18"/>
          <w:lang w:val="pt-PT"/>
        </w:rPr>
        <w:t>fintech</w:t>
      </w:r>
      <w:proofErr w:type="spellEnd"/>
      <w:r w:rsidRPr="004368B8">
        <w:rPr>
          <w:rFonts w:ascii="Microsoft PhagsPa" w:eastAsia="Microsoft JhengHei UI" w:hAnsi="Microsoft PhagsPa"/>
          <w:color w:val="404040" w:themeColor="text1" w:themeTint="BF"/>
          <w:sz w:val="18"/>
          <w:szCs w:val="18"/>
          <w:lang w:val="pt-PT"/>
        </w:rPr>
        <w:t> especializada na área do bem-estar financeiro, que ajuda as pessoas a tomar melhores decisões financeiras sobre crédito habitação, crédito pessoal e seguros. No mercado desde 2014, faz a ligação entre clientes e instituições financeiras, oferecendo análise, negociação e acompanhamento sem custos. O especialista fechou 2025 com um volume de negócios de 24 milhões de euros, num ano em que foi responsável por 748 milhões de euros em crédito habitação e por mais de 14 mil apólices de seguros, tendo ajudado mais de 200 mil pessoas, através da melhoria das suas condições financeiras.  </w:t>
      </w:r>
    </w:p>
    <w:p w14:paraId="7B91F64F"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pt-PT"/>
        </w:rPr>
        <w:t>Além disso, disponibiliza um portal com 16 milhões de visitas, onde são disponibilizados conteúdos para promover uma vida financeira saudável, bem como uma academia de formação especializada responsável por capacitar, em 2024, mais de 20 mil portugueses em finanças pessoais.  </w:t>
      </w:r>
    </w:p>
    <w:p w14:paraId="29A3228C"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pt-PT"/>
        </w:rPr>
        <w:t>O Doutor Finanças conta com uma equipa com mais de 700 colaboradores, dos quais mais de 420 são especialistas focados na rede de lojas espalhadas de norte a sul do país, incluindo ilhas. O Doutor Finanças destaca-se como uma Fintech de referência, tendo sido reconhecida no Technology Fast 50 da </w:t>
      </w:r>
      <w:proofErr w:type="spellStart"/>
      <w:r w:rsidRPr="004368B8">
        <w:rPr>
          <w:rFonts w:ascii="Microsoft PhagsPa" w:eastAsia="Microsoft JhengHei UI" w:hAnsi="Microsoft PhagsPa"/>
          <w:color w:val="404040" w:themeColor="text1" w:themeTint="BF"/>
          <w:sz w:val="18"/>
          <w:szCs w:val="18"/>
          <w:lang w:val="pt-PT"/>
        </w:rPr>
        <w:t>Deloitte</w:t>
      </w:r>
      <w:proofErr w:type="spellEnd"/>
      <w:r w:rsidRPr="004368B8">
        <w:rPr>
          <w:rFonts w:ascii="Microsoft PhagsPa" w:eastAsia="Microsoft JhengHei UI" w:hAnsi="Microsoft PhagsPa"/>
          <w:color w:val="404040" w:themeColor="text1" w:themeTint="BF"/>
          <w:sz w:val="18"/>
          <w:szCs w:val="18"/>
          <w:lang w:val="pt-PT"/>
        </w:rPr>
        <w:t>, distinguida como Great </w:t>
      </w:r>
      <w:proofErr w:type="spellStart"/>
      <w:r w:rsidRPr="004368B8">
        <w:rPr>
          <w:rFonts w:ascii="Microsoft PhagsPa" w:eastAsia="Microsoft JhengHei UI" w:hAnsi="Microsoft PhagsPa"/>
          <w:color w:val="404040" w:themeColor="text1" w:themeTint="BF"/>
          <w:sz w:val="18"/>
          <w:szCs w:val="18"/>
          <w:lang w:val="pt-PT"/>
        </w:rPr>
        <w:t>Place</w:t>
      </w:r>
      <w:proofErr w:type="spellEnd"/>
      <w:r w:rsidRPr="004368B8">
        <w:rPr>
          <w:rFonts w:ascii="Microsoft PhagsPa" w:eastAsia="Microsoft JhengHei UI" w:hAnsi="Microsoft PhagsPa"/>
          <w:color w:val="404040" w:themeColor="text1" w:themeTint="BF"/>
          <w:sz w:val="18"/>
          <w:szCs w:val="18"/>
          <w:lang w:val="pt-PT"/>
        </w:rPr>
        <w:t> to </w:t>
      </w:r>
      <w:proofErr w:type="spellStart"/>
      <w:r w:rsidRPr="004368B8">
        <w:rPr>
          <w:rFonts w:ascii="Microsoft PhagsPa" w:eastAsia="Microsoft JhengHei UI" w:hAnsi="Microsoft PhagsPa"/>
          <w:color w:val="404040" w:themeColor="text1" w:themeTint="BF"/>
          <w:sz w:val="18"/>
          <w:szCs w:val="18"/>
          <w:lang w:val="pt-PT"/>
        </w:rPr>
        <w:t>Work</w:t>
      </w:r>
      <w:proofErr w:type="spellEnd"/>
      <w:r w:rsidRPr="004368B8">
        <w:rPr>
          <w:rFonts w:ascii="Microsoft PhagsPa" w:eastAsia="Microsoft JhengHei UI" w:hAnsi="Microsoft PhagsPa"/>
          <w:color w:val="404040" w:themeColor="text1" w:themeTint="BF"/>
          <w:sz w:val="18"/>
          <w:szCs w:val="18"/>
          <w:lang w:val="pt-PT"/>
        </w:rPr>
        <w:t> desde 2021 e com a sua Rede de franchising tendo sido galardoada com o 3º lugar enquanto marca de franchising emergente da Europa, pela Federação Europeia de Franchising. </w:t>
      </w:r>
    </w:p>
    <w:p w14:paraId="7271136C"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pt-PT"/>
        </w:rPr>
        <w:t>É possível aceder aos serviços do Doutor Finanças através do seu portal e das 100 lojas espalhadas por todo o território nacional. Mais informação em: </w:t>
      </w:r>
      <w:hyperlink r:id="rId12" w:tgtFrame="_blank" w:history="1">
        <w:r w:rsidRPr="004368B8">
          <w:rPr>
            <w:rStyle w:val="Hiperligao"/>
            <w:rFonts w:ascii="Microsoft PhagsPa" w:eastAsia="Microsoft JhengHei UI" w:hAnsi="Microsoft PhagsPa"/>
            <w:sz w:val="18"/>
            <w:szCs w:val="18"/>
            <w:lang w:val="pt-PT"/>
          </w:rPr>
          <w:t>www.doutorfinancas.pt/sobre-doutor-financas/</w:t>
        </w:r>
      </w:hyperlink>
      <w:r w:rsidRPr="004368B8">
        <w:rPr>
          <w:rFonts w:ascii="Microsoft PhagsPa" w:eastAsia="Microsoft JhengHei UI" w:hAnsi="Microsoft PhagsPa"/>
          <w:color w:val="404040" w:themeColor="text1" w:themeTint="BF"/>
          <w:sz w:val="18"/>
          <w:szCs w:val="18"/>
          <w:lang w:val="pt-PT"/>
        </w:rPr>
        <w:t>   </w:t>
      </w:r>
    </w:p>
    <w:p w14:paraId="770309C5"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pt-PT"/>
        </w:rPr>
        <w:t> </w:t>
      </w:r>
    </w:p>
    <w:p w14:paraId="4A9ACE5D"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b/>
          <w:bCs/>
          <w:color w:val="404040" w:themeColor="text1" w:themeTint="BF"/>
          <w:sz w:val="18"/>
          <w:szCs w:val="18"/>
          <w:lang w:val="pt-PT"/>
        </w:rPr>
        <w:t>Contactos para a Comunicação Social</w:t>
      </w:r>
      <w:r w:rsidRPr="004368B8">
        <w:rPr>
          <w:rFonts w:ascii="Microsoft PhagsPa" w:eastAsia="Microsoft JhengHei UI" w:hAnsi="Microsoft PhagsPa"/>
          <w:color w:val="404040" w:themeColor="text1" w:themeTint="BF"/>
          <w:sz w:val="18"/>
          <w:szCs w:val="18"/>
          <w:lang w:val="pt-PT"/>
        </w:rPr>
        <w:t> </w:t>
      </w:r>
    </w:p>
    <w:p w14:paraId="2FEBB31B"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rPr>
      </w:pPr>
      <w:r w:rsidRPr="004368B8">
        <w:rPr>
          <w:rFonts w:ascii="Microsoft PhagsPa" w:eastAsia="Microsoft JhengHei UI" w:hAnsi="Microsoft PhagsPa"/>
          <w:color w:val="404040" w:themeColor="text1" w:themeTint="BF"/>
          <w:sz w:val="18"/>
          <w:szCs w:val="18"/>
          <w:u w:val="single"/>
          <w:lang w:val="it-IT"/>
        </w:rPr>
        <w:t>Lift Consulting</w:t>
      </w:r>
      <w:r w:rsidRPr="004368B8">
        <w:rPr>
          <w:rFonts w:ascii="Microsoft PhagsPa" w:eastAsia="Microsoft JhengHei UI" w:hAnsi="Microsoft PhagsPa"/>
          <w:color w:val="404040" w:themeColor="text1" w:themeTint="BF"/>
          <w:sz w:val="18"/>
          <w:szCs w:val="18"/>
        </w:rPr>
        <w:t> </w:t>
      </w:r>
    </w:p>
    <w:p w14:paraId="0042ED2D"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rPr>
      </w:pPr>
      <w:r w:rsidRPr="004368B8">
        <w:rPr>
          <w:rFonts w:ascii="Microsoft PhagsPa" w:eastAsia="Microsoft JhengHei UI" w:hAnsi="Microsoft PhagsPa"/>
          <w:color w:val="404040" w:themeColor="text1" w:themeTint="BF"/>
          <w:sz w:val="18"/>
          <w:szCs w:val="18"/>
          <w:lang w:val="it-IT"/>
        </w:rPr>
        <w:lastRenderedPageBreak/>
        <w:t>Raquel Rogeiro | </w:t>
      </w:r>
      <w:hyperlink r:id="rId13" w:tgtFrame="_blank" w:history="1">
        <w:r w:rsidRPr="004368B8">
          <w:rPr>
            <w:rStyle w:val="Hiperligao"/>
            <w:rFonts w:ascii="Microsoft PhagsPa" w:eastAsia="Microsoft JhengHei UI" w:hAnsi="Microsoft PhagsPa"/>
            <w:sz w:val="18"/>
            <w:szCs w:val="18"/>
            <w:lang w:val="it-IT"/>
          </w:rPr>
          <w:t>raquel.rogeiro@lift.com.pt</w:t>
        </w:r>
      </w:hyperlink>
      <w:r w:rsidRPr="004368B8">
        <w:rPr>
          <w:rFonts w:ascii="Microsoft PhagsPa" w:eastAsia="Microsoft JhengHei UI" w:hAnsi="Microsoft PhagsPa"/>
          <w:color w:val="404040" w:themeColor="text1" w:themeTint="BF"/>
          <w:sz w:val="18"/>
          <w:szCs w:val="18"/>
          <w:lang w:val="it-IT"/>
        </w:rPr>
        <w:t> | 910 767 719</w:t>
      </w:r>
      <w:r w:rsidRPr="004368B8">
        <w:rPr>
          <w:rFonts w:ascii="Microsoft PhagsPa" w:eastAsia="Microsoft JhengHei UI" w:hAnsi="Microsoft PhagsPa"/>
          <w:color w:val="404040" w:themeColor="text1" w:themeTint="BF"/>
          <w:sz w:val="18"/>
          <w:szCs w:val="18"/>
        </w:rPr>
        <w:t> </w:t>
      </w:r>
    </w:p>
    <w:p w14:paraId="22918D13" w14:textId="77777777" w:rsidR="004368B8" w:rsidRPr="004368B8" w:rsidRDefault="004368B8" w:rsidP="004368B8">
      <w:pPr>
        <w:spacing w:after="40" w:line="360" w:lineRule="auto"/>
        <w:ind w:left="357"/>
        <w:jc w:val="both"/>
        <w:rPr>
          <w:rFonts w:ascii="Microsoft PhagsPa" w:eastAsia="Microsoft JhengHei UI" w:hAnsi="Microsoft PhagsPa"/>
          <w:color w:val="404040" w:themeColor="text1" w:themeTint="BF"/>
          <w:sz w:val="18"/>
          <w:szCs w:val="18"/>
          <w:lang w:val="pt-PT"/>
        </w:rPr>
      </w:pPr>
      <w:r w:rsidRPr="004368B8">
        <w:rPr>
          <w:rFonts w:ascii="Microsoft PhagsPa" w:eastAsia="Microsoft JhengHei UI" w:hAnsi="Microsoft PhagsPa"/>
          <w:color w:val="404040" w:themeColor="text1" w:themeTint="BF"/>
          <w:sz w:val="18"/>
          <w:szCs w:val="18"/>
          <w:lang w:val="it-IT"/>
        </w:rPr>
        <w:t>Miguel Carrilho | </w:t>
      </w:r>
      <w:hyperlink r:id="rId14" w:tgtFrame="_blank" w:history="1">
        <w:r w:rsidRPr="004368B8">
          <w:rPr>
            <w:rStyle w:val="Hiperligao"/>
            <w:rFonts w:ascii="Microsoft PhagsPa" w:eastAsia="Microsoft JhengHei UI" w:hAnsi="Microsoft PhagsPa"/>
            <w:sz w:val="18"/>
            <w:szCs w:val="18"/>
            <w:lang w:val="it-IT"/>
          </w:rPr>
          <w:t>miguel.carrilho@lift.com.pt</w:t>
        </w:r>
      </w:hyperlink>
      <w:r w:rsidRPr="004368B8">
        <w:rPr>
          <w:rFonts w:ascii="Microsoft PhagsPa" w:eastAsia="Microsoft JhengHei UI" w:hAnsi="Microsoft PhagsPa"/>
          <w:color w:val="404040" w:themeColor="text1" w:themeTint="BF"/>
          <w:sz w:val="18"/>
          <w:szCs w:val="18"/>
          <w:lang w:val="it-IT"/>
        </w:rPr>
        <w:t> | 967 777 714</w:t>
      </w:r>
      <w:r w:rsidRPr="004368B8">
        <w:rPr>
          <w:rFonts w:ascii="Microsoft PhagsPa" w:eastAsia="Microsoft JhengHei UI" w:hAnsi="Microsoft PhagsPa"/>
          <w:color w:val="404040" w:themeColor="text1" w:themeTint="BF"/>
          <w:sz w:val="18"/>
          <w:szCs w:val="18"/>
          <w:lang w:val="pt-PT"/>
        </w:rPr>
        <w:t> </w:t>
      </w:r>
    </w:p>
    <w:p w14:paraId="51B0FEB4" w14:textId="053F2BD5" w:rsidR="006C15EC" w:rsidRPr="004368B8" w:rsidRDefault="006C15EC" w:rsidP="002E2AE9">
      <w:pPr>
        <w:spacing w:after="40" w:line="360" w:lineRule="auto"/>
        <w:ind w:left="357"/>
        <w:jc w:val="both"/>
        <w:rPr>
          <w:rFonts w:ascii="Microsoft PhagsPa" w:eastAsia="Microsoft JhengHei UI" w:hAnsi="Microsoft PhagsPa"/>
          <w:color w:val="404040" w:themeColor="text1" w:themeTint="BF"/>
          <w:sz w:val="18"/>
          <w:szCs w:val="18"/>
          <w:lang w:val="pt-PT"/>
        </w:rPr>
      </w:pPr>
    </w:p>
    <w:sectPr w:rsidR="006C15EC" w:rsidRPr="004368B8" w:rsidSect="00C66D98">
      <w:headerReference w:type="default" r:id="rId15"/>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D1550" w14:textId="77777777" w:rsidR="003B794D" w:rsidRDefault="003B794D" w:rsidP="00C66D98">
      <w:pPr>
        <w:spacing w:after="0" w:line="240" w:lineRule="auto"/>
      </w:pPr>
      <w:r>
        <w:separator/>
      </w:r>
    </w:p>
  </w:endnote>
  <w:endnote w:type="continuationSeparator" w:id="0">
    <w:p w14:paraId="086273C2" w14:textId="77777777" w:rsidR="003B794D" w:rsidRDefault="003B794D" w:rsidP="00C66D98">
      <w:pPr>
        <w:spacing w:after="0" w:line="240" w:lineRule="auto"/>
      </w:pPr>
      <w:r>
        <w:continuationSeparator/>
      </w:r>
    </w:p>
  </w:endnote>
  <w:endnote w:type="continuationNotice" w:id="1">
    <w:p w14:paraId="4058E116" w14:textId="77777777" w:rsidR="003B794D" w:rsidRDefault="003B79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crosoft PhagsPa">
    <w:panose1 w:val="020B0502040204020203"/>
    <w:charset w:val="00"/>
    <w:family w:val="swiss"/>
    <w:pitch w:val="variable"/>
    <w:sig w:usb0="00000003" w:usb1="00000000" w:usb2="08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Neue Medium">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FE4E" w14:textId="77777777" w:rsidR="003B794D" w:rsidRDefault="003B794D" w:rsidP="00C66D98">
      <w:pPr>
        <w:spacing w:after="0" w:line="240" w:lineRule="auto"/>
      </w:pPr>
      <w:r>
        <w:separator/>
      </w:r>
    </w:p>
  </w:footnote>
  <w:footnote w:type="continuationSeparator" w:id="0">
    <w:p w14:paraId="4DA1231F" w14:textId="77777777" w:rsidR="003B794D" w:rsidRDefault="003B794D" w:rsidP="00C66D98">
      <w:pPr>
        <w:spacing w:after="0" w:line="240" w:lineRule="auto"/>
      </w:pPr>
      <w:r>
        <w:continuationSeparator/>
      </w:r>
    </w:p>
  </w:footnote>
  <w:footnote w:type="continuationNotice" w:id="1">
    <w:p w14:paraId="13E8AF5B" w14:textId="77777777" w:rsidR="003B794D" w:rsidRDefault="003B79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F6EF" w14:textId="5EFE3FFB" w:rsidR="00C66D98" w:rsidRDefault="00C66D98">
    <w:pPr>
      <w:pStyle w:val="Cabealho"/>
    </w:pPr>
    <w:r w:rsidRPr="00C66D98">
      <w:rPr>
        <w:noProof/>
      </w:rPr>
      <w:drawing>
        <wp:anchor distT="0" distB="0" distL="114300" distR="114300" simplePos="0" relativeHeight="251658240" behindDoc="0" locked="0" layoutInCell="1" allowOverlap="1" wp14:anchorId="57C2237E" wp14:editId="33C1D526">
          <wp:simplePos x="0" y="0"/>
          <wp:positionH relativeFrom="margin">
            <wp:posOffset>1539240</wp:posOffset>
          </wp:positionH>
          <wp:positionV relativeFrom="margin">
            <wp:posOffset>-692150</wp:posOffset>
          </wp:positionV>
          <wp:extent cx="2533650" cy="426395"/>
          <wp:effectExtent l="0" t="0" r="0" b="0"/>
          <wp:wrapSquare wrapText="bothSides"/>
          <wp:docPr id="2137444502" name="Imagem 1" descr="A literacia financeira e o Natal">
            <a:extLst xmlns:a="http://schemas.openxmlformats.org/drawingml/2006/main">
              <a:ext uri="{FF2B5EF4-FFF2-40B4-BE49-F238E27FC236}">
                <a16:creationId xmlns:a16="http://schemas.microsoft.com/office/drawing/2014/main" id="{2A993924-F056-401D-8892-E72570DBE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teracia financeira e o N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426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8DB"/>
    <w:multiLevelType w:val="hybridMultilevel"/>
    <w:tmpl w:val="791452F6"/>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1" w15:restartNumberingAfterBreak="0">
    <w:nsid w:val="2C421273"/>
    <w:multiLevelType w:val="hybridMultilevel"/>
    <w:tmpl w:val="E0BAD354"/>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2" w15:restartNumberingAfterBreak="0">
    <w:nsid w:val="39261C3C"/>
    <w:multiLevelType w:val="hybridMultilevel"/>
    <w:tmpl w:val="A488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E47C7"/>
    <w:multiLevelType w:val="hybridMultilevel"/>
    <w:tmpl w:val="194AA61E"/>
    <w:lvl w:ilvl="0" w:tplc="27DA4E2A">
      <w:start w:val="2"/>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4" w15:restartNumberingAfterBreak="0">
    <w:nsid w:val="451A2B9F"/>
    <w:multiLevelType w:val="hybridMultilevel"/>
    <w:tmpl w:val="3DF8B9CC"/>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5" w15:restartNumberingAfterBreak="0">
    <w:nsid w:val="638D6583"/>
    <w:multiLevelType w:val="hybridMultilevel"/>
    <w:tmpl w:val="22AEF286"/>
    <w:lvl w:ilvl="0" w:tplc="3B9ACC60">
      <w:start w:val="1"/>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6" w15:restartNumberingAfterBreak="0">
    <w:nsid w:val="7A4B5284"/>
    <w:multiLevelType w:val="hybridMultilevel"/>
    <w:tmpl w:val="4DC4E0F6"/>
    <w:lvl w:ilvl="0" w:tplc="DF348CD6">
      <w:start w:val="1"/>
      <w:numFmt w:val="decimal"/>
      <w:lvlText w:val="%1."/>
      <w:lvlJc w:val="left"/>
      <w:pPr>
        <w:ind w:left="1077" w:hanging="360"/>
      </w:pPr>
      <w:rPr>
        <w:b/>
        <w:bCs/>
        <w:color w:val="auto"/>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26793471">
    <w:abstractNumId w:val="4"/>
  </w:num>
  <w:num w:numId="2" w16cid:durableId="1865438093">
    <w:abstractNumId w:val="3"/>
  </w:num>
  <w:num w:numId="3" w16cid:durableId="1951815488">
    <w:abstractNumId w:val="0"/>
  </w:num>
  <w:num w:numId="4" w16cid:durableId="2106729745">
    <w:abstractNumId w:val="1"/>
  </w:num>
  <w:num w:numId="5" w16cid:durableId="2134403467">
    <w:abstractNumId w:val="2"/>
  </w:num>
  <w:num w:numId="6" w16cid:durableId="554707807">
    <w:abstractNumId w:val="5"/>
  </w:num>
  <w:num w:numId="7" w16cid:durableId="749619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98"/>
    <w:rsid w:val="0000619A"/>
    <w:rsid w:val="00010AFB"/>
    <w:rsid w:val="00017325"/>
    <w:rsid w:val="0002312C"/>
    <w:rsid w:val="00031CB7"/>
    <w:rsid w:val="00043DEE"/>
    <w:rsid w:val="0004437F"/>
    <w:rsid w:val="000531D0"/>
    <w:rsid w:val="00060D9E"/>
    <w:rsid w:val="0006465F"/>
    <w:rsid w:val="00067D1D"/>
    <w:rsid w:val="00086044"/>
    <w:rsid w:val="00095A6A"/>
    <w:rsid w:val="000A4085"/>
    <w:rsid w:val="000A59A6"/>
    <w:rsid w:val="000A5A0C"/>
    <w:rsid w:val="000A68B8"/>
    <w:rsid w:val="000A7849"/>
    <w:rsid w:val="000B0D46"/>
    <w:rsid w:val="000C694C"/>
    <w:rsid w:val="000C7ECF"/>
    <w:rsid w:val="000D2987"/>
    <w:rsid w:val="000D4E8F"/>
    <w:rsid w:val="000D742C"/>
    <w:rsid w:val="000E12D5"/>
    <w:rsid w:val="000E20FC"/>
    <w:rsid w:val="000E41C8"/>
    <w:rsid w:val="000E4C70"/>
    <w:rsid w:val="000E624C"/>
    <w:rsid w:val="000E7219"/>
    <w:rsid w:val="000F3ED9"/>
    <w:rsid w:val="001070F5"/>
    <w:rsid w:val="00114644"/>
    <w:rsid w:val="001216BE"/>
    <w:rsid w:val="001357E2"/>
    <w:rsid w:val="00136AD9"/>
    <w:rsid w:val="00142A7E"/>
    <w:rsid w:val="0014328B"/>
    <w:rsid w:val="001453FC"/>
    <w:rsid w:val="001515C0"/>
    <w:rsid w:val="0016079C"/>
    <w:rsid w:val="00164EEF"/>
    <w:rsid w:val="00167F99"/>
    <w:rsid w:val="001743CA"/>
    <w:rsid w:val="00181368"/>
    <w:rsid w:val="00191765"/>
    <w:rsid w:val="00197A08"/>
    <w:rsid w:val="001B0608"/>
    <w:rsid w:val="001B1959"/>
    <w:rsid w:val="001C178B"/>
    <w:rsid w:val="001D05B2"/>
    <w:rsid w:val="001D4D11"/>
    <w:rsid w:val="001E470F"/>
    <w:rsid w:val="001E5755"/>
    <w:rsid w:val="001F00C3"/>
    <w:rsid w:val="001F4850"/>
    <w:rsid w:val="00204714"/>
    <w:rsid w:val="00204D8A"/>
    <w:rsid w:val="00206819"/>
    <w:rsid w:val="00213F07"/>
    <w:rsid w:val="00223D29"/>
    <w:rsid w:val="002369C9"/>
    <w:rsid w:val="00237917"/>
    <w:rsid w:val="002409D6"/>
    <w:rsid w:val="00242820"/>
    <w:rsid w:val="00252C4C"/>
    <w:rsid w:val="00252EE3"/>
    <w:rsid w:val="00253205"/>
    <w:rsid w:val="00253D78"/>
    <w:rsid w:val="002578B7"/>
    <w:rsid w:val="002604F3"/>
    <w:rsid w:val="002609C8"/>
    <w:rsid w:val="0026433B"/>
    <w:rsid w:val="00265DD5"/>
    <w:rsid w:val="00266EC6"/>
    <w:rsid w:val="00272414"/>
    <w:rsid w:val="0027704B"/>
    <w:rsid w:val="00277140"/>
    <w:rsid w:val="00283D1F"/>
    <w:rsid w:val="002A3868"/>
    <w:rsid w:val="002A3B35"/>
    <w:rsid w:val="002A7646"/>
    <w:rsid w:val="002B0CFA"/>
    <w:rsid w:val="002B2ADF"/>
    <w:rsid w:val="002B640E"/>
    <w:rsid w:val="002B6BC6"/>
    <w:rsid w:val="002C22E2"/>
    <w:rsid w:val="002D1622"/>
    <w:rsid w:val="002E085F"/>
    <w:rsid w:val="002E25CB"/>
    <w:rsid w:val="002E2AE9"/>
    <w:rsid w:val="002E6F33"/>
    <w:rsid w:val="002F2A66"/>
    <w:rsid w:val="002F41B9"/>
    <w:rsid w:val="002F5B37"/>
    <w:rsid w:val="00300428"/>
    <w:rsid w:val="00301EBE"/>
    <w:rsid w:val="00311104"/>
    <w:rsid w:val="003148FB"/>
    <w:rsid w:val="00315528"/>
    <w:rsid w:val="00315D29"/>
    <w:rsid w:val="00324ABF"/>
    <w:rsid w:val="00325784"/>
    <w:rsid w:val="0032632B"/>
    <w:rsid w:val="00340399"/>
    <w:rsid w:val="0035189D"/>
    <w:rsid w:val="00351B85"/>
    <w:rsid w:val="00353516"/>
    <w:rsid w:val="00372F09"/>
    <w:rsid w:val="003742FB"/>
    <w:rsid w:val="00374AE2"/>
    <w:rsid w:val="00384525"/>
    <w:rsid w:val="00397839"/>
    <w:rsid w:val="003A7090"/>
    <w:rsid w:val="003A7D4E"/>
    <w:rsid w:val="003B794D"/>
    <w:rsid w:val="003D660F"/>
    <w:rsid w:val="003D6703"/>
    <w:rsid w:val="00403760"/>
    <w:rsid w:val="0041781D"/>
    <w:rsid w:val="00421334"/>
    <w:rsid w:val="004217C1"/>
    <w:rsid w:val="00421C3B"/>
    <w:rsid w:val="0043131C"/>
    <w:rsid w:val="00433EF2"/>
    <w:rsid w:val="00436267"/>
    <w:rsid w:val="004368B8"/>
    <w:rsid w:val="004418B8"/>
    <w:rsid w:val="004515EC"/>
    <w:rsid w:val="00460952"/>
    <w:rsid w:val="00462550"/>
    <w:rsid w:val="004653AD"/>
    <w:rsid w:val="00474392"/>
    <w:rsid w:val="00476D5F"/>
    <w:rsid w:val="00482E5B"/>
    <w:rsid w:val="00483228"/>
    <w:rsid w:val="00484D21"/>
    <w:rsid w:val="004874D9"/>
    <w:rsid w:val="00487602"/>
    <w:rsid w:val="00487B55"/>
    <w:rsid w:val="00494467"/>
    <w:rsid w:val="004975D5"/>
    <w:rsid w:val="004A5082"/>
    <w:rsid w:val="004A5C04"/>
    <w:rsid w:val="004A6A81"/>
    <w:rsid w:val="004C118C"/>
    <w:rsid w:val="004C1CB3"/>
    <w:rsid w:val="004C5B3B"/>
    <w:rsid w:val="004C7B01"/>
    <w:rsid w:val="004D0BE6"/>
    <w:rsid w:val="004D536C"/>
    <w:rsid w:val="004F0D35"/>
    <w:rsid w:val="004F504D"/>
    <w:rsid w:val="004F734A"/>
    <w:rsid w:val="005005D1"/>
    <w:rsid w:val="0050204C"/>
    <w:rsid w:val="00503193"/>
    <w:rsid w:val="00503860"/>
    <w:rsid w:val="00505031"/>
    <w:rsid w:val="00511B8B"/>
    <w:rsid w:val="00515FFA"/>
    <w:rsid w:val="00516187"/>
    <w:rsid w:val="00522026"/>
    <w:rsid w:val="005340ED"/>
    <w:rsid w:val="0054615E"/>
    <w:rsid w:val="005507E2"/>
    <w:rsid w:val="00552B06"/>
    <w:rsid w:val="00556762"/>
    <w:rsid w:val="0056143D"/>
    <w:rsid w:val="00562928"/>
    <w:rsid w:val="00563C07"/>
    <w:rsid w:val="00565985"/>
    <w:rsid w:val="00571A22"/>
    <w:rsid w:val="005736BC"/>
    <w:rsid w:val="00573C31"/>
    <w:rsid w:val="00582F63"/>
    <w:rsid w:val="00584C33"/>
    <w:rsid w:val="00596DCA"/>
    <w:rsid w:val="005A207A"/>
    <w:rsid w:val="005A23E8"/>
    <w:rsid w:val="005B24CC"/>
    <w:rsid w:val="005B411F"/>
    <w:rsid w:val="005B53FD"/>
    <w:rsid w:val="005C5F97"/>
    <w:rsid w:val="005D3FA2"/>
    <w:rsid w:val="005D6232"/>
    <w:rsid w:val="005E0A39"/>
    <w:rsid w:val="005E1620"/>
    <w:rsid w:val="005E6B84"/>
    <w:rsid w:val="005E7D36"/>
    <w:rsid w:val="005F1969"/>
    <w:rsid w:val="005F3CAC"/>
    <w:rsid w:val="0060008D"/>
    <w:rsid w:val="006027A6"/>
    <w:rsid w:val="00604061"/>
    <w:rsid w:val="00604CC5"/>
    <w:rsid w:val="00604FBF"/>
    <w:rsid w:val="006071CD"/>
    <w:rsid w:val="0062046B"/>
    <w:rsid w:val="006205D4"/>
    <w:rsid w:val="0062151B"/>
    <w:rsid w:val="0062417D"/>
    <w:rsid w:val="00624D4D"/>
    <w:rsid w:val="00644589"/>
    <w:rsid w:val="0065504C"/>
    <w:rsid w:val="00661D04"/>
    <w:rsid w:val="0066446E"/>
    <w:rsid w:val="0066510D"/>
    <w:rsid w:val="006652DD"/>
    <w:rsid w:val="00665317"/>
    <w:rsid w:val="00666C41"/>
    <w:rsid w:val="00680CF3"/>
    <w:rsid w:val="00683658"/>
    <w:rsid w:val="00693D51"/>
    <w:rsid w:val="006952A0"/>
    <w:rsid w:val="006B4A56"/>
    <w:rsid w:val="006C15EC"/>
    <w:rsid w:val="006C7917"/>
    <w:rsid w:val="006D1CDF"/>
    <w:rsid w:val="006D3423"/>
    <w:rsid w:val="006D36DF"/>
    <w:rsid w:val="006D7A94"/>
    <w:rsid w:val="006E3977"/>
    <w:rsid w:val="006E60C8"/>
    <w:rsid w:val="006F1E1D"/>
    <w:rsid w:val="006F3F49"/>
    <w:rsid w:val="006F545E"/>
    <w:rsid w:val="006F5B52"/>
    <w:rsid w:val="007027E3"/>
    <w:rsid w:val="00703B14"/>
    <w:rsid w:val="007045BE"/>
    <w:rsid w:val="007048C4"/>
    <w:rsid w:val="007074D5"/>
    <w:rsid w:val="00707512"/>
    <w:rsid w:val="007128BD"/>
    <w:rsid w:val="007169AC"/>
    <w:rsid w:val="007212C0"/>
    <w:rsid w:val="0072186A"/>
    <w:rsid w:val="0072476B"/>
    <w:rsid w:val="0074277E"/>
    <w:rsid w:val="0074517C"/>
    <w:rsid w:val="007468C5"/>
    <w:rsid w:val="00747EB8"/>
    <w:rsid w:val="0075240F"/>
    <w:rsid w:val="00753465"/>
    <w:rsid w:val="00753D12"/>
    <w:rsid w:val="0075670E"/>
    <w:rsid w:val="0076285B"/>
    <w:rsid w:val="00762E3B"/>
    <w:rsid w:val="00767FB4"/>
    <w:rsid w:val="007702BB"/>
    <w:rsid w:val="007736FB"/>
    <w:rsid w:val="00773731"/>
    <w:rsid w:val="00774029"/>
    <w:rsid w:val="0077699C"/>
    <w:rsid w:val="00783EEA"/>
    <w:rsid w:val="00784980"/>
    <w:rsid w:val="0078765F"/>
    <w:rsid w:val="0079107E"/>
    <w:rsid w:val="00794452"/>
    <w:rsid w:val="007A34B5"/>
    <w:rsid w:val="007A5B95"/>
    <w:rsid w:val="007B0B06"/>
    <w:rsid w:val="007B5DF7"/>
    <w:rsid w:val="007B6FE5"/>
    <w:rsid w:val="007B758E"/>
    <w:rsid w:val="007C0994"/>
    <w:rsid w:val="007C4886"/>
    <w:rsid w:val="007C51E8"/>
    <w:rsid w:val="007C6948"/>
    <w:rsid w:val="007D210D"/>
    <w:rsid w:val="007D314D"/>
    <w:rsid w:val="007D4EB0"/>
    <w:rsid w:val="007D657F"/>
    <w:rsid w:val="007E020A"/>
    <w:rsid w:val="007E6D65"/>
    <w:rsid w:val="007F3D7A"/>
    <w:rsid w:val="00800B99"/>
    <w:rsid w:val="00806829"/>
    <w:rsid w:val="00812124"/>
    <w:rsid w:val="008177CC"/>
    <w:rsid w:val="0082358B"/>
    <w:rsid w:val="00823DAD"/>
    <w:rsid w:val="00833259"/>
    <w:rsid w:val="00835AA5"/>
    <w:rsid w:val="008457AB"/>
    <w:rsid w:val="00852DED"/>
    <w:rsid w:val="0087011D"/>
    <w:rsid w:val="0089011A"/>
    <w:rsid w:val="00891B4F"/>
    <w:rsid w:val="00895134"/>
    <w:rsid w:val="00895CCE"/>
    <w:rsid w:val="00897252"/>
    <w:rsid w:val="008A0E85"/>
    <w:rsid w:val="008A33CC"/>
    <w:rsid w:val="008B2AB4"/>
    <w:rsid w:val="008C133C"/>
    <w:rsid w:val="008C3082"/>
    <w:rsid w:val="008C5DA5"/>
    <w:rsid w:val="008C7A1E"/>
    <w:rsid w:val="008D2408"/>
    <w:rsid w:val="008D2EEC"/>
    <w:rsid w:val="008D4276"/>
    <w:rsid w:val="008E14B9"/>
    <w:rsid w:val="008E1520"/>
    <w:rsid w:val="008E3FCD"/>
    <w:rsid w:val="008E4696"/>
    <w:rsid w:val="008E5192"/>
    <w:rsid w:val="008F09DF"/>
    <w:rsid w:val="00920AE5"/>
    <w:rsid w:val="00924320"/>
    <w:rsid w:val="00932E02"/>
    <w:rsid w:val="00937B11"/>
    <w:rsid w:val="00947EB9"/>
    <w:rsid w:val="00950F83"/>
    <w:rsid w:val="00952F8A"/>
    <w:rsid w:val="0095622C"/>
    <w:rsid w:val="00963E08"/>
    <w:rsid w:val="00964065"/>
    <w:rsid w:val="00966435"/>
    <w:rsid w:val="00972F86"/>
    <w:rsid w:val="00973023"/>
    <w:rsid w:val="00974F8E"/>
    <w:rsid w:val="00981783"/>
    <w:rsid w:val="00993C32"/>
    <w:rsid w:val="009966A6"/>
    <w:rsid w:val="009A3FA1"/>
    <w:rsid w:val="009A47DF"/>
    <w:rsid w:val="009A7149"/>
    <w:rsid w:val="009A72AC"/>
    <w:rsid w:val="009B4C7A"/>
    <w:rsid w:val="009C3717"/>
    <w:rsid w:val="009D6183"/>
    <w:rsid w:val="009D72BC"/>
    <w:rsid w:val="009E22F4"/>
    <w:rsid w:val="009E3AED"/>
    <w:rsid w:val="009E5BCE"/>
    <w:rsid w:val="009E5EF8"/>
    <w:rsid w:val="009F32D0"/>
    <w:rsid w:val="009F775E"/>
    <w:rsid w:val="00A16095"/>
    <w:rsid w:val="00A20171"/>
    <w:rsid w:val="00A22268"/>
    <w:rsid w:val="00A23A23"/>
    <w:rsid w:val="00A3583E"/>
    <w:rsid w:val="00A408F6"/>
    <w:rsid w:val="00A40B49"/>
    <w:rsid w:val="00A42186"/>
    <w:rsid w:val="00A531A2"/>
    <w:rsid w:val="00A6044A"/>
    <w:rsid w:val="00A63696"/>
    <w:rsid w:val="00A64476"/>
    <w:rsid w:val="00A652AC"/>
    <w:rsid w:val="00A70B90"/>
    <w:rsid w:val="00A77994"/>
    <w:rsid w:val="00A97F91"/>
    <w:rsid w:val="00AA39A8"/>
    <w:rsid w:val="00AA5E8F"/>
    <w:rsid w:val="00AA6DF7"/>
    <w:rsid w:val="00AB0A58"/>
    <w:rsid w:val="00AB1C1C"/>
    <w:rsid w:val="00AB1FD5"/>
    <w:rsid w:val="00AC5251"/>
    <w:rsid w:val="00AC77C3"/>
    <w:rsid w:val="00AD19A9"/>
    <w:rsid w:val="00AD257E"/>
    <w:rsid w:val="00AD4D97"/>
    <w:rsid w:val="00AE1927"/>
    <w:rsid w:val="00AE25C3"/>
    <w:rsid w:val="00AE28CB"/>
    <w:rsid w:val="00AE59B2"/>
    <w:rsid w:val="00AE6017"/>
    <w:rsid w:val="00AF4896"/>
    <w:rsid w:val="00AF514D"/>
    <w:rsid w:val="00B03A99"/>
    <w:rsid w:val="00B12158"/>
    <w:rsid w:val="00B12D1D"/>
    <w:rsid w:val="00B24746"/>
    <w:rsid w:val="00B26246"/>
    <w:rsid w:val="00B41256"/>
    <w:rsid w:val="00B44458"/>
    <w:rsid w:val="00B478C7"/>
    <w:rsid w:val="00B47F37"/>
    <w:rsid w:val="00B50013"/>
    <w:rsid w:val="00B5170A"/>
    <w:rsid w:val="00B529AF"/>
    <w:rsid w:val="00B5527D"/>
    <w:rsid w:val="00B5611B"/>
    <w:rsid w:val="00B609C8"/>
    <w:rsid w:val="00B61588"/>
    <w:rsid w:val="00B63732"/>
    <w:rsid w:val="00B72A12"/>
    <w:rsid w:val="00B83AE6"/>
    <w:rsid w:val="00B85983"/>
    <w:rsid w:val="00B92F0E"/>
    <w:rsid w:val="00BA2A9F"/>
    <w:rsid w:val="00BA2C48"/>
    <w:rsid w:val="00BA5E61"/>
    <w:rsid w:val="00BB108B"/>
    <w:rsid w:val="00BB1E26"/>
    <w:rsid w:val="00BB37D9"/>
    <w:rsid w:val="00BB5B91"/>
    <w:rsid w:val="00BB66CA"/>
    <w:rsid w:val="00BB7D1E"/>
    <w:rsid w:val="00BC2E0E"/>
    <w:rsid w:val="00BC5E92"/>
    <w:rsid w:val="00BC71FE"/>
    <w:rsid w:val="00BD2929"/>
    <w:rsid w:val="00BD64F2"/>
    <w:rsid w:val="00BF077A"/>
    <w:rsid w:val="00BF3B1E"/>
    <w:rsid w:val="00BF3D92"/>
    <w:rsid w:val="00C04DE0"/>
    <w:rsid w:val="00C06CF8"/>
    <w:rsid w:val="00C07C7E"/>
    <w:rsid w:val="00C12E03"/>
    <w:rsid w:val="00C132D1"/>
    <w:rsid w:val="00C17F35"/>
    <w:rsid w:val="00C318DD"/>
    <w:rsid w:val="00C3702C"/>
    <w:rsid w:val="00C40B4B"/>
    <w:rsid w:val="00C4528E"/>
    <w:rsid w:val="00C4738F"/>
    <w:rsid w:val="00C518B1"/>
    <w:rsid w:val="00C622A2"/>
    <w:rsid w:val="00C6442A"/>
    <w:rsid w:val="00C66D98"/>
    <w:rsid w:val="00C679E7"/>
    <w:rsid w:val="00C7045D"/>
    <w:rsid w:val="00C75C27"/>
    <w:rsid w:val="00C765AA"/>
    <w:rsid w:val="00C77C9A"/>
    <w:rsid w:val="00C81D47"/>
    <w:rsid w:val="00C856C4"/>
    <w:rsid w:val="00C90031"/>
    <w:rsid w:val="00CA2FC2"/>
    <w:rsid w:val="00CA33BA"/>
    <w:rsid w:val="00CA720B"/>
    <w:rsid w:val="00CB0C8E"/>
    <w:rsid w:val="00CB2701"/>
    <w:rsid w:val="00CB7000"/>
    <w:rsid w:val="00CB74E6"/>
    <w:rsid w:val="00CC01DA"/>
    <w:rsid w:val="00CC2489"/>
    <w:rsid w:val="00CC68CE"/>
    <w:rsid w:val="00CC736E"/>
    <w:rsid w:val="00CD28A0"/>
    <w:rsid w:val="00CD66B4"/>
    <w:rsid w:val="00CE1AE6"/>
    <w:rsid w:val="00CE20E1"/>
    <w:rsid w:val="00CE4C43"/>
    <w:rsid w:val="00CE7139"/>
    <w:rsid w:val="00CF2273"/>
    <w:rsid w:val="00CF2F47"/>
    <w:rsid w:val="00CF3071"/>
    <w:rsid w:val="00D04723"/>
    <w:rsid w:val="00D05085"/>
    <w:rsid w:val="00D119E9"/>
    <w:rsid w:val="00D11EAC"/>
    <w:rsid w:val="00D249E0"/>
    <w:rsid w:val="00D24B71"/>
    <w:rsid w:val="00D315A2"/>
    <w:rsid w:val="00D31C30"/>
    <w:rsid w:val="00D32456"/>
    <w:rsid w:val="00D4022A"/>
    <w:rsid w:val="00D44DA5"/>
    <w:rsid w:val="00D528BB"/>
    <w:rsid w:val="00D5397C"/>
    <w:rsid w:val="00D53B5F"/>
    <w:rsid w:val="00D57F7F"/>
    <w:rsid w:val="00D62DC2"/>
    <w:rsid w:val="00D62F19"/>
    <w:rsid w:val="00D637E4"/>
    <w:rsid w:val="00D64D63"/>
    <w:rsid w:val="00D66834"/>
    <w:rsid w:val="00D672A9"/>
    <w:rsid w:val="00D763C9"/>
    <w:rsid w:val="00D829D2"/>
    <w:rsid w:val="00D830A8"/>
    <w:rsid w:val="00D83DE4"/>
    <w:rsid w:val="00D8477D"/>
    <w:rsid w:val="00D862C6"/>
    <w:rsid w:val="00D90F62"/>
    <w:rsid w:val="00D925D4"/>
    <w:rsid w:val="00D93163"/>
    <w:rsid w:val="00D96512"/>
    <w:rsid w:val="00DA2817"/>
    <w:rsid w:val="00DA5D53"/>
    <w:rsid w:val="00DB4B88"/>
    <w:rsid w:val="00DC1E25"/>
    <w:rsid w:val="00DC411D"/>
    <w:rsid w:val="00DC6F58"/>
    <w:rsid w:val="00DE5311"/>
    <w:rsid w:val="00DE5D0A"/>
    <w:rsid w:val="00DF2C62"/>
    <w:rsid w:val="00DF2F77"/>
    <w:rsid w:val="00DF4C6D"/>
    <w:rsid w:val="00DF7F0D"/>
    <w:rsid w:val="00E04C41"/>
    <w:rsid w:val="00E04FD8"/>
    <w:rsid w:val="00E1007D"/>
    <w:rsid w:val="00E113D1"/>
    <w:rsid w:val="00E128FE"/>
    <w:rsid w:val="00E22859"/>
    <w:rsid w:val="00E342E8"/>
    <w:rsid w:val="00E4188E"/>
    <w:rsid w:val="00E50F6E"/>
    <w:rsid w:val="00E529AF"/>
    <w:rsid w:val="00E54077"/>
    <w:rsid w:val="00E607C2"/>
    <w:rsid w:val="00E64287"/>
    <w:rsid w:val="00E64BA5"/>
    <w:rsid w:val="00E72ED6"/>
    <w:rsid w:val="00E7785C"/>
    <w:rsid w:val="00E80988"/>
    <w:rsid w:val="00E838A8"/>
    <w:rsid w:val="00E8477D"/>
    <w:rsid w:val="00E87234"/>
    <w:rsid w:val="00E92401"/>
    <w:rsid w:val="00E96B49"/>
    <w:rsid w:val="00E96D9F"/>
    <w:rsid w:val="00EA004A"/>
    <w:rsid w:val="00EB3FC1"/>
    <w:rsid w:val="00EB49A5"/>
    <w:rsid w:val="00EC4B86"/>
    <w:rsid w:val="00ED71B8"/>
    <w:rsid w:val="00ED7689"/>
    <w:rsid w:val="00EE3908"/>
    <w:rsid w:val="00EE40E1"/>
    <w:rsid w:val="00EF0BD2"/>
    <w:rsid w:val="00EF6B41"/>
    <w:rsid w:val="00EF6B86"/>
    <w:rsid w:val="00EF7010"/>
    <w:rsid w:val="00F0724A"/>
    <w:rsid w:val="00F12584"/>
    <w:rsid w:val="00F14C37"/>
    <w:rsid w:val="00F17236"/>
    <w:rsid w:val="00F20DF1"/>
    <w:rsid w:val="00F2418E"/>
    <w:rsid w:val="00F25DA8"/>
    <w:rsid w:val="00F2610C"/>
    <w:rsid w:val="00F30379"/>
    <w:rsid w:val="00F30A35"/>
    <w:rsid w:val="00F31184"/>
    <w:rsid w:val="00F42CBD"/>
    <w:rsid w:val="00F5109A"/>
    <w:rsid w:val="00F56605"/>
    <w:rsid w:val="00F70505"/>
    <w:rsid w:val="00F71D89"/>
    <w:rsid w:val="00F753E7"/>
    <w:rsid w:val="00F756DD"/>
    <w:rsid w:val="00F761EC"/>
    <w:rsid w:val="00F85956"/>
    <w:rsid w:val="00F90F80"/>
    <w:rsid w:val="00F91C66"/>
    <w:rsid w:val="00F97CE6"/>
    <w:rsid w:val="00FA09B6"/>
    <w:rsid w:val="00FB1F8A"/>
    <w:rsid w:val="00FB483D"/>
    <w:rsid w:val="00FB7EF0"/>
    <w:rsid w:val="00FC2EE8"/>
    <w:rsid w:val="00FC3E6E"/>
    <w:rsid w:val="00FC5F7E"/>
    <w:rsid w:val="00FD1DC4"/>
    <w:rsid w:val="00FE13B1"/>
    <w:rsid w:val="00FE21AA"/>
    <w:rsid w:val="00FE3DBB"/>
    <w:rsid w:val="00FF6A59"/>
    <w:rsid w:val="09E986F7"/>
    <w:rsid w:val="0B1E0542"/>
    <w:rsid w:val="0E6BE7CB"/>
    <w:rsid w:val="13FF7AA2"/>
    <w:rsid w:val="1B5360F2"/>
    <w:rsid w:val="29EA24D1"/>
    <w:rsid w:val="31FC2296"/>
    <w:rsid w:val="398E15C3"/>
    <w:rsid w:val="401E83D4"/>
    <w:rsid w:val="4D5C705F"/>
    <w:rsid w:val="4EF39A82"/>
    <w:rsid w:val="5A5AE191"/>
    <w:rsid w:val="5B3E8ED1"/>
    <w:rsid w:val="5D9B3778"/>
    <w:rsid w:val="62FD3D05"/>
    <w:rsid w:val="657C43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7616"/>
  <w15:chartTrackingRefBased/>
  <w15:docId w15:val="{E5051C47-7E2B-4385-B578-37DC6D13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6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C6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C66D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C66D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C66D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C66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66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66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66D9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66D98"/>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C66D98"/>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C66D98"/>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C66D98"/>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C66D98"/>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C66D9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66D9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66D9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66D98"/>
    <w:rPr>
      <w:rFonts w:eastAsiaTheme="majorEastAsia" w:cstheme="majorBidi"/>
      <w:color w:val="272727" w:themeColor="text1" w:themeTint="D8"/>
    </w:rPr>
  </w:style>
  <w:style w:type="paragraph" w:styleId="Ttulo">
    <w:name w:val="Title"/>
    <w:basedOn w:val="Normal"/>
    <w:next w:val="Normal"/>
    <w:link w:val="TtuloCarter"/>
    <w:uiPriority w:val="10"/>
    <w:qFormat/>
    <w:rsid w:val="00C6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66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66D9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66D9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66D9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66D98"/>
    <w:rPr>
      <w:i/>
      <w:iCs/>
      <w:color w:val="404040" w:themeColor="text1" w:themeTint="BF"/>
    </w:rPr>
  </w:style>
  <w:style w:type="paragraph" w:styleId="PargrafodaLista">
    <w:name w:val="List Paragraph"/>
    <w:basedOn w:val="Normal"/>
    <w:uiPriority w:val="34"/>
    <w:qFormat/>
    <w:rsid w:val="00C66D98"/>
    <w:pPr>
      <w:ind w:left="720"/>
      <w:contextualSpacing/>
    </w:pPr>
  </w:style>
  <w:style w:type="character" w:styleId="nfaseIntensa">
    <w:name w:val="Intense Emphasis"/>
    <w:basedOn w:val="Tipodeletrapredefinidodopargrafo"/>
    <w:uiPriority w:val="21"/>
    <w:qFormat/>
    <w:rsid w:val="00C66D98"/>
    <w:rPr>
      <w:i/>
      <w:iCs/>
      <w:color w:val="0F4761" w:themeColor="accent1" w:themeShade="BF"/>
    </w:rPr>
  </w:style>
  <w:style w:type="paragraph" w:styleId="CitaoIntensa">
    <w:name w:val="Intense Quote"/>
    <w:basedOn w:val="Normal"/>
    <w:next w:val="Normal"/>
    <w:link w:val="CitaoIntensaCarter"/>
    <w:uiPriority w:val="30"/>
    <w:qFormat/>
    <w:rsid w:val="00C6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C66D98"/>
    <w:rPr>
      <w:i/>
      <w:iCs/>
      <w:color w:val="0F4761" w:themeColor="accent1" w:themeShade="BF"/>
    </w:rPr>
  </w:style>
  <w:style w:type="character" w:styleId="RefernciaIntensa">
    <w:name w:val="Intense Reference"/>
    <w:basedOn w:val="Tipodeletrapredefinidodopargrafo"/>
    <w:uiPriority w:val="32"/>
    <w:qFormat/>
    <w:rsid w:val="00C66D98"/>
    <w:rPr>
      <w:b/>
      <w:bCs/>
      <w:smallCaps/>
      <w:color w:val="0F4761" w:themeColor="accent1" w:themeShade="BF"/>
      <w:spacing w:val="5"/>
    </w:rPr>
  </w:style>
  <w:style w:type="paragraph" w:styleId="Cabealho">
    <w:name w:val="header"/>
    <w:basedOn w:val="Normal"/>
    <w:link w:val="CabealhoCarter"/>
    <w:uiPriority w:val="99"/>
    <w:unhideWhenUsed/>
    <w:rsid w:val="00C66D98"/>
    <w:pPr>
      <w:tabs>
        <w:tab w:val="center" w:pos="4419"/>
        <w:tab w:val="right" w:pos="8838"/>
      </w:tabs>
      <w:spacing w:after="0" w:line="240" w:lineRule="auto"/>
    </w:pPr>
  </w:style>
  <w:style w:type="character" w:customStyle="1" w:styleId="CabealhoCarter">
    <w:name w:val="Cabeçalho Caráter"/>
    <w:basedOn w:val="Tipodeletrapredefinidodopargrafo"/>
    <w:link w:val="Cabealho"/>
    <w:uiPriority w:val="99"/>
    <w:rsid w:val="00C66D98"/>
  </w:style>
  <w:style w:type="paragraph" w:styleId="Rodap">
    <w:name w:val="footer"/>
    <w:basedOn w:val="Normal"/>
    <w:link w:val="RodapCarter"/>
    <w:uiPriority w:val="99"/>
    <w:unhideWhenUsed/>
    <w:rsid w:val="00C66D98"/>
    <w:pPr>
      <w:tabs>
        <w:tab w:val="center" w:pos="4419"/>
        <w:tab w:val="right" w:pos="8838"/>
      </w:tabs>
      <w:spacing w:after="0" w:line="240" w:lineRule="auto"/>
    </w:pPr>
  </w:style>
  <w:style w:type="character" w:customStyle="1" w:styleId="RodapCarter">
    <w:name w:val="Rodapé Caráter"/>
    <w:basedOn w:val="Tipodeletrapredefinidodopargrafo"/>
    <w:link w:val="Rodap"/>
    <w:uiPriority w:val="99"/>
    <w:rsid w:val="00C66D98"/>
  </w:style>
  <w:style w:type="character" w:styleId="Hiperligao">
    <w:name w:val="Hyperlink"/>
    <w:basedOn w:val="Tipodeletrapredefinidodopargrafo"/>
    <w:uiPriority w:val="99"/>
    <w:unhideWhenUsed/>
    <w:rsid w:val="002E2AE9"/>
    <w:rPr>
      <w:color w:val="467886" w:themeColor="hyperlink"/>
      <w:u w:val="single"/>
    </w:rPr>
  </w:style>
  <w:style w:type="character" w:styleId="MenoNoResolvida">
    <w:name w:val="Unresolved Mention"/>
    <w:basedOn w:val="Tipodeletrapredefinidodopargrafo"/>
    <w:uiPriority w:val="99"/>
    <w:semiHidden/>
    <w:unhideWhenUsed/>
    <w:rsid w:val="002E2AE9"/>
    <w:rPr>
      <w:color w:val="605E5C"/>
      <w:shd w:val="clear" w:color="auto" w:fill="E1DFDD"/>
    </w:rPr>
  </w:style>
  <w:style w:type="character" w:styleId="Refdecomentrio">
    <w:name w:val="annotation reference"/>
    <w:basedOn w:val="Tipodeletrapredefinidodopargrafo"/>
    <w:uiPriority w:val="99"/>
    <w:semiHidden/>
    <w:unhideWhenUsed/>
    <w:rsid w:val="002E2AE9"/>
    <w:rPr>
      <w:sz w:val="16"/>
      <w:szCs w:val="16"/>
    </w:rPr>
  </w:style>
  <w:style w:type="paragraph" w:styleId="Textodecomentrio">
    <w:name w:val="annotation text"/>
    <w:basedOn w:val="Normal"/>
    <w:link w:val="TextodecomentrioCarter"/>
    <w:uiPriority w:val="99"/>
    <w:unhideWhenUsed/>
    <w:rsid w:val="002E2AE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2E2AE9"/>
    <w:rPr>
      <w:sz w:val="20"/>
      <w:szCs w:val="20"/>
    </w:rPr>
  </w:style>
  <w:style w:type="paragraph" w:styleId="Assuntodecomentrio">
    <w:name w:val="annotation subject"/>
    <w:basedOn w:val="Textodecomentrio"/>
    <w:next w:val="Textodecomentrio"/>
    <w:link w:val="AssuntodecomentrioCarter"/>
    <w:uiPriority w:val="99"/>
    <w:semiHidden/>
    <w:unhideWhenUsed/>
    <w:rsid w:val="002E2AE9"/>
    <w:rPr>
      <w:b/>
      <w:bCs/>
    </w:rPr>
  </w:style>
  <w:style w:type="character" w:customStyle="1" w:styleId="AssuntodecomentrioCarter">
    <w:name w:val="Assunto de comentário Caráter"/>
    <w:basedOn w:val="TextodecomentrioCarter"/>
    <w:link w:val="Assuntodecomentrio"/>
    <w:uiPriority w:val="99"/>
    <w:semiHidden/>
    <w:rsid w:val="002E2AE9"/>
    <w:rPr>
      <w:b/>
      <w:bCs/>
      <w:sz w:val="20"/>
      <w:szCs w:val="20"/>
    </w:rPr>
  </w:style>
  <w:style w:type="paragraph" w:styleId="Reviso">
    <w:name w:val="Revision"/>
    <w:hidden/>
    <w:uiPriority w:val="99"/>
    <w:semiHidden/>
    <w:rsid w:val="00167F99"/>
    <w:pPr>
      <w:spacing w:after="0" w:line="240" w:lineRule="auto"/>
    </w:pPr>
  </w:style>
  <w:style w:type="character" w:styleId="Hiperligaovisitada">
    <w:name w:val="FollowedHyperlink"/>
    <w:basedOn w:val="Tipodeletrapredefinidodopargrafo"/>
    <w:uiPriority w:val="99"/>
    <w:semiHidden/>
    <w:unhideWhenUsed/>
    <w:rsid w:val="006445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quel.rogeiro@lift.com.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utorfinancas.pt/sobre-doutor-financ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utorfinancas.pt/creditos/credito-habitacao/guia-de-financiamento-para-a-nova-casa-da-pre-aprovacao-aos-segur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outorfinancas.p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guel.carrilho@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430281-fad7-436a-b902-e011d6f73fb0">
      <Terms xmlns="http://schemas.microsoft.com/office/infopath/2007/PartnerControls"/>
    </lcf76f155ced4ddcb4097134ff3c332f>
    <TaxCatchAll xmlns="758c6338-9cc2-440b-9e2c-ab0d12a0ff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E2CC265F5C2334985E4B3FC6F05D8EC" ma:contentTypeVersion="11" ma:contentTypeDescription="Criar um novo documento." ma:contentTypeScope="" ma:versionID="3e0c0f55a9c5d0c1b4c732b1ee1ee6dc">
  <xsd:schema xmlns:xsd="http://www.w3.org/2001/XMLSchema" xmlns:xs="http://www.w3.org/2001/XMLSchema" xmlns:p="http://schemas.microsoft.com/office/2006/metadata/properties" xmlns:ns2="5b430281-fad7-436a-b902-e011d6f73fb0" xmlns:ns3="758c6338-9cc2-440b-9e2c-ab0d12a0ff25" targetNamespace="http://schemas.microsoft.com/office/2006/metadata/properties" ma:root="true" ma:fieldsID="266be52e6d20fefa9b2cb8ff3e2c2dc4" ns2:_="" ns3:_="">
    <xsd:import namespace="5b430281-fad7-436a-b902-e011d6f73fb0"/>
    <xsd:import namespace="758c6338-9cc2-440b-9e2c-ab0d12a0f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30281-fad7-436a-b902-e011d6f73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c6338-9cc2-440b-9e2c-ab0d12a0ff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e6d457-6d3e-4a1d-bab7-9564f40c69ee}" ma:internalName="TaxCatchAll" ma:showField="CatchAllData" ma:web="758c6338-9cc2-440b-9e2c-ab0d12a0f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C5965-E003-404F-A887-C3ED02F3D5D5}">
  <ds:schemaRefs>
    <ds:schemaRef ds:uri="http://schemas.microsoft.com/office/2006/metadata/properties"/>
    <ds:schemaRef ds:uri="http://schemas.microsoft.com/office/infopath/2007/PartnerControls"/>
    <ds:schemaRef ds:uri="5b430281-fad7-436a-b902-e011d6f73fb0"/>
    <ds:schemaRef ds:uri="758c6338-9cc2-440b-9e2c-ab0d12a0ff25"/>
  </ds:schemaRefs>
</ds:datastoreItem>
</file>

<file path=customXml/itemProps2.xml><?xml version="1.0" encoding="utf-8"?>
<ds:datastoreItem xmlns:ds="http://schemas.openxmlformats.org/officeDocument/2006/customXml" ds:itemID="{330B4A6B-0C42-4D8E-97A6-8E18AB38C41A}">
  <ds:schemaRefs>
    <ds:schemaRef ds:uri="http://schemas.microsoft.com/sharepoint/v3/contenttype/forms"/>
  </ds:schemaRefs>
</ds:datastoreItem>
</file>

<file path=customXml/itemProps3.xml><?xml version="1.0" encoding="utf-8"?>
<ds:datastoreItem xmlns:ds="http://schemas.openxmlformats.org/officeDocument/2006/customXml" ds:itemID="{2CAE7453-388D-4124-A3CD-9E70FB915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30281-fad7-436a-b902-e011d6f73fb0"/>
    <ds:schemaRef ds:uri="758c6338-9cc2-440b-9e2c-ab0d12a0f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6537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Duarte</dc:creator>
  <cp:keywords/>
  <dc:description/>
  <cp:lastModifiedBy>Sara  Antunes</cp:lastModifiedBy>
  <cp:revision>2</cp:revision>
  <cp:lastPrinted>2025-11-12T10:24:00Z</cp:lastPrinted>
  <dcterms:created xsi:type="dcterms:W3CDTF">2026-09-14T07:48:00Z</dcterms:created>
  <dcterms:modified xsi:type="dcterms:W3CDTF">2026-09-14T07:48:00Z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0x010100CE2CC265F5C2334985E4B3FC6F05D8EC</vt:lpwstr>
  </property>
  <property fmtid="{D5CDD505-2E9C-101B-9397-08002B2CF9AE}" pid="3" name="MediaServiceImageTags">
    <vt:lpwstr/>
  </property>
</Properties>
</file>