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D220" w14:textId="41D89BD7" w:rsidR="0069460B" w:rsidRPr="0069460B" w:rsidRDefault="0069460B" w:rsidP="0025530C">
      <w:pPr>
        <w:jc w:val="center"/>
        <w:rPr>
          <w:rFonts w:ascii="Aptos Display" w:hAnsi="Aptos Display"/>
          <w:b/>
          <w:bCs/>
          <w:sz w:val="28"/>
          <w:szCs w:val="28"/>
        </w:rPr>
      </w:pPr>
      <w:r w:rsidRPr="0069460B">
        <w:rPr>
          <w:rFonts w:ascii="Aptos Display" w:hAnsi="Aptos Display"/>
          <w:b/>
          <w:bCs/>
          <w:sz w:val="28"/>
          <w:szCs w:val="28"/>
        </w:rPr>
        <w:t>Pracownicy szybciej oswajają AI niż organizacje, w których pracują</w:t>
      </w:r>
    </w:p>
    <w:p w14:paraId="5D0F0E09"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Aż 76,6% uczestników badania HRK korzysta ze sztucznej inteligencji w pracy regularnie lub od czasu do czasu. Praktykom rozwijanym przez użytkowników nie zawsze towarzyszą zatwierdzone narzędzia, szkolenia, zasady bezpieczeństwa i dostęp do wsparcia. W porównywalnej grupie 192 aktywnych zawodowo respondentów Indeks Dojrzałości Użytkownika AI wyniósł 64/100, a Indeks Gotowości Organizacji do AI – 45/100. </w:t>
      </w:r>
    </w:p>
    <w:p w14:paraId="259A4524"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Sztuczna inteligencja weszła do codziennej pracy szybciej niż formalne programy transformacji. W badaniu HRK 48,6% uczestników deklaruje, że regularnie korzysta z AI w pracy, a kolejne 28% sięga po nią od czasu do czasu. Łącznie jest to 76,6% badanej grupy. </w:t>
      </w:r>
    </w:p>
    <w:p w14:paraId="2A5B2FB3"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Indeks Dojrzałości Użytkownika AI, obliczony dla całej próby 282 respondentów, osiągnął 63 punkty na 100. Indeks Gotowości Organizacji do AI, oparty na odpowiedziach 192 osób aktywnych zawodowo, wyniósł 45 punktów. Ponieważ wskaźniki te mają różne podstawy, raport pokazuje również porównanie wykonane wyłącznie w grupie 192 respondentów objętych częścią organizacyjną badania. W tej grupie dojrzałość użytkowników wyniosła średnio 64/100, a gotowość miejsc pracy – 45/100, co oznacza różnicę około 19 punktów. </w:t>
      </w:r>
    </w:p>
    <w:p w14:paraId="0741B3A8"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Każdy z tych 192 respondentów odpowiadał na pytania dotyczące organizacji będącej jego własnym miejscem pracy. Uczestnicy badania pracują w różnych organizacjach.  </w:t>
      </w:r>
    </w:p>
    <w:p w14:paraId="7E95EE66"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AI weszła do codziennej pracy </w:t>
      </w:r>
    </w:p>
    <w:p w14:paraId="58E7AC00"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Raport HRK „AI już pracuje. Czy firmy nadążają?” pokazuje, że przynajmniej w badanej grupie sztuczna inteligencja przestała być rozwiązaniem wykorzystywanym wyłącznie w pilotażach lub przy wyjątkowych projektach. Wśród aktywnych użytkowników AI 51,9% sięga po narzędzia kilka razy dziennie, a 16,2% – codziennie lub prawie codziennie. </w:t>
      </w:r>
    </w:p>
    <w:p w14:paraId="4ABE5A09"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Najczęstsze zastosowania dotyczą pracy z informacją i treścią. Uczestnicy wykorzystują AI przede wszystkim do wyszukiwania informacji i prowadzenia </w:t>
      </w:r>
      <w:proofErr w:type="spellStart"/>
      <w:r w:rsidRPr="0069460B">
        <w:rPr>
          <w:rFonts w:ascii="Aptos Display" w:hAnsi="Aptos Display"/>
        </w:rPr>
        <w:t>researchu</w:t>
      </w:r>
      <w:proofErr w:type="spellEnd"/>
      <w:r w:rsidRPr="0069460B">
        <w:rPr>
          <w:rFonts w:ascii="Aptos Display" w:hAnsi="Aptos Display"/>
        </w:rPr>
        <w:t>, pisania, redagowania i streszczania materiałów oraz analizowania danych i formułowania wniosków. Technologia wspiera więc zadania wykonywane każdego dnia: przyspiesza przygotowanie pierwszej wersji materiału, porządkuje informacje i pozwala sprawniej tworzyć warianty rozwiązań. </w:t>
      </w:r>
    </w:p>
    <w:p w14:paraId="0390E38A"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Sam fakt korzystania z AI nie oznacza jednak jeszcze wysokiego poziomu dojrzałości. Indeks Dojrzałości Użytkownika AI uwzględnia nie tylko częstotliwość używania narzędzi, lecz także zakres zastosowań, samoocenę zaawansowania, weryfikowanie rezultatów i deklarowaną oszczędność czasu. Wynik 63/100 dla całej badanej grupy odpowiada poziomowi rozwijającemu się: AI jest wyraźnie obecna w pracy uczestników, ale sposoby jej wykorzystywania pozostają zróżnicowane. </w:t>
      </w:r>
    </w:p>
    <w:p w14:paraId="6875D78F" w14:textId="67ADBA9A" w:rsidR="0069460B" w:rsidRPr="0069460B" w:rsidRDefault="0069460B" w:rsidP="0069460B">
      <w:pPr>
        <w:spacing w:line="276" w:lineRule="auto"/>
        <w:jc w:val="both"/>
        <w:rPr>
          <w:rFonts w:ascii="Aptos Display" w:hAnsi="Aptos Display"/>
        </w:rPr>
      </w:pPr>
      <w:r w:rsidRPr="0069460B">
        <w:rPr>
          <w:rFonts w:ascii="Aptos Display" w:hAnsi="Aptos Display"/>
          <w:noProof/>
        </w:rPr>
        <w:lastRenderedPageBreak/>
        <w:drawing>
          <wp:inline distT="0" distB="0" distL="0" distR="0" wp14:anchorId="3E9F8F82" wp14:editId="343EC8E5">
            <wp:extent cx="5753100" cy="3352800"/>
            <wp:effectExtent l="0" t="0" r="0" b="0"/>
            <wp:docPr id="93586457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352800"/>
                    </a:xfrm>
                    <a:prstGeom prst="rect">
                      <a:avLst/>
                    </a:prstGeom>
                    <a:noFill/>
                    <a:ln>
                      <a:noFill/>
                    </a:ln>
                  </pic:spPr>
                </pic:pic>
              </a:graphicData>
            </a:graphic>
          </wp:inline>
        </w:drawing>
      </w:r>
      <w:r w:rsidRPr="0069460B">
        <w:rPr>
          <w:rFonts w:ascii="Aptos Display" w:hAnsi="Aptos Display"/>
        </w:rPr>
        <w:t> </w:t>
      </w:r>
    </w:p>
    <w:p w14:paraId="0BDB6C28"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 </w:t>
      </w:r>
      <w:r w:rsidRPr="0069460B">
        <w:rPr>
          <w:rFonts w:ascii="Aptos Display" w:hAnsi="Aptos Display"/>
          <w:i/>
          <w:iCs/>
        </w:rPr>
        <w:t>AI wprowadza do organizacji zmianę znacznie głębszą niż automatyzacja pojedynczych zadań. Przyspiesza dostęp do informacji, ułatwia tworzenie scenariuszy i wspiera podejmowanie decyzji. Jednocześnie zmienia podział obowiązków, oczekiwania wobec pracowników oraz sposób rozumienia odpowiedzialności. Z perspektywy zarządu najważniejsze nie jest więc samo udostępnienie kolejnego narzędzia, ale przeprojektowanie pracy w taki sposób, aby AI tworzyła realną wartość biznesową, a jej wykorzystanie było bezpieczne i powtarzalne</w:t>
      </w:r>
      <w:r w:rsidRPr="0069460B">
        <w:rPr>
          <w:rFonts w:ascii="Aptos Display" w:hAnsi="Aptos Display"/>
        </w:rPr>
        <w:t xml:space="preserve"> – mówi Piotr Mazurkiewicz, Partner Zarządzający HRK S.A. </w:t>
      </w:r>
    </w:p>
    <w:p w14:paraId="7BD100E3"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Pracownicy korzystają z AI częściej niż pozytywnie oceniają przygotowanie swoich miejsc pracy </w:t>
      </w:r>
    </w:p>
    <w:p w14:paraId="1C1BF3D0"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Wśród 192 respondentów objętych częścią organizacyjną badania 80,7% deklaruje korzystanie z AI regularnie lub od czasu do czasu. Jednocześnie 34,9% ocenia organizację, w której pracuje, jako raczej dobrze lub bardzo dobrze przygotowaną do bezpiecznego i efektywnego wykorzystywania tej technologii. </w:t>
      </w:r>
    </w:p>
    <w:p w14:paraId="7765230A"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Różnica ta pokazuje napięcie pomiędzy obecnością AI w codziennych zadaniach a warunkami organizacyjnymi potrzebnymi do jej odpowiedzialnego stosowania. Pracownik może samodzielnie znaleźć narzędzie i wykorzystać je do </w:t>
      </w:r>
      <w:proofErr w:type="spellStart"/>
      <w:r w:rsidRPr="0069460B">
        <w:rPr>
          <w:rFonts w:ascii="Aptos Display" w:hAnsi="Aptos Display"/>
        </w:rPr>
        <w:t>researchu</w:t>
      </w:r>
      <w:proofErr w:type="spellEnd"/>
      <w:r w:rsidRPr="0069460B">
        <w:rPr>
          <w:rFonts w:ascii="Aptos Display" w:hAnsi="Aptos Display"/>
        </w:rPr>
        <w:t>, analizy lub redagowania treści. Organizacja musi jednak zadbać również o ochronę danych, jakość rezultatów, dobór zatwierdzonych rozwiązań, odpowiedzialność za końcową decyzję oraz możliwość skalowania sprawdzonych zastosowań. </w:t>
      </w:r>
    </w:p>
    <w:p w14:paraId="7DFE2479"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Indeks Gotowości Organizacji do AI wyniósł 45/100, co odpowiada poziomowi wschodzącemu. W miejscach pracy opisywanych przez respondentów widoczne są pierwsze uporządkowane praktyki, ale często nie tworzą one jeszcze spójnego systemu. Wskaźnik nie jest obiektywną oceną przedsiębiorstw ani audytem technologicznym. Odzwierciedla doświadczenia pracowników w pięciu obszarach: politykach i zasadach, działaniach wdrożeniowych, edukacji, dostępnym wsparciu oraz ogólnej ocenie przygotowania miejsca pracy. </w:t>
      </w:r>
    </w:p>
    <w:p w14:paraId="19CA4140"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Organizacje częściej tworzą zasady niż zapewniają praktyczne wsparcie </w:t>
      </w:r>
    </w:p>
    <w:p w14:paraId="7F36017F"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lastRenderedPageBreak/>
        <w:t>Najlepiej rozwiniętym elementem gotowości organizacyjnej są polityki i zasady, które osiągnęły 62/100. Znacznie słabiej wypadły faktyczne działania wdrożeniowe – 34/100 – oraz zakres wsparcia oferowanego pracownikom – 32/100. </w:t>
      </w:r>
    </w:p>
    <w:p w14:paraId="55E46FC1"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Wśród 192 respondentów: </w:t>
      </w:r>
    </w:p>
    <w:p w14:paraId="37A01A74" w14:textId="77777777" w:rsidR="0069460B" w:rsidRPr="0069460B" w:rsidRDefault="0069460B" w:rsidP="0069460B">
      <w:pPr>
        <w:numPr>
          <w:ilvl w:val="0"/>
          <w:numId w:val="15"/>
        </w:numPr>
        <w:spacing w:line="276" w:lineRule="auto"/>
        <w:jc w:val="both"/>
        <w:rPr>
          <w:rFonts w:ascii="Aptos Display" w:hAnsi="Aptos Display"/>
        </w:rPr>
      </w:pPr>
      <w:r w:rsidRPr="0069460B">
        <w:rPr>
          <w:rFonts w:ascii="Aptos Display" w:hAnsi="Aptos Display"/>
        </w:rPr>
        <w:t>35,4% wskazuje, że w organizacji, dla której pracuje, obowiązuje formalna polityka lub procedury dotyczące AI; </w:t>
      </w:r>
    </w:p>
    <w:p w14:paraId="142397BB" w14:textId="77777777" w:rsidR="0069460B" w:rsidRPr="0069460B" w:rsidRDefault="0069460B" w:rsidP="0069460B">
      <w:pPr>
        <w:numPr>
          <w:ilvl w:val="0"/>
          <w:numId w:val="16"/>
        </w:numPr>
        <w:spacing w:line="276" w:lineRule="auto"/>
        <w:jc w:val="both"/>
        <w:rPr>
          <w:rFonts w:ascii="Aptos Display" w:hAnsi="Aptos Display"/>
        </w:rPr>
      </w:pPr>
      <w:r w:rsidRPr="0069460B">
        <w:rPr>
          <w:rFonts w:ascii="Aptos Display" w:hAnsi="Aptos Display"/>
        </w:rPr>
        <w:t>27,1% mówi o funkcjonowaniu nieformalnych wytycznych; </w:t>
      </w:r>
    </w:p>
    <w:p w14:paraId="34808E44" w14:textId="77777777" w:rsidR="0069460B" w:rsidRPr="0069460B" w:rsidRDefault="0069460B" w:rsidP="0069460B">
      <w:pPr>
        <w:numPr>
          <w:ilvl w:val="0"/>
          <w:numId w:val="17"/>
        </w:numPr>
        <w:spacing w:line="276" w:lineRule="auto"/>
        <w:jc w:val="both"/>
        <w:rPr>
          <w:rFonts w:ascii="Aptos Display" w:hAnsi="Aptos Display"/>
        </w:rPr>
      </w:pPr>
      <w:r w:rsidRPr="0069460B">
        <w:rPr>
          <w:rFonts w:ascii="Aptos Display" w:hAnsi="Aptos Display"/>
        </w:rPr>
        <w:t>4,7% deklaruje, że odpowiednie zasady są przygotowywane; </w:t>
      </w:r>
    </w:p>
    <w:p w14:paraId="42DE9C6C" w14:textId="77777777" w:rsidR="0069460B" w:rsidRPr="0069460B" w:rsidRDefault="0069460B" w:rsidP="0069460B">
      <w:pPr>
        <w:numPr>
          <w:ilvl w:val="0"/>
          <w:numId w:val="18"/>
        </w:numPr>
        <w:spacing w:line="276" w:lineRule="auto"/>
        <w:jc w:val="both"/>
        <w:rPr>
          <w:rFonts w:ascii="Aptos Display" w:hAnsi="Aptos Display"/>
        </w:rPr>
      </w:pPr>
      <w:r w:rsidRPr="0069460B">
        <w:rPr>
          <w:rFonts w:ascii="Aptos Display" w:hAnsi="Aptos Display"/>
        </w:rPr>
        <w:t>17,2% wskazuje, że w ich miejscu pracy nie ma żadnych zasad; </w:t>
      </w:r>
    </w:p>
    <w:p w14:paraId="7123AD47" w14:textId="77777777" w:rsidR="0069460B" w:rsidRPr="0069460B" w:rsidRDefault="0069460B" w:rsidP="0069460B">
      <w:pPr>
        <w:numPr>
          <w:ilvl w:val="0"/>
          <w:numId w:val="19"/>
        </w:numPr>
        <w:spacing w:line="276" w:lineRule="auto"/>
        <w:jc w:val="both"/>
        <w:rPr>
          <w:rFonts w:ascii="Aptos Display" w:hAnsi="Aptos Display"/>
        </w:rPr>
      </w:pPr>
      <w:r w:rsidRPr="0069460B">
        <w:rPr>
          <w:rFonts w:ascii="Aptos Display" w:hAnsi="Aptos Display"/>
        </w:rPr>
        <w:t>15,6% nie wie, czy takie regulacje istnieją. </w:t>
      </w:r>
    </w:p>
    <w:p w14:paraId="00BB7907"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Formalizacja korzystania z AI już się zatem rozpoczęła. Sama polityka nie wystarcza jednak, jeżeli pracownik nie ma dostępu do zatwierdzonego narzędzia, praktycznych instrukcji, szkoleń oraz osoby, z którą może skonsultować zastosowanie budzące wątpliwości. </w:t>
      </w:r>
    </w:p>
    <w:p w14:paraId="331EBB50"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Najczęściej wskazywanym działaniem jest udostępnianie zatwierdzonych narzędzi AI – taką odpowiedź wybrało 46,4% respondentów. Komunikowanie zasad bezpieczeństwa danych wskazało 32,8%, wdrażanie AI do procesów wewnętrznych – 32,3%, a szkolenie pracowników – 30,7%. Jednocześnie 22,9% badanych objętych tą częścią ankiety ocenia, że organizacja, w której pracuje, nie podejmuje żadnych działań związanych z AI. </w:t>
      </w:r>
    </w:p>
    <w:p w14:paraId="3D04C7A0" w14:textId="5E59CBB5" w:rsidR="0069460B" w:rsidRPr="0069460B" w:rsidRDefault="0069460B" w:rsidP="0069460B">
      <w:pPr>
        <w:spacing w:line="276" w:lineRule="auto"/>
        <w:jc w:val="both"/>
        <w:rPr>
          <w:rFonts w:ascii="Aptos Display" w:hAnsi="Aptos Display"/>
          <w:b/>
          <w:bCs/>
        </w:rPr>
      </w:pPr>
      <w:r w:rsidRPr="0069460B">
        <w:rPr>
          <w:rFonts w:ascii="Aptos Display" w:hAnsi="Aptos Display"/>
          <w:b/>
          <w:bCs/>
          <w:noProof/>
        </w:rPr>
        <w:drawing>
          <wp:inline distT="0" distB="0" distL="0" distR="0" wp14:anchorId="0A5148D2" wp14:editId="20EDD039">
            <wp:extent cx="5753100" cy="3314700"/>
            <wp:effectExtent l="0" t="0" r="0" b="0"/>
            <wp:docPr id="180198925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314700"/>
                    </a:xfrm>
                    <a:prstGeom prst="rect">
                      <a:avLst/>
                    </a:prstGeom>
                    <a:noFill/>
                    <a:ln>
                      <a:noFill/>
                    </a:ln>
                  </pic:spPr>
                </pic:pic>
              </a:graphicData>
            </a:graphic>
          </wp:inline>
        </w:drawing>
      </w:r>
      <w:r w:rsidRPr="0069460B">
        <w:rPr>
          <w:rFonts w:ascii="Aptos Display" w:hAnsi="Aptos Display"/>
          <w:b/>
          <w:bCs/>
        </w:rPr>
        <w:t> </w:t>
      </w:r>
    </w:p>
    <w:p w14:paraId="7B6B291D"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Oddolna adopcja: źródło innowacji i ryzyka </w:t>
      </w:r>
    </w:p>
    <w:p w14:paraId="591539EA"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W grupie 192 aktywnych zawodowo respondentów 32,3% znalazło się w obszarze nazwanym w raporcie „strefą oddolnej adopcji”. Oznacza to, że ich indywidualna dojrzałość korzystania z AI osiągnęła </w:t>
      </w:r>
      <w:r w:rsidRPr="0069460B">
        <w:rPr>
          <w:rFonts w:ascii="Aptos Display" w:hAnsi="Aptos Display"/>
        </w:rPr>
        <w:lastRenderedPageBreak/>
        <w:t>co najmniej 50 punktów, podczas gdy oceniana przez nich gotowość miejsca pracy pozostawała poniżej tego poziomu. </w:t>
      </w:r>
    </w:p>
    <w:p w14:paraId="1E5BB3EE"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Wynik nie oznacza, że co trzeci pracownik w Polsce wyprzedził swojego pracodawcę. Pokazuje natomiast, że w istotnej części badanej grupy praktyki indywidualne rozwijają się szybciej niż otoczenie organizacyjne, które powinno je wspierać i porządkować. </w:t>
      </w:r>
    </w:p>
    <w:p w14:paraId="3F1276D8"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Oddolna adopcja może być źródłem innowacji. Pracownicy najlepiej znający własne zadania często jako pierwsi dostrzegają, gdzie AI może skrócić czas pracy, ograniczyć liczbę powtarzalnych czynności lub poprawić dostęp do informacji. Bez wspólnych zasad ta sama aktywność może jednak prowadzić do powstania nieformalnego obiegu narzędzi, określanego jako </w:t>
      </w:r>
      <w:proofErr w:type="spellStart"/>
      <w:r w:rsidRPr="0069460B">
        <w:rPr>
          <w:rFonts w:ascii="Aptos Display" w:hAnsi="Aptos Display"/>
        </w:rPr>
        <w:t>shadow</w:t>
      </w:r>
      <w:proofErr w:type="spellEnd"/>
      <w:r w:rsidRPr="0069460B">
        <w:rPr>
          <w:rFonts w:ascii="Aptos Display" w:hAnsi="Aptos Display"/>
        </w:rPr>
        <w:t xml:space="preserve"> AI. </w:t>
      </w:r>
    </w:p>
    <w:p w14:paraId="42661DF3"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Organizacja może wówczas nie wiedzieć, z jakich aplikacji korzystają pracownicy, jakie dane są do nich przekazywane, w jaki sposób sprawdzane są odpowiedzi oraz kto odpowiada za rezultat. Ryzyko obejmuje nie tylko ochronę informacji, lecz także błędne lub nieaktualne treści, niespójne standardy jakości, problemy z prawami do przygotowanych materiałów, dublowanie licencji i trudność w ocenie efektu biznesowego. </w:t>
      </w:r>
    </w:p>
    <w:p w14:paraId="6297D92E"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 </w:t>
      </w:r>
      <w:r w:rsidRPr="0069460B">
        <w:rPr>
          <w:rFonts w:ascii="Aptos Display" w:hAnsi="Aptos Display"/>
          <w:i/>
          <w:iCs/>
        </w:rPr>
        <w:t>Całkowity zakaz korzystania z AI nie rozwiązuje problemu, jeżeli technologia odpowiada na realne potrzeby pracowników. Może jedynie przenieść jej wykorzystanie poza oficjalny obieg organizacji. Zadaniem liderów jest rozpoznanie wartościowych zastosowań, określenie granic i stworzenie warunków, w których można bezpiecznie eksperymentować. Dojrzałość technologiczna lidera nie oznacza znajomości każdej aplikacji. Ważniejsza jest umiejętność oceny potencjału, ryzyka oraz konsekwencji podejmowanych decyzji</w:t>
      </w:r>
      <w:r w:rsidRPr="0069460B">
        <w:rPr>
          <w:rFonts w:ascii="Aptos Display" w:hAnsi="Aptos Display"/>
        </w:rPr>
        <w:t xml:space="preserve"> – podkreśla Piotr Mazurkiewicz. </w:t>
      </w:r>
    </w:p>
    <w:p w14:paraId="767394BF" w14:textId="2538DB90" w:rsidR="0069460B" w:rsidRPr="0069460B" w:rsidRDefault="0069460B" w:rsidP="0069460B">
      <w:pPr>
        <w:spacing w:line="276" w:lineRule="auto"/>
        <w:jc w:val="both"/>
        <w:rPr>
          <w:rFonts w:ascii="Aptos Display" w:hAnsi="Aptos Display"/>
          <w:b/>
          <w:bCs/>
        </w:rPr>
      </w:pPr>
      <w:r w:rsidRPr="0069460B">
        <w:rPr>
          <w:rFonts w:ascii="Aptos Display" w:hAnsi="Aptos Display"/>
          <w:b/>
          <w:bCs/>
          <w:noProof/>
        </w:rPr>
        <w:drawing>
          <wp:inline distT="0" distB="0" distL="0" distR="0" wp14:anchorId="6B63448D" wp14:editId="5A31027A">
            <wp:extent cx="5753100" cy="3604260"/>
            <wp:effectExtent l="0" t="0" r="0" b="0"/>
            <wp:docPr id="73950493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604260"/>
                    </a:xfrm>
                    <a:prstGeom prst="rect">
                      <a:avLst/>
                    </a:prstGeom>
                    <a:noFill/>
                    <a:ln>
                      <a:noFill/>
                    </a:ln>
                  </pic:spPr>
                </pic:pic>
              </a:graphicData>
            </a:graphic>
          </wp:inline>
        </w:drawing>
      </w:r>
      <w:r w:rsidRPr="0069460B">
        <w:rPr>
          <w:rFonts w:ascii="Aptos Display" w:hAnsi="Aptos Display"/>
          <w:b/>
          <w:bCs/>
        </w:rPr>
        <w:t> </w:t>
      </w:r>
    </w:p>
    <w:p w14:paraId="4B1E57D3"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Od zakupu licencji do stworzenia systemu pracy </w:t>
      </w:r>
    </w:p>
    <w:p w14:paraId="661C1DFB"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lastRenderedPageBreak/>
        <w:t>Udostępnienie pracownikom narzędzia jest początkiem wdrożenia, a nie jego zakończeniem. Dojrzałe wykorzystanie AI wymaga połączenia co najmniej sześciu elementów: jasnych zasad, zatwierdzonych rozwiązań, praktycznych zastosowań, regularnej edukacji, dostępu do wsparcia oraz mierzenia jakości i efektów. </w:t>
      </w:r>
    </w:p>
    <w:p w14:paraId="5FB70857"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Nie wszystkie organizacje muszą od razu budować rozbudowaną infrastrukturę technologiczną. Punktem wyjścia może być rozpoznanie narzędzi już wykorzystywanych przez pracowników, przygotowanie listy dopuszczonych rozwiązań, określenie zasad pracy z danymi oraz wskazanie osoby odpowiedzialnej za konsultowanie zastosowań obarczonych większym ryzykiem. </w:t>
      </w:r>
    </w:p>
    <w:p w14:paraId="0BC7C980"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Firmy powinny również odróżniać aktywność od wartości. Wzrost liczby użytkowników nie przesądza o poprawie efektywności. Efekty AI warto oceniać na poziomie konkretnych procesów, porównując czas realizacji, jakość rezultatu, liczbę koniecznych poprawek, ryzyko błędu oraz sposób wykorzystania odzyskanego czasu. </w:t>
      </w:r>
    </w:p>
    <w:p w14:paraId="0A89E974"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Pięć pytań, które zarząd powinien zadać już teraz </w:t>
      </w:r>
    </w:p>
    <w:p w14:paraId="67CDB239" w14:textId="77777777" w:rsidR="0069460B" w:rsidRPr="0069460B" w:rsidRDefault="0069460B" w:rsidP="0069460B">
      <w:pPr>
        <w:numPr>
          <w:ilvl w:val="0"/>
          <w:numId w:val="20"/>
        </w:numPr>
        <w:spacing w:line="276" w:lineRule="auto"/>
        <w:jc w:val="both"/>
        <w:rPr>
          <w:rFonts w:ascii="Aptos Display" w:hAnsi="Aptos Display"/>
        </w:rPr>
      </w:pPr>
      <w:r w:rsidRPr="0069460B">
        <w:rPr>
          <w:rFonts w:ascii="Aptos Display" w:hAnsi="Aptos Display"/>
        </w:rPr>
        <w:t>W których procesach pracownicy już korzystają z AI i jakie potrzeby próbują w ten sposób zaspokoić? </w:t>
      </w:r>
    </w:p>
    <w:p w14:paraId="593B1F8E" w14:textId="77777777" w:rsidR="0069460B" w:rsidRPr="0069460B" w:rsidRDefault="0069460B" w:rsidP="0069460B">
      <w:pPr>
        <w:numPr>
          <w:ilvl w:val="0"/>
          <w:numId w:val="21"/>
        </w:numPr>
        <w:spacing w:line="276" w:lineRule="auto"/>
        <w:jc w:val="both"/>
        <w:rPr>
          <w:rFonts w:ascii="Aptos Display" w:hAnsi="Aptos Display"/>
        </w:rPr>
      </w:pPr>
      <w:r w:rsidRPr="0069460B">
        <w:rPr>
          <w:rFonts w:ascii="Aptos Display" w:hAnsi="Aptos Display"/>
        </w:rPr>
        <w:t>Czy mają dostęp do zatwierdzonych narzędzi i wiedzą, jakich danych nie wolno do nich wprowadzać? </w:t>
      </w:r>
    </w:p>
    <w:p w14:paraId="4C36652C" w14:textId="77777777" w:rsidR="0069460B" w:rsidRPr="0069460B" w:rsidRDefault="0069460B" w:rsidP="0069460B">
      <w:pPr>
        <w:numPr>
          <w:ilvl w:val="0"/>
          <w:numId w:val="22"/>
        </w:numPr>
        <w:spacing w:line="276" w:lineRule="auto"/>
        <w:jc w:val="both"/>
        <w:rPr>
          <w:rFonts w:ascii="Aptos Display" w:hAnsi="Aptos Display"/>
        </w:rPr>
      </w:pPr>
      <w:r w:rsidRPr="0069460B">
        <w:rPr>
          <w:rFonts w:ascii="Aptos Display" w:hAnsi="Aptos Display"/>
        </w:rPr>
        <w:t xml:space="preserve">Kto odpowiada za weryfikację rezultatu i </w:t>
      </w:r>
      <w:proofErr w:type="gramStart"/>
      <w:r w:rsidRPr="0069460B">
        <w:rPr>
          <w:rFonts w:ascii="Aptos Display" w:hAnsi="Aptos Display"/>
        </w:rPr>
        <w:t>finalną</w:t>
      </w:r>
      <w:proofErr w:type="gramEnd"/>
      <w:r w:rsidRPr="0069460B">
        <w:rPr>
          <w:rFonts w:ascii="Aptos Display" w:hAnsi="Aptos Display"/>
        </w:rPr>
        <w:t xml:space="preserve"> decyzję w procesie wspieranym przez AI? </w:t>
      </w:r>
    </w:p>
    <w:p w14:paraId="5DD439FA" w14:textId="77777777" w:rsidR="0069460B" w:rsidRPr="0069460B" w:rsidRDefault="0069460B" w:rsidP="0069460B">
      <w:pPr>
        <w:numPr>
          <w:ilvl w:val="0"/>
          <w:numId w:val="23"/>
        </w:numPr>
        <w:spacing w:line="276" w:lineRule="auto"/>
        <w:jc w:val="both"/>
        <w:rPr>
          <w:rFonts w:ascii="Aptos Display" w:hAnsi="Aptos Display"/>
        </w:rPr>
      </w:pPr>
      <w:r w:rsidRPr="0069460B">
        <w:rPr>
          <w:rFonts w:ascii="Aptos Display" w:hAnsi="Aptos Display"/>
        </w:rPr>
        <w:t>Czy edukacja jest dopasowana do konkretnych ról i dostępna również po zakończeniu pierwszego szkolenia? </w:t>
      </w:r>
    </w:p>
    <w:p w14:paraId="31C1025D" w14:textId="77777777" w:rsidR="0069460B" w:rsidRPr="0069460B" w:rsidRDefault="0069460B" w:rsidP="0069460B">
      <w:pPr>
        <w:numPr>
          <w:ilvl w:val="0"/>
          <w:numId w:val="24"/>
        </w:numPr>
        <w:spacing w:line="276" w:lineRule="auto"/>
        <w:jc w:val="both"/>
        <w:rPr>
          <w:rFonts w:ascii="Aptos Display" w:hAnsi="Aptos Display"/>
        </w:rPr>
      </w:pPr>
      <w:r w:rsidRPr="0069460B">
        <w:rPr>
          <w:rFonts w:ascii="Aptos Display" w:hAnsi="Aptos Display"/>
        </w:rPr>
        <w:t>Jak organizacja mierzy wpływ AI na czas pracy, jakość, liczbę błędów i rezultat biznesowy? </w:t>
      </w:r>
    </w:p>
    <w:p w14:paraId="54847BC1" w14:textId="546AE71D" w:rsidR="0069460B" w:rsidRPr="0069460B" w:rsidRDefault="0069460B" w:rsidP="0069460B">
      <w:pPr>
        <w:spacing w:line="276" w:lineRule="auto"/>
        <w:jc w:val="both"/>
        <w:rPr>
          <w:rFonts w:ascii="Aptos Display" w:hAnsi="Aptos Display"/>
        </w:rPr>
      </w:pPr>
      <w:r w:rsidRPr="0069460B">
        <w:rPr>
          <w:rFonts w:ascii="Aptos Display" w:hAnsi="Aptos Display"/>
        </w:rPr>
        <w:t xml:space="preserve">Raport „AI już pracuje. Czy firmy nadążają?” analizuje trzy obszary: wykorzystywanie AI przez pracowników, gotowość organizacji oraz znaczenie kompetencji AI na rynku pracy i w rekrutacji. Pełny raport jest dostępny </w:t>
      </w:r>
      <w:r w:rsidR="00C55895">
        <w:rPr>
          <w:rFonts w:ascii="Aptos Display" w:hAnsi="Aptos Display"/>
        </w:rPr>
        <w:t>na</w:t>
      </w:r>
      <w:r w:rsidRPr="0069460B">
        <w:rPr>
          <w:rFonts w:ascii="Aptos Display" w:hAnsi="Aptos Display"/>
        </w:rPr>
        <w:t xml:space="preserve">: </w:t>
      </w:r>
      <w:hyperlink r:id="rId14" w:history="1">
        <w:r w:rsidR="00C55895" w:rsidRPr="00355377">
          <w:rPr>
            <w:rStyle w:val="Hipercze"/>
            <w:rFonts w:ascii="Aptos Display" w:hAnsi="Aptos Display"/>
          </w:rPr>
          <w:t>https://www.hrk.pl/know-how/raporty/ai-juz-pracuje-czy-firmy-nadazaja-raport-2026/</w:t>
        </w:r>
      </w:hyperlink>
      <w:r w:rsidR="00C55895">
        <w:rPr>
          <w:rFonts w:ascii="Aptos Display" w:hAnsi="Aptos Display"/>
        </w:rPr>
        <w:t xml:space="preserve"> </w:t>
      </w:r>
    </w:p>
    <w:p w14:paraId="798C905F" w14:textId="77777777" w:rsidR="0069460B" w:rsidRPr="0069460B" w:rsidRDefault="0069460B" w:rsidP="0069460B">
      <w:pPr>
        <w:spacing w:line="276" w:lineRule="auto"/>
        <w:jc w:val="both"/>
        <w:rPr>
          <w:rFonts w:ascii="Aptos Display" w:hAnsi="Aptos Display"/>
          <w:b/>
          <w:bCs/>
        </w:rPr>
      </w:pPr>
      <w:r w:rsidRPr="0069460B">
        <w:rPr>
          <w:rFonts w:ascii="Aptos Display" w:hAnsi="Aptos Display"/>
          <w:b/>
          <w:bCs/>
        </w:rPr>
        <w:t>O badaniu </w:t>
      </w:r>
    </w:p>
    <w:p w14:paraId="208B96FB"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Badanie „AI już pracuje. Czy firmy nadążają?” zostało przeprowadzone przez HRK metodą CAWI, za pomocą anonimowej ankiety internetowej, od 27 maja do 10 sierpnia 2026 roku. Zebrano 282 kompletne kwestionariusze. </w:t>
      </w:r>
    </w:p>
    <w:p w14:paraId="262BE870" w14:textId="77777777" w:rsidR="0069460B" w:rsidRPr="0069460B" w:rsidRDefault="0069460B" w:rsidP="0069460B">
      <w:pPr>
        <w:spacing w:line="276" w:lineRule="auto"/>
        <w:jc w:val="both"/>
        <w:rPr>
          <w:rFonts w:ascii="Aptos Display" w:hAnsi="Aptos Display"/>
        </w:rPr>
      </w:pPr>
      <w:r w:rsidRPr="0069460B">
        <w:rPr>
          <w:rFonts w:ascii="Aptos Display" w:hAnsi="Aptos Display"/>
        </w:rPr>
        <w:t>Indeksy wykorzystane w raporcie są syntetycznymi wskaźnikami formacyjnymi. Łączą różne przejawy analizowanych zjawisk, ale nie są testem kompetencji użytkowników, audytem technologicznym ani certyfikatem dojrzałości organizacji. </w:t>
      </w:r>
    </w:p>
    <w:p w14:paraId="31DD3713" w14:textId="098C71EC" w:rsidR="00001D34" w:rsidRPr="00001D34" w:rsidRDefault="00001D34" w:rsidP="0069460B">
      <w:pPr>
        <w:spacing w:line="276" w:lineRule="auto"/>
        <w:jc w:val="center"/>
        <w:rPr>
          <w:rFonts w:ascii="Aptos Display" w:hAnsi="Aptos Display"/>
          <w:b/>
          <w:bCs/>
        </w:rPr>
      </w:pPr>
      <w:r w:rsidRPr="31F137E3">
        <w:rPr>
          <w:rFonts w:ascii="Aptos Display" w:hAnsi="Aptos Display"/>
        </w:rPr>
        <w:t>###</w:t>
      </w:r>
    </w:p>
    <w:p w14:paraId="72F4324D" w14:textId="2E67429E" w:rsidR="00001D34" w:rsidRPr="00753B71" w:rsidRDefault="00001D34" w:rsidP="0069460B">
      <w:pPr>
        <w:spacing w:line="276" w:lineRule="auto"/>
        <w:rPr>
          <w:rFonts w:ascii="Aptos Display" w:hAnsi="Aptos Display"/>
          <w:b/>
          <w:bCs/>
          <w:u w:val="single"/>
        </w:rPr>
      </w:pPr>
      <w:r w:rsidRPr="00753B71">
        <w:rPr>
          <w:rFonts w:ascii="Aptos Display" w:hAnsi="Aptos Display"/>
          <w:b/>
          <w:bCs/>
          <w:u w:val="single"/>
        </w:rPr>
        <w:t>Kontakt</w:t>
      </w:r>
    </w:p>
    <w:tbl>
      <w:tblPr>
        <w:tblW w:w="3720" w:type="dxa"/>
        <w:tblCellMar>
          <w:left w:w="0" w:type="dxa"/>
          <w:right w:w="0" w:type="dxa"/>
        </w:tblCellMar>
        <w:tblLook w:val="04A0" w:firstRow="1" w:lastRow="0" w:firstColumn="1" w:lastColumn="0" w:noHBand="0" w:noVBand="1"/>
      </w:tblPr>
      <w:tblGrid>
        <w:gridCol w:w="3720"/>
      </w:tblGrid>
      <w:tr w:rsidR="00001D34" w:rsidRPr="0025530C" w14:paraId="6F52DD33" w14:textId="77777777" w:rsidTr="0069460B">
        <w:trPr>
          <w:trHeight w:val="300"/>
        </w:trPr>
        <w:tc>
          <w:tcPr>
            <w:tcW w:w="3720" w:type="dxa"/>
            <w:vAlign w:val="center"/>
            <w:hideMark/>
          </w:tcPr>
          <w:p w14:paraId="1D3AAEDC" w14:textId="6D292FD7" w:rsidR="00001D34" w:rsidRPr="00001D34" w:rsidRDefault="00001D34" w:rsidP="0069460B">
            <w:pPr>
              <w:spacing w:line="276" w:lineRule="auto"/>
              <w:rPr>
                <w:rFonts w:ascii="Aptos Display" w:hAnsi="Aptos Display"/>
                <w:lang w:val="en-US"/>
              </w:rPr>
            </w:pPr>
            <w:r w:rsidRPr="71D8134A">
              <w:rPr>
                <w:rFonts w:ascii="Aptos Display" w:hAnsi="Aptos Display"/>
                <w:lang w:val="en-US"/>
              </w:rPr>
              <w:t>Paula Kowalcze</w:t>
            </w:r>
            <w:r w:rsidRPr="00310452">
              <w:rPr>
                <w:lang w:val="en-US"/>
              </w:rPr>
              <w:br/>
            </w:r>
            <w:r w:rsidRPr="71D8134A">
              <w:rPr>
                <w:rFonts w:ascii="Aptos Display" w:hAnsi="Aptos Display"/>
                <w:lang w:val="en-US"/>
              </w:rPr>
              <w:t>Media Relations &amp; Content</w:t>
            </w:r>
            <w:r w:rsidR="61B279DB" w:rsidRPr="71D8134A">
              <w:rPr>
                <w:rFonts w:ascii="Aptos Display" w:hAnsi="Aptos Display"/>
                <w:lang w:val="en-US"/>
              </w:rPr>
              <w:t xml:space="preserve"> </w:t>
            </w:r>
            <w:r w:rsidRPr="71D8134A">
              <w:rPr>
                <w:rFonts w:ascii="Aptos Display" w:hAnsi="Aptos Display"/>
                <w:lang w:val="en-US"/>
              </w:rPr>
              <w:t>Expert</w:t>
            </w:r>
            <w:r w:rsidRPr="00310452">
              <w:rPr>
                <w:lang w:val="en-US"/>
              </w:rPr>
              <w:br/>
            </w:r>
            <w:r w:rsidRPr="71D8134A">
              <w:rPr>
                <w:rFonts w:ascii="Aptos Display" w:hAnsi="Aptos Display"/>
                <w:lang w:val="en-US"/>
              </w:rPr>
              <w:lastRenderedPageBreak/>
              <w:t>+48 532 433</w:t>
            </w:r>
            <w:r w:rsidR="50EE0BC6" w:rsidRPr="71D8134A">
              <w:rPr>
                <w:rFonts w:ascii="Aptos Display" w:hAnsi="Aptos Display"/>
                <w:lang w:val="en-US"/>
              </w:rPr>
              <w:t xml:space="preserve"> </w:t>
            </w:r>
            <w:r w:rsidRPr="71D8134A">
              <w:rPr>
                <w:rFonts w:ascii="Aptos Display" w:hAnsi="Aptos Display"/>
                <w:lang w:val="en-US"/>
              </w:rPr>
              <w:t>645</w:t>
            </w:r>
            <w:r w:rsidRPr="00310452">
              <w:rPr>
                <w:lang w:val="en-US"/>
              </w:rPr>
              <w:br/>
            </w:r>
            <w:r w:rsidRPr="71D8134A">
              <w:rPr>
                <w:rFonts w:ascii="Aptos Display" w:hAnsi="Aptos Display"/>
                <w:lang w:val="en-US"/>
              </w:rPr>
              <w:t>paula.kowalcze@hrk.pl</w:t>
            </w:r>
          </w:p>
        </w:tc>
      </w:tr>
    </w:tbl>
    <w:p w14:paraId="58FCDEF8" w14:textId="77777777" w:rsidR="00001D34" w:rsidRPr="00001D34" w:rsidRDefault="00001D34" w:rsidP="0069460B">
      <w:pPr>
        <w:spacing w:line="276" w:lineRule="auto"/>
        <w:jc w:val="both"/>
        <w:rPr>
          <w:rFonts w:ascii="Aptos Display" w:hAnsi="Aptos Display"/>
          <w:lang w:val="en-US"/>
        </w:rPr>
      </w:pPr>
    </w:p>
    <w:p w14:paraId="7802AA3B" w14:textId="77777777" w:rsidR="00001D34" w:rsidRPr="00001D34" w:rsidRDefault="00001D34" w:rsidP="0069460B">
      <w:pPr>
        <w:spacing w:line="276" w:lineRule="auto"/>
        <w:jc w:val="both"/>
        <w:rPr>
          <w:rFonts w:ascii="Aptos Display" w:hAnsi="Aptos Display"/>
        </w:rPr>
      </w:pPr>
      <w:r w:rsidRPr="00001D34">
        <w:rPr>
          <w:rFonts w:ascii="Aptos Display" w:hAnsi="Aptos Display"/>
        </w:rPr>
        <w:t xml:space="preserve">HRK S.A. to jedna z największych firm doradczych z obszaru zarządzania kapitałem ludzkim. Oferujemy usługi rekrutacji kadry średniego i wyższego szczebla, badań i rozwoju potencjału zawodowego (łącznie z badaniami </w:t>
      </w:r>
      <w:proofErr w:type="spellStart"/>
      <w:r w:rsidRPr="00001D34">
        <w:rPr>
          <w:rFonts w:ascii="Aptos Display" w:hAnsi="Aptos Display"/>
        </w:rPr>
        <w:t>Assessment</w:t>
      </w:r>
      <w:proofErr w:type="spellEnd"/>
      <w:r w:rsidRPr="00001D34">
        <w:rPr>
          <w:rFonts w:ascii="Aptos Display" w:hAnsi="Aptos Display"/>
        </w:rPr>
        <w:t xml:space="preserve"> &amp; Development Center), budowanie ścieżek kariery, a także usługi z zakresu </w:t>
      </w:r>
      <w:proofErr w:type="spellStart"/>
      <w:r w:rsidRPr="00001D34">
        <w:rPr>
          <w:rFonts w:ascii="Aptos Display" w:hAnsi="Aptos Display"/>
        </w:rPr>
        <w:t>employer</w:t>
      </w:r>
      <w:proofErr w:type="spellEnd"/>
      <w:r w:rsidRPr="00001D34">
        <w:rPr>
          <w:rFonts w:ascii="Aptos Display" w:hAnsi="Aptos Display"/>
        </w:rPr>
        <w:t xml:space="preserve"> </w:t>
      </w:r>
      <w:proofErr w:type="spellStart"/>
      <w:r w:rsidRPr="00001D34">
        <w:rPr>
          <w:rFonts w:ascii="Aptos Display" w:hAnsi="Aptos Display"/>
        </w:rPr>
        <w:t>brandingu</w:t>
      </w:r>
      <w:proofErr w:type="spellEnd"/>
      <w:r w:rsidRPr="00001D34">
        <w:rPr>
          <w:rFonts w:ascii="Aptos Display" w:hAnsi="Aptos Display"/>
        </w:rPr>
        <w:t xml:space="preserve"> oraz obsługi kadr i płac.</w:t>
      </w:r>
    </w:p>
    <w:p w14:paraId="194986FB" w14:textId="77777777" w:rsidR="00001D34" w:rsidRPr="00001D34" w:rsidRDefault="00001D34" w:rsidP="0069460B">
      <w:pPr>
        <w:spacing w:line="276" w:lineRule="auto"/>
        <w:jc w:val="both"/>
        <w:rPr>
          <w:rFonts w:ascii="Aptos Display" w:hAnsi="Aptos Display"/>
        </w:rPr>
      </w:pPr>
      <w:r w:rsidRPr="00001D34">
        <w:rPr>
          <w:rFonts w:ascii="Aptos Display" w:hAnsi="Aptos Display"/>
        </w:rPr>
        <w:t xml:space="preserve"> </w:t>
      </w:r>
    </w:p>
    <w:p w14:paraId="07ADC8D9" w14:textId="0B550AD0" w:rsidR="00070B41" w:rsidRPr="00001D34" w:rsidRDefault="00070B41" w:rsidP="0069460B">
      <w:pPr>
        <w:spacing w:line="276" w:lineRule="auto"/>
        <w:jc w:val="both"/>
        <w:rPr>
          <w:rFonts w:ascii="Aptos Display" w:hAnsi="Aptos Display"/>
        </w:rPr>
      </w:pPr>
    </w:p>
    <w:sectPr w:rsidR="00070B41" w:rsidRPr="00001D34">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F201" w14:textId="77777777" w:rsidR="00DF7C76" w:rsidRDefault="00DF7C76" w:rsidP="00934983">
      <w:pPr>
        <w:spacing w:after="0" w:line="240" w:lineRule="auto"/>
      </w:pPr>
      <w:r>
        <w:separator/>
      </w:r>
    </w:p>
  </w:endnote>
  <w:endnote w:type="continuationSeparator" w:id="0">
    <w:p w14:paraId="357CC4D8" w14:textId="77777777" w:rsidR="00DF7C76" w:rsidRDefault="00DF7C76" w:rsidP="0093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FD67" w14:textId="77777777" w:rsidR="0070242D" w:rsidRDefault="007024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B7D4" w14:textId="77777777" w:rsidR="00DF7C76" w:rsidRDefault="00DF7C76" w:rsidP="00934983">
      <w:pPr>
        <w:spacing w:after="0" w:line="240" w:lineRule="auto"/>
      </w:pPr>
      <w:r>
        <w:separator/>
      </w:r>
    </w:p>
  </w:footnote>
  <w:footnote w:type="continuationSeparator" w:id="0">
    <w:p w14:paraId="2B354E7A" w14:textId="77777777" w:rsidR="00DF7C76" w:rsidRDefault="00DF7C76" w:rsidP="0093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E448" w14:textId="41AE545A" w:rsidR="0058273F" w:rsidRDefault="0058273F">
    <w:pPr>
      <w:pStyle w:val="Nagwek"/>
    </w:pPr>
    <w:r>
      <w:rPr>
        <w:noProof/>
        <w:color w:val="2B579A"/>
        <w:shd w:val="clear" w:color="auto" w:fill="E6E6E6"/>
      </w:rPr>
      <w:drawing>
        <wp:anchor distT="0" distB="0" distL="114300" distR="114300" simplePos="0" relativeHeight="251658240" behindDoc="1" locked="0" layoutInCell="1" allowOverlap="1" wp14:anchorId="2AFF1167" wp14:editId="6F53E9A8">
          <wp:simplePos x="0" y="0"/>
          <wp:positionH relativeFrom="column">
            <wp:posOffset>5516245</wp:posOffset>
          </wp:positionH>
          <wp:positionV relativeFrom="paragraph">
            <wp:posOffset>-99060</wp:posOffset>
          </wp:positionV>
          <wp:extent cx="719859" cy="495300"/>
          <wp:effectExtent l="0" t="0" r="4445" b="0"/>
          <wp:wrapTight wrapText="bothSides">
            <wp:wrapPolygon edited="0">
              <wp:start x="0" y="0"/>
              <wp:lineTo x="0" y="20769"/>
              <wp:lineTo x="21162" y="20769"/>
              <wp:lineTo x="21162" y="0"/>
              <wp:lineTo x="0" y="0"/>
            </wp:wrapPolygon>
          </wp:wrapTight>
          <wp:docPr id="2" name="Obraz 2" descr="H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59"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1BB2"/>
    <w:multiLevelType w:val="multilevel"/>
    <w:tmpl w:val="460CB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270AE"/>
    <w:multiLevelType w:val="multilevel"/>
    <w:tmpl w:val="1AC42C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E7C85"/>
    <w:multiLevelType w:val="hybridMultilevel"/>
    <w:tmpl w:val="B87AC73A"/>
    <w:lvl w:ilvl="0" w:tplc="95EC12A0">
      <w:start w:val="1"/>
      <w:numFmt w:val="bullet"/>
      <w:lvlText w:val="-"/>
      <w:lvlJc w:val="left"/>
      <w:pPr>
        <w:ind w:left="720" w:hanging="360"/>
      </w:pPr>
      <w:rPr>
        <w:rFonts w:ascii="Aptos" w:hAnsi="Aptos" w:hint="default"/>
      </w:rPr>
    </w:lvl>
    <w:lvl w:ilvl="1" w:tplc="C36A42A4">
      <w:start w:val="1"/>
      <w:numFmt w:val="bullet"/>
      <w:lvlText w:val="o"/>
      <w:lvlJc w:val="left"/>
      <w:pPr>
        <w:ind w:left="1440" w:hanging="360"/>
      </w:pPr>
      <w:rPr>
        <w:rFonts w:ascii="Courier New" w:hAnsi="Courier New" w:hint="default"/>
      </w:rPr>
    </w:lvl>
    <w:lvl w:ilvl="2" w:tplc="04DA69E6">
      <w:start w:val="1"/>
      <w:numFmt w:val="bullet"/>
      <w:lvlText w:val=""/>
      <w:lvlJc w:val="left"/>
      <w:pPr>
        <w:ind w:left="2160" w:hanging="360"/>
      </w:pPr>
      <w:rPr>
        <w:rFonts w:ascii="Wingdings" w:hAnsi="Wingdings" w:hint="default"/>
      </w:rPr>
    </w:lvl>
    <w:lvl w:ilvl="3" w:tplc="FAA882DE">
      <w:start w:val="1"/>
      <w:numFmt w:val="bullet"/>
      <w:lvlText w:val=""/>
      <w:lvlJc w:val="left"/>
      <w:pPr>
        <w:ind w:left="2880" w:hanging="360"/>
      </w:pPr>
      <w:rPr>
        <w:rFonts w:ascii="Symbol" w:hAnsi="Symbol" w:hint="default"/>
      </w:rPr>
    </w:lvl>
    <w:lvl w:ilvl="4" w:tplc="135649C8">
      <w:start w:val="1"/>
      <w:numFmt w:val="bullet"/>
      <w:lvlText w:val="o"/>
      <w:lvlJc w:val="left"/>
      <w:pPr>
        <w:ind w:left="3600" w:hanging="360"/>
      </w:pPr>
      <w:rPr>
        <w:rFonts w:ascii="Courier New" w:hAnsi="Courier New" w:hint="default"/>
      </w:rPr>
    </w:lvl>
    <w:lvl w:ilvl="5" w:tplc="CD7EF4D2">
      <w:start w:val="1"/>
      <w:numFmt w:val="bullet"/>
      <w:lvlText w:val=""/>
      <w:lvlJc w:val="left"/>
      <w:pPr>
        <w:ind w:left="4320" w:hanging="360"/>
      </w:pPr>
      <w:rPr>
        <w:rFonts w:ascii="Wingdings" w:hAnsi="Wingdings" w:hint="default"/>
      </w:rPr>
    </w:lvl>
    <w:lvl w:ilvl="6" w:tplc="D3B8DCE8">
      <w:start w:val="1"/>
      <w:numFmt w:val="bullet"/>
      <w:lvlText w:val=""/>
      <w:lvlJc w:val="left"/>
      <w:pPr>
        <w:ind w:left="5040" w:hanging="360"/>
      </w:pPr>
      <w:rPr>
        <w:rFonts w:ascii="Symbol" w:hAnsi="Symbol" w:hint="default"/>
      </w:rPr>
    </w:lvl>
    <w:lvl w:ilvl="7" w:tplc="5C2EADA6">
      <w:start w:val="1"/>
      <w:numFmt w:val="bullet"/>
      <w:lvlText w:val="o"/>
      <w:lvlJc w:val="left"/>
      <w:pPr>
        <w:ind w:left="5760" w:hanging="360"/>
      </w:pPr>
      <w:rPr>
        <w:rFonts w:ascii="Courier New" w:hAnsi="Courier New" w:hint="default"/>
      </w:rPr>
    </w:lvl>
    <w:lvl w:ilvl="8" w:tplc="2D58FC30">
      <w:start w:val="1"/>
      <w:numFmt w:val="bullet"/>
      <w:lvlText w:val=""/>
      <w:lvlJc w:val="left"/>
      <w:pPr>
        <w:ind w:left="6480" w:hanging="360"/>
      </w:pPr>
      <w:rPr>
        <w:rFonts w:ascii="Wingdings" w:hAnsi="Wingdings" w:hint="default"/>
      </w:rPr>
    </w:lvl>
  </w:abstractNum>
  <w:abstractNum w:abstractNumId="3" w15:restartNumberingAfterBreak="0">
    <w:nsid w:val="22D9244C"/>
    <w:multiLevelType w:val="hybridMultilevel"/>
    <w:tmpl w:val="7402C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65D7E8E"/>
    <w:multiLevelType w:val="multilevel"/>
    <w:tmpl w:val="AC30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C70386"/>
    <w:multiLevelType w:val="multilevel"/>
    <w:tmpl w:val="AEA6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D46CC4"/>
    <w:multiLevelType w:val="multilevel"/>
    <w:tmpl w:val="D012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9E429C"/>
    <w:multiLevelType w:val="multilevel"/>
    <w:tmpl w:val="1BD6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2B33BE"/>
    <w:multiLevelType w:val="multilevel"/>
    <w:tmpl w:val="62A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5E0DAC"/>
    <w:multiLevelType w:val="multilevel"/>
    <w:tmpl w:val="78FA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3E1A08"/>
    <w:multiLevelType w:val="hybridMultilevel"/>
    <w:tmpl w:val="47DE9324"/>
    <w:lvl w:ilvl="0" w:tplc="33DC0E10">
      <w:start w:val="1"/>
      <w:numFmt w:val="bullet"/>
      <w:lvlText w:val="-"/>
      <w:lvlJc w:val="left"/>
      <w:pPr>
        <w:ind w:left="720" w:hanging="360"/>
      </w:pPr>
      <w:rPr>
        <w:rFonts w:ascii="Aptos" w:hAnsi="Aptos" w:hint="default"/>
      </w:rPr>
    </w:lvl>
    <w:lvl w:ilvl="1" w:tplc="D8B2DCEE">
      <w:start w:val="1"/>
      <w:numFmt w:val="bullet"/>
      <w:lvlText w:val="o"/>
      <w:lvlJc w:val="left"/>
      <w:pPr>
        <w:ind w:left="1440" w:hanging="360"/>
      </w:pPr>
      <w:rPr>
        <w:rFonts w:ascii="Courier New" w:hAnsi="Courier New" w:hint="default"/>
      </w:rPr>
    </w:lvl>
    <w:lvl w:ilvl="2" w:tplc="207CA7E6">
      <w:start w:val="1"/>
      <w:numFmt w:val="bullet"/>
      <w:lvlText w:val=""/>
      <w:lvlJc w:val="left"/>
      <w:pPr>
        <w:ind w:left="2160" w:hanging="360"/>
      </w:pPr>
      <w:rPr>
        <w:rFonts w:ascii="Wingdings" w:hAnsi="Wingdings" w:hint="default"/>
      </w:rPr>
    </w:lvl>
    <w:lvl w:ilvl="3" w:tplc="D3C48950">
      <w:start w:val="1"/>
      <w:numFmt w:val="bullet"/>
      <w:lvlText w:val=""/>
      <w:lvlJc w:val="left"/>
      <w:pPr>
        <w:ind w:left="2880" w:hanging="360"/>
      </w:pPr>
      <w:rPr>
        <w:rFonts w:ascii="Symbol" w:hAnsi="Symbol" w:hint="default"/>
      </w:rPr>
    </w:lvl>
    <w:lvl w:ilvl="4" w:tplc="3356BEB6">
      <w:start w:val="1"/>
      <w:numFmt w:val="bullet"/>
      <w:lvlText w:val="o"/>
      <w:lvlJc w:val="left"/>
      <w:pPr>
        <w:ind w:left="3600" w:hanging="360"/>
      </w:pPr>
      <w:rPr>
        <w:rFonts w:ascii="Courier New" w:hAnsi="Courier New" w:hint="default"/>
      </w:rPr>
    </w:lvl>
    <w:lvl w:ilvl="5" w:tplc="D7D6E88E">
      <w:start w:val="1"/>
      <w:numFmt w:val="bullet"/>
      <w:lvlText w:val=""/>
      <w:lvlJc w:val="left"/>
      <w:pPr>
        <w:ind w:left="4320" w:hanging="360"/>
      </w:pPr>
      <w:rPr>
        <w:rFonts w:ascii="Wingdings" w:hAnsi="Wingdings" w:hint="default"/>
      </w:rPr>
    </w:lvl>
    <w:lvl w:ilvl="6" w:tplc="16087234">
      <w:start w:val="1"/>
      <w:numFmt w:val="bullet"/>
      <w:lvlText w:val=""/>
      <w:lvlJc w:val="left"/>
      <w:pPr>
        <w:ind w:left="5040" w:hanging="360"/>
      </w:pPr>
      <w:rPr>
        <w:rFonts w:ascii="Symbol" w:hAnsi="Symbol" w:hint="default"/>
      </w:rPr>
    </w:lvl>
    <w:lvl w:ilvl="7" w:tplc="8F763358">
      <w:start w:val="1"/>
      <w:numFmt w:val="bullet"/>
      <w:lvlText w:val="o"/>
      <w:lvlJc w:val="left"/>
      <w:pPr>
        <w:ind w:left="5760" w:hanging="360"/>
      </w:pPr>
      <w:rPr>
        <w:rFonts w:ascii="Courier New" w:hAnsi="Courier New" w:hint="default"/>
      </w:rPr>
    </w:lvl>
    <w:lvl w:ilvl="8" w:tplc="38B87AB0">
      <w:start w:val="1"/>
      <w:numFmt w:val="bullet"/>
      <w:lvlText w:val=""/>
      <w:lvlJc w:val="left"/>
      <w:pPr>
        <w:ind w:left="6480" w:hanging="360"/>
      </w:pPr>
      <w:rPr>
        <w:rFonts w:ascii="Wingdings" w:hAnsi="Wingdings" w:hint="default"/>
      </w:rPr>
    </w:lvl>
  </w:abstractNum>
  <w:abstractNum w:abstractNumId="11" w15:restartNumberingAfterBreak="0">
    <w:nsid w:val="54D35CAB"/>
    <w:multiLevelType w:val="multilevel"/>
    <w:tmpl w:val="BCCC5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276AED"/>
    <w:multiLevelType w:val="multilevel"/>
    <w:tmpl w:val="A7062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164EDC"/>
    <w:multiLevelType w:val="hybridMultilevel"/>
    <w:tmpl w:val="2DD834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733643"/>
    <w:multiLevelType w:val="hybridMultilevel"/>
    <w:tmpl w:val="E578B856"/>
    <w:lvl w:ilvl="0" w:tplc="611497E0">
      <w:start w:val="1"/>
      <w:numFmt w:val="bullet"/>
      <w:lvlText w:val="-"/>
      <w:lvlJc w:val="left"/>
      <w:pPr>
        <w:ind w:left="720" w:hanging="360"/>
      </w:pPr>
      <w:rPr>
        <w:rFonts w:ascii="Aptos" w:hAnsi="Aptos" w:hint="default"/>
      </w:rPr>
    </w:lvl>
    <w:lvl w:ilvl="1" w:tplc="E27428C6">
      <w:start w:val="1"/>
      <w:numFmt w:val="bullet"/>
      <w:lvlText w:val="o"/>
      <w:lvlJc w:val="left"/>
      <w:pPr>
        <w:ind w:left="1440" w:hanging="360"/>
      </w:pPr>
      <w:rPr>
        <w:rFonts w:ascii="Courier New" w:hAnsi="Courier New" w:hint="default"/>
      </w:rPr>
    </w:lvl>
    <w:lvl w:ilvl="2" w:tplc="A5287A96">
      <w:start w:val="1"/>
      <w:numFmt w:val="bullet"/>
      <w:lvlText w:val=""/>
      <w:lvlJc w:val="left"/>
      <w:pPr>
        <w:ind w:left="2160" w:hanging="360"/>
      </w:pPr>
      <w:rPr>
        <w:rFonts w:ascii="Wingdings" w:hAnsi="Wingdings" w:hint="default"/>
      </w:rPr>
    </w:lvl>
    <w:lvl w:ilvl="3" w:tplc="4546FF32">
      <w:start w:val="1"/>
      <w:numFmt w:val="bullet"/>
      <w:lvlText w:val=""/>
      <w:lvlJc w:val="left"/>
      <w:pPr>
        <w:ind w:left="2880" w:hanging="360"/>
      </w:pPr>
      <w:rPr>
        <w:rFonts w:ascii="Symbol" w:hAnsi="Symbol" w:hint="default"/>
      </w:rPr>
    </w:lvl>
    <w:lvl w:ilvl="4" w:tplc="B142B112">
      <w:start w:val="1"/>
      <w:numFmt w:val="bullet"/>
      <w:lvlText w:val="o"/>
      <w:lvlJc w:val="left"/>
      <w:pPr>
        <w:ind w:left="3600" w:hanging="360"/>
      </w:pPr>
      <w:rPr>
        <w:rFonts w:ascii="Courier New" w:hAnsi="Courier New" w:hint="default"/>
      </w:rPr>
    </w:lvl>
    <w:lvl w:ilvl="5" w:tplc="925A1326">
      <w:start w:val="1"/>
      <w:numFmt w:val="bullet"/>
      <w:lvlText w:val=""/>
      <w:lvlJc w:val="left"/>
      <w:pPr>
        <w:ind w:left="4320" w:hanging="360"/>
      </w:pPr>
      <w:rPr>
        <w:rFonts w:ascii="Wingdings" w:hAnsi="Wingdings" w:hint="default"/>
      </w:rPr>
    </w:lvl>
    <w:lvl w:ilvl="6" w:tplc="EE44619A">
      <w:start w:val="1"/>
      <w:numFmt w:val="bullet"/>
      <w:lvlText w:val=""/>
      <w:lvlJc w:val="left"/>
      <w:pPr>
        <w:ind w:left="5040" w:hanging="360"/>
      </w:pPr>
      <w:rPr>
        <w:rFonts w:ascii="Symbol" w:hAnsi="Symbol" w:hint="default"/>
      </w:rPr>
    </w:lvl>
    <w:lvl w:ilvl="7" w:tplc="EF02E060">
      <w:start w:val="1"/>
      <w:numFmt w:val="bullet"/>
      <w:lvlText w:val="o"/>
      <w:lvlJc w:val="left"/>
      <w:pPr>
        <w:ind w:left="5760" w:hanging="360"/>
      </w:pPr>
      <w:rPr>
        <w:rFonts w:ascii="Courier New" w:hAnsi="Courier New" w:hint="default"/>
      </w:rPr>
    </w:lvl>
    <w:lvl w:ilvl="8" w:tplc="533A53C6">
      <w:start w:val="1"/>
      <w:numFmt w:val="bullet"/>
      <w:lvlText w:val=""/>
      <w:lvlJc w:val="left"/>
      <w:pPr>
        <w:ind w:left="6480" w:hanging="360"/>
      </w:pPr>
      <w:rPr>
        <w:rFonts w:ascii="Wingdings" w:hAnsi="Wingdings" w:hint="default"/>
      </w:rPr>
    </w:lvl>
  </w:abstractNum>
  <w:abstractNum w:abstractNumId="15" w15:restartNumberingAfterBreak="0">
    <w:nsid w:val="61B76203"/>
    <w:multiLevelType w:val="multilevel"/>
    <w:tmpl w:val="C3A8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B4D1FF"/>
    <w:multiLevelType w:val="hybridMultilevel"/>
    <w:tmpl w:val="839C7EC8"/>
    <w:lvl w:ilvl="0" w:tplc="500E95EE">
      <w:start w:val="1"/>
      <w:numFmt w:val="bullet"/>
      <w:lvlText w:val="-"/>
      <w:lvlJc w:val="left"/>
      <w:pPr>
        <w:ind w:left="720" w:hanging="360"/>
      </w:pPr>
      <w:rPr>
        <w:rFonts w:ascii="Aptos" w:hAnsi="Aptos" w:hint="default"/>
      </w:rPr>
    </w:lvl>
    <w:lvl w:ilvl="1" w:tplc="50343AC4">
      <w:start w:val="1"/>
      <w:numFmt w:val="bullet"/>
      <w:lvlText w:val="o"/>
      <w:lvlJc w:val="left"/>
      <w:pPr>
        <w:ind w:left="1440" w:hanging="360"/>
      </w:pPr>
      <w:rPr>
        <w:rFonts w:ascii="Courier New" w:hAnsi="Courier New" w:hint="default"/>
      </w:rPr>
    </w:lvl>
    <w:lvl w:ilvl="2" w:tplc="01C64CE6">
      <w:start w:val="1"/>
      <w:numFmt w:val="bullet"/>
      <w:lvlText w:val=""/>
      <w:lvlJc w:val="left"/>
      <w:pPr>
        <w:ind w:left="2160" w:hanging="360"/>
      </w:pPr>
      <w:rPr>
        <w:rFonts w:ascii="Wingdings" w:hAnsi="Wingdings" w:hint="default"/>
      </w:rPr>
    </w:lvl>
    <w:lvl w:ilvl="3" w:tplc="685AA380">
      <w:start w:val="1"/>
      <w:numFmt w:val="bullet"/>
      <w:lvlText w:val=""/>
      <w:lvlJc w:val="left"/>
      <w:pPr>
        <w:ind w:left="2880" w:hanging="360"/>
      </w:pPr>
      <w:rPr>
        <w:rFonts w:ascii="Symbol" w:hAnsi="Symbol" w:hint="default"/>
      </w:rPr>
    </w:lvl>
    <w:lvl w:ilvl="4" w:tplc="F63C0134">
      <w:start w:val="1"/>
      <w:numFmt w:val="bullet"/>
      <w:lvlText w:val="o"/>
      <w:lvlJc w:val="left"/>
      <w:pPr>
        <w:ind w:left="3600" w:hanging="360"/>
      </w:pPr>
      <w:rPr>
        <w:rFonts w:ascii="Courier New" w:hAnsi="Courier New" w:hint="default"/>
      </w:rPr>
    </w:lvl>
    <w:lvl w:ilvl="5" w:tplc="863E5AF0">
      <w:start w:val="1"/>
      <w:numFmt w:val="bullet"/>
      <w:lvlText w:val=""/>
      <w:lvlJc w:val="left"/>
      <w:pPr>
        <w:ind w:left="4320" w:hanging="360"/>
      </w:pPr>
      <w:rPr>
        <w:rFonts w:ascii="Wingdings" w:hAnsi="Wingdings" w:hint="default"/>
      </w:rPr>
    </w:lvl>
    <w:lvl w:ilvl="6" w:tplc="421A72B4">
      <w:start w:val="1"/>
      <w:numFmt w:val="bullet"/>
      <w:lvlText w:val=""/>
      <w:lvlJc w:val="left"/>
      <w:pPr>
        <w:ind w:left="5040" w:hanging="360"/>
      </w:pPr>
      <w:rPr>
        <w:rFonts w:ascii="Symbol" w:hAnsi="Symbol" w:hint="default"/>
      </w:rPr>
    </w:lvl>
    <w:lvl w:ilvl="7" w:tplc="D34A574A">
      <w:start w:val="1"/>
      <w:numFmt w:val="bullet"/>
      <w:lvlText w:val="o"/>
      <w:lvlJc w:val="left"/>
      <w:pPr>
        <w:ind w:left="5760" w:hanging="360"/>
      </w:pPr>
      <w:rPr>
        <w:rFonts w:ascii="Courier New" w:hAnsi="Courier New" w:hint="default"/>
      </w:rPr>
    </w:lvl>
    <w:lvl w:ilvl="8" w:tplc="2878E2CA">
      <w:start w:val="1"/>
      <w:numFmt w:val="bullet"/>
      <w:lvlText w:val=""/>
      <w:lvlJc w:val="left"/>
      <w:pPr>
        <w:ind w:left="6480" w:hanging="360"/>
      </w:pPr>
      <w:rPr>
        <w:rFonts w:ascii="Wingdings" w:hAnsi="Wingdings" w:hint="default"/>
      </w:rPr>
    </w:lvl>
  </w:abstractNum>
  <w:abstractNum w:abstractNumId="17" w15:restartNumberingAfterBreak="0">
    <w:nsid w:val="6A2563E7"/>
    <w:multiLevelType w:val="hybridMultilevel"/>
    <w:tmpl w:val="664286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A2D7BA2"/>
    <w:multiLevelType w:val="hybridMultilevel"/>
    <w:tmpl w:val="A4B08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049638C"/>
    <w:multiLevelType w:val="multilevel"/>
    <w:tmpl w:val="9C92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2577C2"/>
    <w:multiLevelType w:val="multilevel"/>
    <w:tmpl w:val="454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7FA6D"/>
    <w:multiLevelType w:val="hybridMultilevel"/>
    <w:tmpl w:val="1304FF56"/>
    <w:lvl w:ilvl="0" w:tplc="34808E9A">
      <w:start w:val="1"/>
      <w:numFmt w:val="bullet"/>
      <w:lvlText w:val="-"/>
      <w:lvlJc w:val="left"/>
      <w:pPr>
        <w:ind w:left="720" w:hanging="360"/>
      </w:pPr>
      <w:rPr>
        <w:rFonts w:ascii="Aptos" w:hAnsi="Aptos" w:hint="default"/>
      </w:rPr>
    </w:lvl>
    <w:lvl w:ilvl="1" w:tplc="18165B66">
      <w:start w:val="1"/>
      <w:numFmt w:val="bullet"/>
      <w:lvlText w:val="o"/>
      <w:lvlJc w:val="left"/>
      <w:pPr>
        <w:ind w:left="1440" w:hanging="360"/>
      </w:pPr>
      <w:rPr>
        <w:rFonts w:ascii="Courier New" w:hAnsi="Courier New" w:hint="default"/>
      </w:rPr>
    </w:lvl>
    <w:lvl w:ilvl="2" w:tplc="D50EF162">
      <w:start w:val="1"/>
      <w:numFmt w:val="bullet"/>
      <w:lvlText w:val=""/>
      <w:lvlJc w:val="left"/>
      <w:pPr>
        <w:ind w:left="2160" w:hanging="360"/>
      </w:pPr>
      <w:rPr>
        <w:rFonts w:ascii="Wingdings" w:hAnsi="Wingdings" w:hint="default"/>
      </w:rPr>
    </w:lvl>
    <w:lvl w:ilvl="3" w:tplc="C8227D7A">
      <w:start w:val="1"/>
      <w:numFmt w:val="bullet"/>
      <w:lvlText w:val=""/>
      <w:lvlJc w:val="left"/>
      <w:pPr>
        <w:ind w:left="2880" w:hanging="360"/>
      </w:pPr>
      <w:rPr>
        <w:rFonts w:ascii="Symbol" w:hAnsi="Symbol" w:hint="default"/>
      </w:rPr>
    </w:lvl>
    <w:lvl w:ilvl="4" w:tplc="2FB47144">
      <w:start w:val="1"/>
      <w:numFmt w:val="bullet"/>
      <w:lvlText w:val="o"/>
      <w:lvlJc w:val="left"/>
      <w:pPr>
        <w:ind w:left="3600" w:hanging="360"/>
      </w:pPr>
      <w:rPr>
        <w:rFonts w:ascii="Courier New" w:hAnsi="Courier New" w:hint="default"/>
      </w:rPr>
    </w:lvl>
    <w:lvl w:ilvl="5" w:tplc="D5C22644">
      <w:start w:val="1"/>
      <w:numFmt w:val="bullet"/>
      <w:lvlText w:val=""/>
      <w:lvlJc w:val="left"/>
      <w:pPr>
        <w:ind w:left="4320" w:hanging="360"/>
      </w:pPr>
      <w:rPr>
        <w:rFonts w:ascii="Wingdings" w:hAnsi="Wingdings" w:hint="default"/>
      </w:rPr>
    </w:lvl>
    <w:lvl w:ilvl="6" w:tplc="66F2DC64">
      <w:start w:val="1"/>
      <w:numFmt w:val="bullet"/>
      <w:lvlText w:val=""/>
      <w:lvlJc w:val="left"/>
      <w:pPr>
        <w:ind w:left="5040" w:hanging="360"/>
      </w:pPr>
      <w:rPr>
        <w:rFonts w:ascii="Symbol" w:hAnsi="Symbol" w:hint="default"/>
      </w:rPr>
    </w:lvl>
    <w:lvl w:ilvl="7" w:tplc="80607B8E">
      <w:start w:val="1"/>
      <w:numFmt w:val="bullet"/>
      <w:lvlText w:val="o"/>
      <w:lvlJc w:val="left"/>
      <w:pPr>
        <w:ind w:left="5760" w:hanging="360"/>
      </w:pPr>
      <w:rPr>
        <w:rFonts w:ascii="Courier New" w:hAnsi="Courier New" w:hint="default"/>
      </w:rPr>
    </w:lvl>
    <w:lvl w:ilvl="8" w:tplc="93A81210">
      <w:start w:val="1"/>
      <w:numFmt w:val="bullet"/>
      <w:lvlText w:val=""/>
      <w:lvlJc w:val="left"/>
      <w:pPr>
        <w:ind w:left="6480" w:hanging="360"/>
      </w:pPr>
      <w:rPr>
        <w:rFonts w:ascii="Wingdings" w:hAnsi="Wingdings" w:hint="default"/>
      </w:rPr>
    </w:lvl>
  </w:abstractNum>
  <w:abstractNum w:abstractNumId="22" w15:restartNumberingAfterBreak="0">
    <w:nsid w:val="7D5DE58A"/>
    <w:multiLevelType w:val="hybridMultilevel"/>
    <w:tmpl w:val="B57A83D0"/>
    <w:lvl w:ilvl="0" w:tplc="53240C2C">
      <w:start w:val="1"/>
      <w:numFmt w:val="bullet"/>
      <w:lvlText w:val="-"/>
      <w:lvlJc w:val="left"/>
      <w:pPr>
        <w:ind w:left="720" w:hanging="360"/>
      </w:pPr>
      <w:rPr>
        <w:rFonts w:ascii="Aptos" w:hAnsi="Aptos" w:hint="default"/>
      </w:rPr>
    </w:lvl>
    <w:lvl w:ilvl="1" w:tplc="55EE1F88">
      <w:start w:val="1"/>
      <w:numFmt w:val="bullet"/>
      <w:lvlText w:val="o"/>
      <w:lvlJc w:val="left"/>
      <w:pPr>
        <w:ind w:left="1440" w:hanging="360"/>
      </w:pPr>
      <w:rPr>
        <w:rFonts w:ascii="Courier New" w:hAnsi="Courier New" w:hint="default"/>
      </w:rPr>
    </w:lvl>
    <w:lvl w:ilvl="2" w:tplc="F4748988">
      <w:start w:val="1"/>
      <w:numFmt w:val="bullet"/>
      <w:lvlText w:val=""/>
      <w:lvlJc w:val="left"/>
      <w:pPr>
        <w:ind w:left="2160" w:hanging="360"/>
      </w:pPr>
      <w:rPr>
        <w:rFonts w:ascii="Wingdings" w:hAnsi="Wingdings" w:hint="default"/>
      </w:rPr>
    </w:lvl>
    <w:lvl w:ilvl="3" w:tplc="93A48528">
      <w:start w:val="1"/>
      <w:numFmt w:val="bullet"/>
      <w:lvlText w:val=""/>
      <w:lvlJc w:val="left"/>
      <w:pPr>
        <w:ind w:left="2880" w:hanging="360"/>
      </w:pPr>
      <w:rPr>
        <w:rFonts w:ascii="Symbol" w:hAnsi="Symbol" w:hint="default"/>
      </w:rPr>
    </w:lvl>
    <w:lvl w:ilvl="4" w:tplc="C7E063D0">
      <w:start w:val="1"/>
      <w:numFmt w:val="bullet"/>
      <w:lvlText w:val="o"/>
      <w:lvlJc w:val="left"/>
      <w:pPr>
        <w:ind w:left="3600" w:hanging="360"/>
      </w:pPr>
      <w:rPr>
        <w:rFonts w:ascii="Courier New" w:hAnsi="Courier New" w:hint="default"/>
      </w:rPr>
    </w:lvl>
    <w:lvl w:ilvl="5" w:tplc="BDD633F2">
      <w:start w:val="1"/>
      <w:numFmt w:val="bullet"/>
      <w:lvlText w:val=""/>
      <w:lvlJc w:val="left"/>
      <w:pPr>
        <w:ind w:left="4320" w:hanging="360"/>
      </w:pPr>
      <w:rPr>
        <w:rFonts w:ascii="Wingdings" w:hAnsi="Wingdings" w:hint="default"/>
      </w:rPr>
    </w:lvl>
    <w:lvl w:ilvl="6" w:tplc="249CED00">
      <w:start w:val="1"/>
      <w:numFmt w:val="bullet"/>
      <w:lvlText w:val=""/>
      <w:lvlJc w:val="left"/>
      <w:pPr>
        <w:ind w:left="5040" w:hanging="360"/>
      </w:pPr>
      <w:rPr>
        <w:rFonts w:ascii="Symbol" w:hAnsi="Symbol" w:hint="default"/>
      </w:rPr>
    </w:lvl>
    <w:lvl w:ilvl="7" w:tplc="AE187EB0">
      <w:start w:val="1"/>
      <w:numFmt w:val="bullet"/>
      <w:lvlText w:val="o"/>
      <w:lvlJc w:val="left"/>
      <w:pPr>
        <w:ind w:left="5760" w:hanging="360"/>
      </w:pPr>
      <w:rPr>
        <w:rFonts w:ascii="Courier New" w:hAnsi="Courier New" w:hint="default"/>
      </w:rPr>
    </w:lvl>
    <w:lvl w:ilvl="8" w:tplc="A8567562">
      <w:start w:val="1"/>
      <w:numFmt w:val="bullet"/>
      <w:lvlText w:val=""/>
      <w:lvlJc w:val="left"/>
      <w:pPr>
        <w:ind w:left="6480" w:hanging="360"/>
      </w:pPr>
      <w:rPr>
        <w:rFonts w:ascii="Wingdings" w:hAnsi="Wingdings" w:hint="default"/>
      </w:rPr>
    </w:lvl>
  </w:abstractNum>
  <w:num w:numId="1" w16cid:durableId="897975222">
    <w:abstractNumId w:val="10"/>
  </w:num>
  <w:num w:numId="2" w16cid:durableId="333264056">
    <w:abstractNumId w:val="14"/>
  </w:num>
  <w:num w:numId="3" w16cid:durableId="538586523">
    <w:abstractNumId w:val="16"/>
  </w:num>
  <w:num w:numId="4" w16cid:durableId="96222430">
    <w:abstractNumId w:val="21"/>
  </w:num>
  <w:num w:numId="5" w16cid:durableId="739836220">
    <w:abstractNumId w:val="2"/>
  </w:num>
  <w:num w:numId="6" w16cid:durableId="1619488507">
    <w:abstractNumId w:val="22"/>
  </w:num>
  <w:num w:numId="7" w16cid:durableId="169372491">
    <w:abstractNumId w:val="13"/>
  </w:num>
  <w:num w:numId="8" w16cid:durableId="41447091">
    <w:abstractNumId w:val="3"/>
  </w:num>
  <w:num w:numId="9" w16cid:durableId="1821189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1852632">
    <w:abstractNumId w:val="17"/>
  </w:num>
  <w:num w:numId="11" w16cid:durableId="1617132034">
    <w:abstractNumId w:val="18"/>
  </w:num>
  <w:num w:numId="12" w16cid:durableId="1161851987">
    <w:abstractNumId w:val="15"/>
  </w:num>
  <w:num w:numId="13" w16cid:durableId="18748321">
    <w:abstractNumId w:val="20"/>
  </w:num>
  <w:num w:numId="14" w16cid:durableId="1568614165">
    <w:abstractNumId w:val="8"/>
  </w:num>
  <w:num w:numId="15" w16cid:durableId="2084984609">
    <w:abstractNumId w:val="6"/>
  </w:num>
  <w:num w:numId="16" w16cid:durableId="890194979">
    <w:abstractNumId w:val="9"/>
  </w:num>
  <w:num w:numId="17" w16cid:durableId="2010402154">
    <w:abstractNumId w:val="7"/>
  </w:num>
  <w:num w:numId="18" w16cid:durableId="577011556">
    <w:abstractNumId w:val="4"/>
  </w:num>
  <w:num w:numId="19" w16cid:durableId="1714038033">
    <w:abstractNumId w:val="19"/>
  </w:num>
  <w:num w:numId="20" w16cid:durableId="1130637351">
    <w:abstractNumId w:val="5"/>
  </w:num>
  <w:num w:numId="21" w16cid:durableId="140193846">
    <w:abstractNumId w:val="0"/>
  </w:num>
  <w:num w:numId="22" w16cid:durableId="1315990074">
    <w:abstractNumId w:val="11"/>
  </w:num>
  <w:num w:numId="23" w16cid:durableId="1514950092">
    <w:abstractNumId w:val="1"/>
  </w:num>
  <w:num w:numId="24" w16cid:durableId="915016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20"/>
    <w:rsid w:val="0000004E"/>
    <w:rsid w:val="00001D34"/>
    <w:rsid w:val="00003F25"/>
    <w:rsid w:val="000066CA"/>
    <w:rsid w:val="00006CA0"/>
    <w:rsid w:val="000102F6"/>
    <w:rsid w:val="00010BFF"/>
    <w:rsid w:val="0001227E"/>
    <w:rsid w:val="000131C3"/>
    <w:rsid w:val="00013A90"/>
    <w:rsid w:val="000146CC"/>
    <w:rsid w:val="00015591"/>
    <w:rsid w:val="00015A8A"/>
    <w:rsid w:val="00017BE8"/>
    <w:rsid w:val="00023206"/>
    <w:rsid w:val="00025986"/>
    <w:rsid w:val="00026FE7"/>
    <w:rsid w:val="000307F1"/>
    <w:rsid w:val="000309FA"/>
    <w:rsid w:val="00033E30"/>
    <w:rsid w:val="00033F1C"/>
    <w:rsid w:val="00034645"/>
    <w:rsid w:val="00037E14"/>
    <w:rsid w:val="000408D4"/>
    <w:rsid w:val="00041E27"/>
    <w:rsid w:val="00042320"/>
    <w:rsid w:val="0004233A"/>
    <w:rsid w:val="000429E1"/>
    <w:rsid w:val="00043274"/>
    <w:rsid w:val="00046664"/>
    <w:rsid w:val="0005054C"/>
    <w:rsid w:val="00053A05"/>
    <w:rsid w:val="000563A3"/>
    <w:rsid w:val="00060DA9"/>
    <w:rsid w:val="00062103"/>
    <w:rsid w:val="00062600"/>
    <w:rsid w:val="00065B40"/>
    <w:rsid w:val="000709A9"/>
    <w:rsid w:val="00070B41"/>
    <w:rsid w:val="00071E33"/>
    <w:rsid w:val="00074AC5"/>
    <w:rsid w:val="00075D21"/>
    <w:rsid w:val="000804F5"/>
    <w:rsid w:val="00080A29"/>
    <w:rsid w:val="0008331D"/>
    <w:rsid w:val="00085955"/>
    <w:rsid w:val="00091C4A"/>
    <w:rsid w:val="000944EC"/>
    <w:rsid w:val="00094609"/>
    <w:rsid w:val="00097EA0"/>
    <w:rsid w:val="000A2B2B"/>
    <w:rsid w:val="000A2F51"/>
    <w:rsid w:val="000A311B"/>
    <w:rsid w:val="000A4465"/>
    <w:rsid w:val="000A72A2"/>
    <w:rsid w:val="000A7BB2"/>
    <w:rsid w:val="000B69B5"/>
    <w:rsid w:val="000B6A23"/>
    <w:rsid w:val="000B7E76"/>
    <w:rsid w:val="000C1DEC"/>
    <w:rsid w:val="000C63A8"/>
    <w:rsid w:val="000D3300"/>
    <w:rsid w:val="000D42D3"/>
    <w:rsid w:val="000E1404"/>
    <w:rsid w:val="000E3CED"/>
    <w:rsid w:val="000E4DF1"/>
    <w:rsid w:val="000F177E"/>
    <w:rsid w:val="000F227C"/>
    <w:rsid w:val="000F3C17"/>
    <w:rsid w:val="000F524B"/>
    <w:rsid w:val="000F6051"/>
    <w:rsid w:val="001002A3"/>
    <w:rsid w:val="00101CA8"/>
    <w:rsid w:val="00107550"/>
    <w:rsid w:val="00110876"/>
    <w:rsid w:val="0011621A"/>
    <w:rsid w:val="00117A71"/>
    <w:rsid w:val="00120441"/>
    <w:rsid w:val="00121AF6"/>
    <w:rsid w:val="0012208E"/>
    <w:rsid w:val="00124AB8"/>
    <w:rsid w:val="001279B1"/>
    <w:rsid w:val="0013278E"/>
    <w:rsid w:val="00135D2E"/>
    <w:rsid w:val="0013610E"/>
    <w:rsid w:val="00137987"/>
    <w:rsid w:val="00142A79"/>
    <w:rsid w:val="0014401B"/>
    <w:rsid w:val="00155275"/>
    <w:rsid w:val="00155CFB"/>
    <w:rsid w:val="0015771E"/>
    <w:rsid w:val="00161C85"/>
    <w:rsid w:val="00163CC0"/>
    <w:rsid w:val="00166CC0"/>
    <w:rsid w:val="001678DE"/>
    <w:rsid w:val="001712EA"/>
    <w:rsid w:val="00172B74"/>
    <w:rsid w:val="00173067"/>
    <w:rsid w:val="001738FE"/>
    <w:rsid w:val="00173E58"/>
    <w:rsid w:val="001765E7"/>
    <w:rsid w:val="00177088"/>
    <w:rsid w:val="00184B0E"/>
    <w:rsid w:val="001876FF"/>
    <w:rsid w:val="00190BB1"/>
    <w:rsid w:val="001921F5"/>
    <w:rsid w:val="001A2FF4"/>
    <w:rsid w:val="001A75D7"/>
    <w:rsid w:val="001A7D85"/>
    <w:rsid w:val="001B3516"/>
    <w:rsid w:val="001B6CD3"/>
    <w:rsid w:val="001B7B67"/>
    <w:rsid w:val="001C2ABC"/>
    <w:rsid w:val="001D3BAC"/>
    <w:rsid w:val="001D504F"/>
    <w:rsid w:val="001D5CBF"/>
    <w:rsid w:val="001E1169"/>
    <w:rsid w:val="001E6BED"/>
    <w:rsid w:val="001F2546"/>
    <w:rsid w:val="001F344B"/>
    <w:rsid w:val="001F40CB"/>
    <w:rsid w:val="001F48F7"/>
    <w:rsid w:val="001F5430"/>
    <w:rsid w:val="001F680F"/>
    <w:rsid w:val="002007B5"/>
    <w:rsid w:val="00201FB8"/>
    <w:rsid w:val="00203FEA"/>
    <w:rsid w:val="00205F95"/>
    <w:rsid w:val="00210F5A"/>
    <w:rsid w:val="002147A1"/>
    <w:rsid w:val="00215C41"/>
    <w:rsid w:val="00220A3A"/>
    <w:rsid w:val="00221F91"/>
    <w:rsid w:val="002225E5"/>
    <w:rsid w:val="00222CCC"/>
    <w:rsid w:val="00223902"/>
    <w:rsid w:val="002274AB"/>
    <w:rsid w:val="00232011"/>
    <w:rsid w:val="00233FE1"/>
    <w:rsid w:val="00236EED"/>
    <w:rsid w:val="0024074E"/>
    <w:rsid w:val="002417D3"/>
    <w:rsid w:val="002425FB"/>
    <w:rsid w:val="00254E50"/>
    <w:rsid w:val="0025530C"/>
    <w:rsid w:val="00257CF6"/>
    <w:rsid w:val="00260B42"/>
    <w:rsid w:val="00263687"/>
    <w:rsid w:val="00264A7D"/>
    <w:rsid w:val="00265D63"/>
    <w:rsid w:val="0027278A"/>
    <w:rsid w:val="00272DE1"/>
    <w:rsid w:val="00275B66"/>
    <w:rsid w:val="00281545"/>
    <w:rsid w:val="00281DF3"/>
    <w:rsid w:val="00286C6C"/>
    <w:rsid w:val="002913A2"/>
    <w:rsid w:val="002931BC"/>
    <w:rsid w:val="002944C5"/>
    <w:rsid w:val="00294997"/>
    <w:rsid w:val="00295986"/>
    <w:rsid w:val="002965C7"/>
    <w:rsid w:val="002A34E0"/>
    <w:rsid w:val="002A6AE6"/>
    <w:rsid w:val="002B1F53"/>
    <w:rsid w:val="002B43DE"/>
    <w:rsid w:val="002B6BF0"/>
    <w:rsid w:val="002C157A"/>
    <w:rsid w:val="002C5B76"/>
    <w:rsid w:val="002D0A65"/>
    <w:rsid w:val="002D169A"/>
    <w:rsid w:val="002E4C9A"/>
    <w:rsid w:val="002E62A8"/>
    <w:rsid w:val="002E71C2"/>
    <w:rsid w:val="002F10AB"/>
    <w:rsid w:val="002F3369"/>
    <w:rsid w:val="002F4BDE"/>
    <w:rsid w:val="002F6E4B"/>
    <w:rsid w:val="003006CA"/>
    <w:rsid w:val="00300980"/>
    <w:rsid w:val="00301E8E"/>
    <w:rsid w:val="00301ECC"/>
    <w:rsid w:val="00303A09"/>
    <w:rsid w:val="0031018A"/>
    <w:rsid w:val="00310452"/>
    <w:rsid w:val="00314709"/>
    <w:rsid w:val="00314B29"/>
    <w:rsid w:val="0031772B"/>
    <w:rsid w:val="00317F14"/>
    <w:rsid w:val="00321612"/>
    <w:rsid w:val="00321CB7"/>
    <w:rsid w:val="003235CA"/>
    <w:rsid w:val="00326085"/>
    <w:rsid w:val="003267A8"/>
    <w:rsid w:val="003271E5"/>
    <w:rsid w:val="00327BA0"/>
    <w:rsid w:val="00330620"/>
    <w:rsid w:val="00331FF4"/>
    <w:rsid w:val="003404A0"/>
    <w:rsid w:val="0034107F"/>
    <w:rsid w:val="00342F5E"/>
    <w:rsid w:val="00343B51"/>
    <w:rsid w:val="00345149"/>
    <w:rsid w:val="00347CB8"/>
    <w:rsid w:val="00350A61"/>
    <w:rsid w:val="00352B32"/>
    <w:rsid w:val="00353786"/>
    <w:rsid w:val="00361433"/>
    <w:rsid w:val="00361D93"/>
    <w:rsid w:val="0036298B"/>
    <w:rsid w:val="003674B4"/>
    <w:rsid w:val="0037246A"/>
    <w:rsid w:val="0037402D"/>
    <w:rsid w:val="003741B1"/>
    <w:rsid w:val="00377206"/>
    <w:rsid w:val="003808CA"/>
    <w:rsid w:val="00381C76"/>
    <w:rsid w:val="003913AC"/>
    <w:rsid w:val="00392956"/>
    <w:rsid w:val="003A26A6"/>
    <w:rsid w:val="003A5B11"/>
    <w:rsid w:val="003A63C8"/>
    <w:rsid w:val="003A6A7F"/>
    <w:rsid w:val="003C280D"/>
    <w:rsid w:val="003C7B7C"/>
    <w:rsid w:val="003D0101"/>
    <w:rsid w:val="003D05F6"/>
    <w:rsid w:val="003D18C6"/>
    <w:rsid w:val="003D33D9"/>
    <w:rsid w:val="003E316B"/>
    <w:rsid w:val="003E3184"/>
    <w:rsid w:val="003E4ED4"/>
    <w:rsid w:val="003E7117"/>
    <w:rsid w:val="003F050B"/>
    <w:rsid w:val="003F1B9F"/>
    <w:rsid w:val="003F215F"/>
    <w:rsid w:val="003F3E4F"/>
    <w:rsid w:val="003F7508"/>
    <w:rsid w:val="00406FC0"/>
    <w:rsid w:val="004074AF"/>
    <w:rsid w:val="004075B8"/>
    <w:rsid w:val="00411A41"/>
    <w:rsid w:val="00414695"/>
    <w:rsid w:val="004171DA"/>
    <w:rsid w:val="00417CC4"/>
    <w:rsid w:val="00417D68"/>
    <w:rsid w:val="00420A03"/>
    <w:rsid w:val="00420D51"/>
    <w:rsid w:val="004210D0"/>
    <w:rsid w:val="00421CB1"/>
    <w:rsid w:val="00422A66"/>
    <w:rsid w:val="0042461A"/>
    <w:rsid w:val="00424862"/>
    <w:rsid w:val="004260A4"/>
    <w:rsid w:val="00426204"/>
    <w:rsid w:val="00427474"/>
    <w:rsid w:val="00432146"/>
    <w:rsid w:val="00432164"/>
    <w:rsid w:val="004331CE"/>
    <w:rsid w:val="00437483"/>
    <w:rsid w:val="00437C14"/>
    <w:rsid w:val="00440E44"/>
    <w:rsid w:val="00441E96"/>
    <w:rsid w:val="004422F1"/>
    <w:rsid w:val="004443E8"/>
    <w:rsid w:val="00451812"/>
    <w:rsid w:val="00451FD4"/>
    <w:rsid w:val="004566D3"/>
    <w:rsid w:val="004578A7"/>
    <w:rsid w:val="00460140"/>
    <w:rsid w:val="0047026C"/>
    <w:rsid w:val="004725CF"/>
    <w:rsid w:val="00475ED2"/>
    <w:rsid w:val="0047689E"/>
    <w:rsid w:val="004807EF"/>
    <w:rsid w:val="00480BF2"/>
    <w:rsid w:val="00482CFD"/>
    <w:rsid w:val="004836A0"/>
    <w:rsid w:val="00495294"/>
    <w:rsid w:val="004A4784"/>
    <w:rsid w:val="004A5FDB"/>
    <w:rsid w:val="004A771A"/>
    <w:rsid w:val="004B1215"/>
    <w:rsid w:val="004B121B"/>
    <w:rsid w:val="004B17CF"/>
    <w:rsid w:val="004B3F84"/>
    <w:rsid w:val="004B5F88"/>
    <w:rsid w:val="004B62B3"/>
    <w:rsid w:val="004B6B8E"/>
    <w:rsid w:val="004C1F50"/>
    <w:rsid w:val="004C2FC3"/>
    <w:rsid w:val="004C35B7"/>
    <w:rsid w:val="004C4193"/>
    <w:rsid w:val="004C4356"/>
    <w:rsid w:val="004C4C59"/>
    <w:rsid w:val="004C57B4"/>
    <w:rsid w:val="004C5BC6"/>
    <w:rsid w:val="004C7012"/>
    <w:rsid w:val="004C7FB8"/>
    <w:rsid w:val="004D1B80"/>
    <w:rsid w:val="004D7B7E"/>
    <w:rsid w:val="004D7B8A"/>
    <w:rsid w:val="004E2ADF"/>
    <w:rsid w:val="004E3453"/>
    <w:rsid w:val="004E3A5A"/>
    <w:rsid w:val="004F4E95"/>
    <w:rsid w:val="004F5E7B"/>
    <w:rsid w:val="004F60F4"/>
    <w:rsid w:val="005036D6"/>
    <w:rsid w:val="00505A32"/>
    <w:rsid w:val="005103A1"/>
    <w:rsid w:val="0051094A"/>
    <w:rsid w:val="0051598E"/>
    <w:rsid w:val="00515FC5"/>
    <w:rsid w:val="005171DC"/>
    <w:rsid w:val="0051767A"/>
    <w:rsid w:val="00520791"/>
    <w:rsid w:val="00526188"/>
    <w:rsid w:val="005270A5"/>
    <w:rsid w:val="00530C28"/>
    <w:rsid w:val="00535464"/>
    <w:rsid w:val="00535553"/>
    <w:rsid w:val="0053686D"/>
    <w:rsid w:val="00537256"/>
    <w:rsid w:val="005372EB"/>
    <w:rsid w:val="00540E7E"/>
    <w:rsid w:val="005431AE"/>
    <w:rsid w:val="00545C9E"/>
    <w:rsid w:val="00546456"/>
    <w:rsid w:val="00546912"/>
    <w:rsid w:val="0055171D"/>
    <w:rsid w:val="005523F6"/>
    <w:rsid w:val="00552855"/>
    <w:rsid w:val="00553D25"/>
    <w:rsid w:val="005558B1"/>
    <w:rsid w:val="00555990"/>
    <w:rsid w:val="005639AA"/>
    <w:rsid w:val="005647EC"/>
    <w:rsid w:val="00565B68"/>
    <w:rsid w:val="00570C5F"/>
    <w:rsid w:val="00570EA1"/>
    <w:rsid w:val="00572FD9"/>
    <w:rsid w:val="00573C88"/>
    <w:rsid w:val="00574A05"/>
    <w:rsid w:val="00575C36"/>
    <w:rsid w:val="0058036F"/>
    <w:rsid w:val="0058273F"/>
    <w:rsid w:val="005872D3"/>
    <w:rsid w:val="00587994"/>
    <w:rsid w:val="005918C2"/>
    <w:rsid w:val="00595C3D"/>
    <w:rsid w:val="00595EB9"/>
    <w:rsid w:val="005A0316"/>
    <w:rsid w:val="005A5A05"/>
    <w:rsid w:val="005A6DED"/>
    <w:rsid w:val="005B1C0C"/>
    <w:rsid w:val="005B7AC0"/>
    <w:rsid w:val="005C0F3D"/>
    <w:rsid w:val="005C4170"/>
    <w:rsid w:val="005C548A"/>
    <w:rsid w:val="005D1BAC"/>
    <w:rsid w:val="005D295E"/>
    <w:rsid w:val="005D39A6"/>
    <w:rsid w:val="005E0B77"/>
    <w:rsid w:val="005E1951"/>
    <w:rsid w:val="005E1FD0"/>
    <w:rsid w:val="005E4ABD"/>
    <w:rsid w:val="005E705B"/>
    <w:rsid w:val="005F0FBA"/>
    <w:rsid w:val="005F2A98"/>
    <w:rsid w:val="005F36B8"/>
    <w:rsid w:val="005F579D"/>
    <w:rsid w:val="005F584C"/>
    <w:rsid w:val="005F5BE7"/>
    <w:rsid w:val="005F6E80"/>
    <w:rsid w:val="005F743E"/>
    <w:rsid w:val="006108B9"/>
    <w:rsid w:val="00610F78"/>
    <w:rsid w:val="00611260"/>
    <w:rsid w:val="00613699"/>
    <w:rsid w:val="00613F39"/>
    <w:rsid w:val="00621D1E"/>
    <w:rsid w:val="00623CC9"/>
    <w:rsid w:val="006275FB"/>
    <w:rsid w:val="006310D4"/>
    <w:rsid w:val="006363D7"/>
    <w:rsid w:val="00636934"/>
    <w:rsid w:val="00636F18"/>
    <w:rsid w:val="006441CA"/>
    <w:rsid w:val="006462C2"/>
    <w:rsid w:val="0065260A"/>
    <w:rsid w:val="00652F00"/>
    <w:rsid w:val="0065444D"/>
    <w:rsid w:val="00656300"/>
    <w:rsid w:val="006568E0"/>
    <w:rsid w:val="0066584B"/>
    <w:rsid w:val="00667279"/>
    <w:rsid w:val="00670A14"/>
    <w:rsid w:val="006712B7"/>
    <w:rsid w:val="006718EA"/>
    <w:rsid w:val="006803AC"/>
    <w:rsid w:val="00682F2C"/>
    <w:rsid w:val="00687C35"/>
    <w:rsid w:val="00687E81"/>
    <w:rsid w:val="006909C8"/>
    <w:rsid w:val="0069143A"/>
    <w:rsid w:val="00692F4C"/>
    <w:rsid w:val="0069460B"/>
    <w:rsid w:val="00694D7F"/>
    <w:rsid w:val="006A1B76"/>
    <w:rsid w:val="006A3279"/>
    <w:rsid w:val="006A42B5"/>
    <w:rsid w:val="006A59B9"/>
    <w:rsid w:val="006B1575"/>
    <w:rsid w:val="006B1A7C"/>
    <w:rsid w:val="006B301E"/>
    <w:rsid w:val="006B3BD7"/>
    <w:rsid w:val="006B5394"/>
    <w:rsid w:val="006B62C0"/>
    <w:rsid w:val="006C3D0B"/>
    <w:rsid w:val="006C3D5A"/>
    <w:rsid w:val="006D3198"/>
    <w:rsid w:val="006D5BEE"/>
    <w:rsid w:val="006E2995"/>
    <w:rsid w:val="006E5CD8"/>
    <w:rsid w:val="006E6917"/>
    <w:rsid w:val="006E7334"/>
    <w:rsid w:val="006F511A"/>
    <w:rsid w:val="0070242D"/>
    <w:rsid w:val="00707850"/>
    <w:rsid w:val="0071029F"/>
    <w:rsid w:val="0071641C"/>
    <w:rsid w:val="007174A9"/>
    <w:rsid w:val="00723B15"/>
    <w:rsid w:val="0072417D"/>
    <w:rsid w:val="007249CD"/>
    <w:rsid w:val="00731CE0"/>
    <w:rsid w:val="007321A8"/>
    <w:rsid w:val="00733C78"/>
    <w:rsid w:val="007370C0"/>
    <w:rsid w:val="00737D7C"/>
    <w:rsid w:val="00744238"/>
    <w:rsid w:val="00753B71"/>
    <w:rsid w:val="00755E34"/>
    <w:rsid w:val="00756248"/>
    <w:rsid w:val="00761934"/>
    <w:rsid w:val="00763F4D"/>
    <w:rsid w:val="00765C99"/>
    <w:rsid w:val="00766479"/>
    <w:rsid w:val="007701FC"/>
    <w:rsid w:val="00770E02"/>
    <w:rsid w:val="00773778"/>
    <w:rsid w:val="007770F4"/>
    <w:rsid w:val="007777F8"/>
    <w:rsid w:val="00782F1C"/>
    <w:rsid w:val="007853CD"/>
    <w:rsid w:val="00785760"/>
    <w:rsid w:val="007861E2"/>
    <w:rsid w:val="00787837"/>
    <w:rsid w:val="00793793"/>
    <w:rsid w:val="007A122B"/>
    <w:rsid w:val="007A2E28"/>
    <w:rsid w:val="007A56B8"/>
    <w:rsid w:val="007A5D7B"/>
    <w:rsid w:val="007A7D61"/>
    <w:rsid w:val="007B311D"/>
    <w:rsid w:val="007B3AF0"/>
    <w:rsid w:val="007C03F1"/>
    <w:rsid w:val="007C1B8A"/>
    <w:rsid w:val="007C2379"/>
    <w:rsid w:val="007C4EF7"/>
    <w:rsid w:val="007C59A4"/>
    <w:rsid w:val="007D0369"/>
    <w:rsid w:val="007D756B"/>
    <w:rsid w:val="007D7960"/>
    <w:rsid w:val="007D7EA0"/>
    <w:rsid w:val="007E1644"/>
    <w:rsid w:val="007E321B"/>
    <w:rsid w:val="007E5EA1"/>
    <w:rsid w:val="007E6E49"/>
    <w:rsid w:val="007F3C0C"/>
    <w:rsid w:val="007F504F"/>
    <w:rsid w:val="007F6456"/>
    <w:rsid w:val="008003B8"/>
    <w:rsid w:val="00801FB8"/>
    <w:rsid w:val="008049D8"/>
    <w:rsid w:val="00805600"/>
    <w:rsid w:val="00805A97"/>
    <w:rsid w:val="00805FBB"/>
    <w:rsid w:val="00815A73"/>
    <w:rsid w:val="008201D8"/>
    <w:rsid w:val="00826B16"/>
    <w:rsid w:val="00831835"/>
    <w:rsid w:val="00832B48"/>
    <w:rsid w:val="00836665"/>
    <w:rsid w:val="00836851"/>
    <w:rsid w:val="0083707A"/>
    <w:rsid w:val="00837DB3"/>
    <w:rsid w:val="00841F32"/>
    <w:rsid w:val="00843C32"/>
    <w:rsid w:val="00845903"/>
    <w:rsid w:val="00847B78"/>
    <w:rsid w:val="00851E49"/>
    <w:rsid w:val="00852A51"/>
    <w:rsid w:val="00861870"/>
    <w:rsid w:val="00862732"/>
    <w:rsid w:val="00862C68"/>
    <w:rsid w:val="00867554"/>
    <w:rsid w:val="00867C2C"/>
    <w:rsid w:val="00867D90"/>
    <w:rsid w:val="0087214A"/>
    <w:rsid w:val="00876E85"/>
    <w:rsid w:val="00880606"/>
    <w:rsid w:val="00883F89"/>
    <w:rsid w:val="008862CB"/>
    <w:rsid w:val="0088757C"/>
    <w:rsid w:val="00890EAB"/>
    <w:rsid w:val="00895847"/>
    <w:rsid w:val="00897E5E"/>
    <w:rsid w:val="00897FE6"/>
    <w:rsid w:val="008A40C1"/>
    <w:rsid w:val="008A5E93"/>
    <w:rsid w:val="008B079D"/>
    <w:rsid w:val="008B07F1"/>
    <w:rsid w:val="008B266D"/>
    <w:rsid w:val="008B4921"/>
    <w:rsid w:val="008B6279"/>
    <w:rsid w:val="008C0C24"/>
    <w:rsid w:val="008C5F3B"/>
    <w:rsid w:val="008C6BF7"/>
    <w:rsid w:val="008C7E64"/>
    <w:rsid w:val="008C7F74"/>
    <w:rsid w:val="008D04A7"/>
    <w:rsid w:val="008D2540"/>
    <w:rsid w:val="008D654E"/>
    <w:rsid w:val="008D7DE1"/>
    <w:rsid w:val="008E0431"/>
    <w:rsid w:val="008E1BF7"/>
    <w:rsid w:val="008F7419"/>
    <w:rsid w:val="008F7F80"/>
    <w:rsid w:val="00902F7E"/>
    <w:rsid w:val="00904717"/>
    <w:rsid w:val="00904966"/>
    <w:rsid w:val="00904D45"/>
    <w:rsid w:val="009056D8"/>
    <w:rsid w:val="009061E7"/>
    <w:rsid w:val="0090651F"/>
    <w:rsid w:val="009071CB"/>
    <w:rsid w:val="00910574"/>
    <w:rsid w:val="009117C3"/>
    <w:rsid w:val="00911E19"/>
    <w:rsid w:val="009122D1"/>
    <w:rsid w:val="00912653"/>
    <w:rsid w:val="00915507"/>
    <w:rsid w:val="0091565B"/>
    <w:rsid w:val="0092019E"/>
    <w:rsid w:val="0092100A"/>
    <w:rsid w:val="009239E8"/>
    <w:rsid w:val="00925DC3"/>
    <w:rsid w:val="00925E07"/>
    <w:rsid w:val="00933D9A"/>
    <w:rsid w:val="009348A8"/>
    <w:rsid w:val="00934983"/>
    <w:rsid w:val="00936969"/>
    <w:rsid w:val="009419C5"/>
    <w:rsid w:val="009503AF"/>
    <w:rsid w:val="0095183A"/>
    <w:rsid w:val="00951DB6"/>
    <w:rsid w:val="00954BE4"/>
    <w:rsid w:val="00961AF9"/>
    <w:rsid w:val="0096251B"/>
    <w:rsid w:val="009626C7"/>
    <w:rsid w:val="00965D8C"/>
    <w:rsid w:val="009703E6"/>
    <w:rsid w:val="00970F7A"/>
    <w:rsid w:val="00974F00"/>
    <w:rsid w:val="009754C9"/>
    <w:rsid w:val="009814DC"/>
    <w:rsid w:val="00981FC4"/>
    <w:rsid w:val="00982B20"/>
    <w:rsid w:val="00983C35"/>
    <w:rsid w:val="00985281"/>
    <w:rsid w:val="00986A69"/>
    <w:rsid w:val="0098742B"/>
    <w:rsid w:val="00987AD2"/>
    <w:rsid w:val="009905A0"/>
    <w:rsid w:val="00993292"/>
    <w:rsid w:val="00994ADF"/>
    <w:rsid w:val="00996535"/>
    <w:rsid w:val="009A344C"/>
    <w:rsid w:val="009A3EB3"/>
    <w:rsid w:val="009A4336"/>
    <w:rsid w:val="009B0507"/>
    <w:rsid w:val="009B3FBE"/>
    <w:rsid w:val="009B4462"/>
    <w:rsid w:val="009B4D57"/>
    <w:rsid w:val="009C1C00"/>
    <w:rsid w:val="009D07CE"/>
    <w:rsid w:val="009D16EB"/>
    <w:rsid w:val="009D24C0"/>
    <w:rsid w:val="009D301F"/>
    <w:rsid w:val="009D5F1D"/>
    <w:rsid w:val="009D6EFF"/>
    <w:rsid w:val="009D7A59"/>
    <w:rsid w:val="009E6A5F"/>
    <w:rsid w:val="009F0322"/>
    <w:rsid w:val="009F08D6"/>
    <w:rsid w:val="009F2C05"/>
    <w:rsid w:val="009F3CC0"/>
    <w:rsid w:val="00A00660"/>
    <w:rsid w:val="00A0126F"/>
    <w:rsid w:val="00A01647"/>
    <w:rsid w:val="00A05356"/>
    <w:rsid w:val="00A078C3"/>
    <w:rsid w:val="00A078EC"/>
    <w:rsid w:val="00A134B6"/>
    <w:rsid w:val="00A202FC"/>
    <w:rsid w:val="00A2288F"/>
    <w:rsid w:val="00A229DD"/>
    <w:rsid w:val="00A27A17"/>
    <w:rsid w:val="00A35E75"/>
    <w:rsid w:val="00A419DD"/>
    <w:rsid w:val="00A4326E"/>
    <w:rsid w:val="00A473D8"/>
    <w:rsid w:val="00A5197C"/>
    <w:rsid w:val="00A53FD2"/>
    <w:rsid w:val="00A55556"/>
    <w:rsid w:val="00A61126"/>
    <w:rsid w:val="00A62D3A"/>
    <w:rsid w:val="00A70CF2"/>
    <w:rsid w:val="00A75134"/>
    <w:rsid w:val="00A756AF"/>
    <w:rsid w:val="00A761F7"/>
    <w:rsid w:val="00A7643B"/>
    <w:rsid w:val="00A76869"/>
    <w:rsid w:val="00A776DF"/>
    <w:rsid w:val="00A809E8"/>
    <w:rsid w:val="00A8509A"/>
    <w:rsid w:val="00A85154"/>
    <w:rsid w:val="00A85E04"/>
    <w:rsid w:val="00A90067"/>
    <w:rsid w:val="00A94A91"/>
    <w:rsid w:val="00A94AA6"/>
    <w:rsid w:val="00A9589F"/>
    <w:rsid w:val="00AA22DE"/>
    <w:rsid w:val="00AA37AB"/>
    <w:rsid w:val="00AA5F6A"/>
    <w:rsid w:val="00AB24E1"/>
    <w:rsid w:val="00AB60B6"/>
    <w:rsid w:val="00AB6C8C"/>
    <w:rsid w:val="00AC4345"/>
    <w:rsid w:val="00AC55B4"/>
    <w:rsid w:val="00AC564C"/>
    <w:rsid w:val="00AC60C8"/>
    <w:rsid w:val="00AC68E0"/>
    <w:rsid w:val="00AD1924"/>
    <w:rsid w:val="00AD5881"/>
    <w:rsid w:val="00AD5E0B"/>
    <w:rsid w:val="00AD6541"/>
    <w:rsid w:val="00AE6CC6"/>
    <w:rsid w:val="00AF208D"/>
    <w:rsid w:val="00AF28B4"/>
    <w:rsid w:val="00AF34E4"/>
    <w:rsid w:val="00AF4037"/>
    <w:rsid w:val="00AF41ED"/>
    <w:rsid w:val="00AF74E0"/>
    <w:rsid w:val="00B03A98"/>
    <w:rsid w:val="00B07686"/>
    <w:rsid w:val="00B10349"/>
    <w:rsid w:val="00B11C90"/>
    <w:rsid w:val="00B130EA"/>
    <w:rsid w:val="00B13550"/>
    <w:rsid w:val="00B14D0E"/>
    <w:rsid w:val="00B1751F"/>
    <w:rsid w:val="00B24399"/>
    <w:rsid w:val="00B24BD0"/>
    <w:rsid w:val="00B24D7C"/>
    <w:rsid w:val="00B27B4E"/>
    <w:rsid w:val="00B3087F"/>
    <w:rsid w:val="00B30AA2"/>
    <w:rsid w:val="00B36260"/>
    <w:rsid w:val="00B40267"/>
    <w:rsid w:val="00B47E18"/>
    <w:rsid w:val="00B555F5"/>
    <w:rsid w:val="00B563B0"/>
    <w:rsid w:val="00B56C73"/>
    <w:rsid w:val="00B57AE7"/>
    <w:rsid w:val="00B61DFF"/>
    <w:rsid w:val="00B63BB9"/>
    <w:rsid w:val="00B66975"/>
    <w:rsid w:val="00B6B255"/>
    <w:rsid w:val="00B74349"/>
    <w:rsid w:val="00B74E9B"/>
    <w:rsid w:val="00B8055B"/>
    <w:rsid w:val="00B8180D"/>
    <w:rsid w:val="00B87CC7"/>
    <w:rsid w:val="00B87DE5"/>
    <w:rsid w:val="00B91D82"/>
    <w:rsid w:val="00BA0D79"/>
    <w:rsid w:val="00BA61B7"/>
    <w:rsid w:val="00BA78F9"/>
    <w:rsid w:val="00BB2638"/>
    <w:rsid w:val="00BB3937"/>
    <w:rsid w:val="00BB3D85"/>
    <w:rsid w:val="00BB48A0"/>
    <w:rsid w:val="00BB4BFC"/>
    <w:rsid w:val="00BB6949"/>
    <w:rsid w:val="00BC47AA"/>
    <w:rsid w:val="00BC5BD7"/>
    <w:rsid w:val="00BD1680"/>
    <w:rsid w:val="00BD1B0F"/>
    <w:rsid w:val="00BD522C"/>
    <w:rsid w:val="00BD6B24"/>
    <w:rsid w:val="00BE0D84"/>
    <w:rsid w:val="00BE16FB"/>
    <w:rsid w:val="00BE64A4"/>
    <w:rsid w:val="00BE6CC5"/>
    <w:rsid w:val="00BF031B"/>
    <w:rsid w:val="00BF2028"/>
    <w:rsid w:val="00BF3917"/>
    <w:rsid w:val="00C035EA"/>
    <w:rsid w:val="00C03C22"/>
    <w:rsid w:val="00C03FE3"/>
    <w:rsid w:val="00C0420E"/>
    <w:rsid w:val="00C051C2"/>
    <w:rsid w:val="00C076F6"/>
    <w:rsid w:val="00C11D1C"/>
    <w:rsid w:val="00C11EBE"/>
    <w:rsid w:val="00C2072C"/>
    <w:rsid w:val="00C20986"/>
    <w:rsid w:val="00C25086"/>
    <w:rsid w:val="00C25934"/>
    <w:rsid w:val="00C2768D"/>
    <w:rsid w:val="00C3013F"/>
    <w:rsid w:val="00C31A5C"/>
    <w:rsid w:val="00C33899"/>
    <w:rsid w:val="00C35608"/>
    <w:rsid w:val="00C35F7A"/>
    <w:rsid w:val="00C367BF"/>
    <w:rsid w:val="00C409EE"/>
    <w:rsid w:val="00C412F4"/>
    <w:rsid w:val="00C52634"/>
    <w:rsid w:val="00C53B3D"/>
    <w:rsid w:val="00C53E29"/>
    <w:rsid w:val="00C55895"/>
    <w:rsid w:val="00C55E6F"/>
    <w:rsid w:val="00C56CF5"/>
    <w:rsid w:val="00C61C0B"/>
    <w:rsid w:val="00C642D0"/>
    <w:rsid w:val="00C64974"/>
    <w:rsid w:val="00C6713D"/>
    <w:rsid w:val="00C7272C"/>
    <w:rsid w:val="00C73583"/>
    <w:rsid w:val="00C816E3"/>
    <w:rsid w:val="00C91840"/>
    <w:rsid w:val="00C95880"/>
    <w:rsid w:val="00C95B1C"/>
    <w:rsid w:val="00C96312"/>
    <w:rsid w:val="00C979C9"/>
    <w:rsid w:val="00C97C4C"/>
    <w:rsid w:val="00CA0B35"/>
    <w:rsid w:val="00CA3D1A"/>
    <w:rsid w:val="00CB20AF"/>
    <w:rsid w:val="00CB4F90"/>
    <w:rsid w:val="00CB7135"/>
    <w:rsid w:val="00CC26AA"/>
    <w:rsid w:val="00CD319F"/>
    <w:rsid w:val="00CD4DD3"/>
    <w:rsid w:val="00CD516A"/>
    <w:rsid w:val="00CE26E3"/>
    <w:rsid w:val="00CE7A18"/>
    <w:rsid w:val="00CF0B67"/>
    <w:rsid w:val="00CF1865"/>
    <w:rsid w:val="00CF3D5E"/>
    <w:rsid w:val="00D029A7"/>
    <w:rsid w:val="00D06E1D"/>
    <w:rsid w:val="00D11A7C"/>
    <w:rsid w:val="00D144C3"/>
    <w:rsid w:val="00D15E2F"/>
    <w:rsid w:val="00D165D7"/>
    <w:rsid w:val="00D16CDC"/>
    <w:rsid w:val="00D17FF7"/>
    <w:rsid w:val="00D21942"/>
    <w:rsid w:val="00D2254C"/>
    <w:rsid w:val="00D247BD"/>
    <w:rsid w:val="00D2598E"/>
    <w:rsid w:val="00D25C93"/>
    <w:rsid w:val="00D43EB4"/>
    <w:rsid w:val="00D45012"/>
    <w:rsid w:val="00D4661C"/>
    <w:rsid w:val="00D468C2"/>
    <w:rsid w:val="00D50E3B"/>
    <w:rsid w:val="00D51306"/>
    <w:rsid w:val="00D52E03"/>
    <w:rsid w:val="00D54F6C"/>
    <w:rsid w:val="00D5691F"/>
    <w:rsid w:val="00D60AA2"/>
    <w:rsid w:val="00D63022"/>
    <w:rsid w:val="00D72CE2"/>
    <w:rsid w:val="00D73BC5"/>
    <w:rsid w:val="00D74207"/>
    <w:rsid w:val="00D81AF8"/>
    <w:rsid w:val="00D83F75"/>
    <w:rsid w:val="00D86A67"/>
    <w:rsid w:val="00D86E10"/>
    <w:rsid w:val="00D877A8"/>
    <w:rsid w:val="00D87E86"/>
    <w:rsid w:val="00D87FDF"/>
    <w:rsid w:val="00D95BF3"/>
    <w:rsid w:val="00DA0416"/>
    <w:rsid w:val="00DA4352"/>
    <w:rsid w:val="00DA4B26"/>
    <w:rsid w:val="00DA6899"/>
    <w:rsid w:val="00DA7F0D"/>
    <w:rsid w:val="00DB3AC1"/>
    <w:rsid w:val="00DB46DC"/>
    <w:rsid w:val="00DB5842"/>
    <w:rsid w:val="00DB6BA5"/>
    <w:rsid w:val="00DB79E4"/>
    <w:rsid w:val="00DC04C5"/>
    <w:rsid w:val="00DC05F1"/>
    <w:rsid w:val="00DC6677"/>
    <w:rsid w:val="00DC6970"/>
    <w:rsid w:val="00DD52F6"/>
    <w:rsid w:val="00DD5357"/>
    <w:rsid w:val="00DD6BD5"/>
    <w:rsid w:val="00DD7A72"/>
    <w:rsid w:val="00DE0B96"/>
    <w:rsid w:val="00DE3AF4"/>
    <w:rsid w:val="00DE5A39"/>
    <w:rsid w:val="00DE71EA"/>
    <w:rsid w:val="00DF0BF7"/>
    <w:rsid w:val="00DF4BC7"/>
    <w:rsid w:val="00DF6344"/>
    <w:rsid w:val="00DF7C76"/>
    <w:rsid w:val="00E010CF"/>
    <w:rsid w:val="00E01313"/>
    <w:rsid w:val="00E01E02"/>
    <w:rsid w:val="00E037CE"/>
    <w:rsid w:val="00E041A4"/>
    <w:rsid w:val="00E06AE3"/>
    <w:rsid w:val="00E06CB7"/>
    <w:rsid w:val="00E10301"/>
    <w:rsid w:val="00E111DF"/>
    <w:rsid w:val="00E14742"/>
    <w:rsid w:val="00E21492"/>
    <w:rsid w:val="00E2433B"/>
    <w:rsid w:val="00E251E7"/>
    <w:rsid w:val="00E25992"/>
    <w:rsid w:val="00E2726B"/>
    <w:rsid w:val="00E331A5"/>
    <w:rsid w:val="00E341A4"/>
    <w:rsid w:val="00E3487B"/>
    <w:rsid w:val="00E36D1E"/>
    <w:rsid w:val="00E469A4"/>
    <w:rsid w:val="00E50016"/>
    <w:rsid w:val="00E5094D"/>
    <w:rsid w:val="00E51BDB"/>
    <w:rsid w:val="00E54E94"/>
    <w:rsid w:val="00E5567C"/>
    <w:rsid w:val="00E57E14"/>
    <w:rsid w:val="00E615B8"/>
    <w:rsid w:val="00E637C8"/>
    <w:rsid w:val="00E649C3"/>
    <w:rsid w:val="00E7074E"/>
    <w:rsid w:val="00E710C0"/>
    <w:rsid w:val="00E7457F"/>
    <w:rsid w:val="00E766B0"/>
    <w:rsid w:val="00E82B32"/>
    <w:rsid w:val="00E8416F"/>
    <w:rsid w:val="00E879F2"/>
    <w:rsid w:val="00E93116"/>
    <w:rsid w:val="00E93655"/>
    <w:rsid w:val="00E95130"/>
    <w:rsid w:val="00E95A0A"/>
    <w:rsid w:val="00EA22DE"/>
    <w:rsid w:val="00EA37A3"/>
    <w:rsid w:val="00EB0619"/>
    <w:rsid w:val="00EB67C0"/>
    <w:rsid w:val="00EB730C"/>
    <w:rsid w:val="00ED0719"/>
    <w:rsid w:val="00ED116D"/>
    <w:rsid w:val="00ED1B41"/>
    <w:rsid w:val="00ED2C39"/>
    <w:rsid w:val="00ED3C7A"/>
    <w:rsid w:val="00ED6523"/>
    <w:rsid w:val="00EE2806"/>
    <w:rsid w:val="00EE38C1"/>
    <w:rsid w:val="00EE6FEB"/>
    <w:rsid w:val="00EF1408"/>
    <w:rsid w:val="00EF1670"/>
    <w:rsid w:val="00EF3631"/>
    <w:rsid w:val="00EF49DE"/>
    <w:rsid w:val="00F01530"/>
    <w:rsid w:val="00F02820"/>
    <w:rsid w:val="00F04DC8"/>
    <w:rsid w:val="00F07A1F"/>
    <w:rsid w:val="00F07A74"/>
    <w:rsid w:val="00F07E67"/>
    <w:rsid w:val="00F13F8B"/>
    <w:rsid w:val="00F233E7"/>
    <w:rsid w:val="00F24368"/>
    <w:rsid w:val="00F30D00"/>
    <w:rsid w:val="00F335D1"/>
    <w:rsid w:val="00F34FE7"/>
    <w:rsid w:val="00F35A1B"/>
    <w:rsid w:val="00F36F94"/>
    <w:rsid w:val="00F411D2"/>
    <w:rsid w:val="00F42680"/>
    <w:rsid w:val="00F4355D"/>
    <w:rsid w:val="00F44D1A"/>
    <w:rsid w:val="00F46911"/>
    <w:rsid w:val="00F56B50"/>
    <w:rsid w:val="00F613F9"/>
    <w:rsid w:val="00F6160A"/>
    <w:rsid w:val="00F6308F"/>
    <w:rsid w:val="00F63AD7"/>
    <w:rsid w:val="00F64074"/>
    <w:rsid w:val="00F653D9"/>
    <w:rsid w:val="00F703EA"/>
    <w:rsid w:val="00F71626"/>
    <w:rsid w:val="00F72898"/>
    <w:rsid w:val="00F8595C"/>
    <w:rsid w:val="00F85F68"/>
    <w:rsid w:val="00F87915"/>
    <w:rsid w:val="00F92DE4"/>
    <w:rsid w:val="00F930D3"/>
    <w:rsid w:val="00F948A0"/>
    <w:rsid w:val="00F950FF"/>
    <w:rsid w:val="00F960C6"/>
    <w:rsid w:val="00FA2DB9"/>
    <w:rsid w:val="00FA32B2"/>
    <w:rsid w:val="00FA45AA"/>
    <w:rsid w:val="00FA45CF"/>
    <w:rsid w:val="00FA4DB0"/>
    <w:rsid w:val="00FA6712"/>
    <w:rsid w:val="00FA7343"/>
    <w:rsid w:val="00FA7604"/>
    <w:rsid w:val="00FB0443"/>
    <w:rsid w:val="00FB17D8"/>
    <w:rsid w:val="00FB1A59"/>
    <w:rsid w:val="00FC0435"/>
    <w:rsid w:val="00FC0EDB"/>
    <w:rsid w:val="00FC2152"/>
    <w:rsid w:val="00FC28C8"/>
    <w:rsid w:val="00FC2EE8"/>
    <w:rsid w:val="00FC4689"/>
    <w:rsid w:val="00FC4AAF"/>
    <w:rsid w:val="00FC5648"/>
    <w:rsid w:val="00FC640E"/>
    <w:rsid w:val="00FC75FF"/>
    <w:rsid w:val="00FD0429"/>
    <w:rsid w:val="00FD22E1"/>
    <w:rsid w:val="00FD2443"/>
    <w:rsid w:val="00FD7892"/>
    <w:rsid w:val="00FE3614"/>
    <w:rsid w:val="00FE655F"/>
    <w:rsid w:val="00FE6F7F"/>
    <w:rsid w:val="00FE76BE"/>
    <w:rsid w:val="00FF03B3"/>
    <w:rsid w:val="00FF1FB8"/>
    <w:rsid w:val="00FF5F60"/>
    <w:rsid w:val="00FF60B3"/>
    <w:rsid w:val="00FF6E4E"/>
    <w:rsid w:val="00FF7E91"/>
    <w:rsid w:val="01D39FFB"/>
    <w:rsid w:val="01F94106"/>
    <w:rsid w:val="03099E0A"/>
    <w:rsid w:val="03A435E8"/>
    <w:rsid w:val="03AAABDB"/>
    <w:rsid w:val="0428F688"/>
    <w:rsid w:val="061075B4"/>
    <w:rsid w:val="06A7CED8"/>
    <w:rsid w:val="077BC25B"/>
    <w:rsid w:val="083BAF07"/>
    <w:rsid w:val="086F0088"/>
    <w:rsid w:val="090B9FCD"/>
    <w:rsid w:val="091C43AF"/>
    <w:rsid w:val="09781D89"/>
    <w:rsid w:val="09E8186F"/>
    <w:rsid w:val="09EB352D"/>
    <w:rsid w:val="0CCA9B7C"/>
    <w:rsid w:val="0DBA7A88"/>
    <w:rsid w:val="0DD5ADC5"/>
    <w:rsid w:val="0DFC59AD"/>
    <w:rsid w:val="0E12F894"/>
    <w:rsid w:val="0E4E3300"/>
    <w:rsid w:val="0E6DD769"/>
    <w:rsid w:val="0F86CFA3"/>
    <w:rsid w:val="11E4CD74"/>
    <w:rsid w:val="134567C2"/>
    <w:rsid w:val="13D6B5F5"/>
    <w:rsid w:val="140CE06D"/>
    <w:rsid w:val="1479042B"/>
    <w:rsid w:val="15420237"/>
    <w:rsid w:val="1546B5F5"/>
    <w:rsid w:val="1596214C"/>
    <w:rsid w:val="15CF2EC5"/>
    <w:rsid w:val="17D70BB2"/>
    <w:rsid w:val="1816B239"/>
    <w:rsid w:val="182E3252"/>
    <w:rsid w:val="18ADE452"/>
    <w:rsid w:val="1966B2A6"/>
    <w:rsid w:val="1D3463F2"/>
    <w:rsid w:val="1DD8E98F"/>
    <w:rsid w:val="1E868F9C"/>
    <w:rsid w:val="1F74B080"/>
    <w:rsid w:val="1FACBF5B"/>
    <w:rsid w:val="1FBC4E90"/>
    <w:rsid w:val="20213D26"/>
    <w:rsid w:val="206C04B4"/>
    <w:rsid w:val="20DAC1C1"/>
    <w:rsid w:val="21949089"/>
    <w:rsid w:val="2260EC6E"/>
    <w:rsid w:val="22721450"/>
    <w:rsid w:val="2280F360"/>
    <w:rsid w:val="23A5AFC7"/>
    <w:rsid w:val="23CC35F0"/>
    <w:rsid w:val="23E876EE"/>
    <w:rsid w:val="259A18E2"/>
    <w:rsid w:val="26E68194"/>
    <w:rsid w:val="26F10DCA"/>
    <w:rsid w:val="27688877"/>
    <w:rsid w:val="27A6616B"/>
    <w:rsid w:val="285BCB56"/>
    <w:rsid w:val="289D4196"/>
    <w:rsid w:val="28C6BEB5"/>
    <w:rsid w:val="28E5D3A6"/>
    <w:rsid w:val="294B490F"/>
    <w:rsid w:val="297296ED"/>
    <w:rsid w:val="2989A203"/>
    <w:rsid w:val="2AD98C61"/>
    <w:rsid w:val="2AED8190"/>
    <w:rsid w:val="2B9806BB"/>
    <w:rsid w:val="2C34D1FF"/>
    <w:rsid w:val="2E218D05"/>
    <w:rsid w:val="2E43A81D"/>
    <w:rsid w:val="2E7BB39C"/>
    <w:rsid w:val="2ED3DC75"/>
    <w:rsid w:val="2F33DE9E"/>
    <w:rsid w:val="2F4D4F0D"/>
    <w:rsid w:val="2F683598"/>
    <w:rsid w:val="304E14B3"/>
    <w:rsid w:val="30EF9C98"/>
    <w:rsid w:val="3102ECA3"/>
    <w:rsid w:val="31601CB1"/>
    <w:rsid w:val="3169E65F"/>
    <w:rsid w:val="31B527CE"/>
    <w:rsid w:val="31E4A87E"/>
    <w:rsid w:val="31F137E3"/>
    <w:rsid w:val="327C6A08"/>
    <w:rsid w:val="32EB225D"/>
    <w:rsid w:val="3372DFAE"/>
    <w:rsid w:val="33EC5643"/>
    <w:rsid w:val="3507A61D"/>
    <w:rsid w:val="358C1960"/>
    <w:rsid w:val="36B5D5D8"/>
    <w:rsid w:val="36C2CFDE"/>
    <w:rsid w:val="370D0860"/>
    <w:rsid w:val="3797B75B"/>
    <w:rsid w:val="37C6B315"/>
    <w:rsid w:val="3A52F505"/>
    <w:rsid w:val="3A6EAF98"/>
    <w:rsid w:val="3BEE6B1D"/>
    <w:rsid w:val="3D64A290"/>
    <w:rsid w:val="3D82D95A"/>
    <w:rsid w:val="3DC0AC73"/>
    <w:rsid w:val="3E8F1FB0"/>
    <w:rsid w:val="406928A5"/>
    <w:rsid w:val="40D7D7A8"/>
    <w:rsid w:val="4119EB80"/>
    <w:rsid w:val="41576061"/>
    <w:rsid w:val="42EEE22A"/>
    <w:rsid w:val="43ED2D42"/>
    <w:rsid w:val="44365C78"/>
    <w:rsid w:val="45C93FA1"/>
    <w:rsid w:val="46A716AE"/>
    <w:rsid w:val="46E72E2B"/>
    <w:rsid w:val="480287E2"/>
    <w:rsid w:val="4808DE5F"/>
    <w:rsid w:val="49628F58"/>
    <w:rsid w:val="498250FC"/>
    <w:rsid w:val="4A54FE0C"/>
    <w:rsid w:val="4A589359"/>
    <w:rsid w:val="4C319BF1"/>
    <w:rsid w:val="4C388125"/>
    <w:rsid w:val="4CA0C961"/>
    <w:rsid w:val="4D437107"/>
    <w:rsid w:val="4D4B5615"/>
    <w:rsid w:val="4D90341B"/>
    <w:rsid w:val="4DEF3772"/>
    <w:rsid w:val="4EE4A5B4"/>
    <w:rsid w:val="4FBE9F7F"/>
    <w:rsid w:val="4FFFA0EC"/>
    <w:rsid w:val="50489559"/>
    <w:rsid w:val="506B5B54"/>
    <w:rsid w:val="50C7D4DD"/>
    <w:rsid w:val="50EE0BC6"/>
    <w:rsid w:val="5107E8EB"/>
    <w:rsid w:val="510BF248"/>
    <w:rsid w:val="51B8F5E2"/>
    <w:rsid w:val="52179D9C"/>
    <w:rsid w:val="5293B8FF"/>
    <w:rsid w:val="52E6E757"/>
    <w:rsid w:val="53168684"/>
    <w:rsid w:val="532EC071"/>
    <w:rsid w:val="533EB185"/>
    <w:rsid w:val="54DA00FA"/>
    <w:rsid w:val="55125E8D"/>
    <w:rsid w:val="55398DE2"/>
    <w:rsid w:val="560ED49D"/>
    <w:rsid w:val="563F6DE6"/>
    <w:rsid w:val="57311A3D"/>
    <w:rsid w:val="589B6E8A"/>
    <w:rsid w:val="59016BE7"/>
    <w:rsid w:val="591B2AE6"/>
    <w:rsid w:val="59B6943E"/>
    <w:rsid w:val="5A0E1DCC"/>
    <w:rsid w:val="5A2A51A0"/>
    <w:rsid w:val="5A423505"/>
    <w:rsid w:val="5A63CB76"/>
    <w:rsid w:val="5A76A4A9"/>
    <w:rsid w:val="5B236D5D"/>
    <w:rsid w:val="5BAA005F"/>
    <w:rsid w:val="5D07F1F8"/>
    <w:rsid w:val="5D4267E2"/>
    <w:rsid w:val="5E97F7F2"/>
    <w:rsid w:val="5F1BED21"/>
    <w:rsid w:val="605906E7"/>
    <w:rsid w:val="61098638"/>
    <w:rsid w:val="615BB322"/>
    <w:rsid w:val="61B0B240"/>
    <w:rsid w:val="61B279DB"/>
    <w:rsid w:val="62149196"/>
    <w:rsid w:val="62D9D0C2"/>
    <w:rsid w:val="62E67022"/>
    <w:rsid w:val="63988109"/>
    <w:rsid w:val="6419F1A2"/>
    <w:rsid w:val="64320044"/>
    <w:rsid w:val="6475EC0D"/>
    <w:rsid w:val="64E42BB9"/>
    <w:rsid w:val="659F7DDE"/>
    <w:rsid w:val="6618062F"/>
    <w:rsid w:val="662D735F"/>
    <w:rsid w:val="663AFB29"/>
    <w:rsid w:val="66723FF3"/>
    <w:rsid w:val="66C502EB"/>
    <w:rsid w:val="66F41098"/>
    <w:rsid w:val="673BFF54"/>
    <w:rsid w:val="68F991A1"/>
    <w:rsid w:val="68FE766B"/>
    <w:rsid w:val="6999F128"/>
    <w:rsid w:val="6A1FD7AE"/>
    <w:rsid w:val="6A821FDC"/>
    <w:rsid w:val="6A8C6370"/>
    <w:rsid w:val="6B7CF619"/>
    <w:rsid w:val="6B989471"/>
    <w:rsid w:val="6B9F597D"/>
    <w:rsid w:val="6C0F7077"/>
    <w:rsid w:val="6C1B170D"/>
    <w:rsid w:val="6C2833D1"/>
    <w:rsid w:val="6CE9DB28"/>
    <w:rsid w:val="6FC96640"/>
    <w:rsid w:val="70DE3F21"/>
    <w:rsid w:val="70EAB09B"/>
    <w:rsid w:val="71D8134A"/>
    <w:rsid w:val="71E4F420"/>
    <w:rsid w:val="726D5C87"/>
    <w:rsid w:val="72BEE4AD"/>
    <w:rsid w:val="7356BBC9"/>
    <w:rsid w:val="746319AE"/>
    <w:rsid w:val="74893F69"/>
    <w:rsid w:val="7533EE00"/>
    <w:rsid w:val="7587CC47"/>
    <w:rsid w:val="760214FE"/>
    <w:rsid w:val="76C1EB0D"/>
    <w:rsid w:val="77F829A4"/>
    <w:rsid w:val="7898CABF"/>
    <w:rsid w:val="7903CC5B"/>
    <w:rsid w:val="791AC527"/>
    <w:rsid w:val="7922F870"/>
    <w:rsid w:val="7976D900"/>
    <w:rsid w:val="7A7428EC"/>
    <w:rsid w:val="7AEF9F01"/>
    <w:rsid w:val="7B08BAAE"/>
    <w:rsid w:val="7DA98B6D"/>
    <w:rsid w:val="7E61AFDA"/>
    <w:rsid w:val="7F789503"/>
    <w:rsid w:val="7FCBF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1E19"/>
  <w15:chartTrackingRefBased/>
  <w15:docId w15:val="{9C0F6A5B-222E-4EA1-88BC-13579E2B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74207"/>
    <w:rPr>
      <w:color w:val="0563C1" w:themeColor="hyperlink"/>
      <w:u w:val="single"/>
    </w:rPr>
  </w:style>
  <w:style w:type="character" w:styleId="Nierozpoznanawzmianka">
    <w:name w:val="Unresolved Mention"/>
    <w:basedOn w:val="Domylnaczcionkaakapitu"/>
    <w:uiPriority w:val="99"/>
    <w:semiHidden/>
    <w:unhideWhenUsed/>
    <w:rsid w:val="00D74207"/>
    <w:rPr>
      <w:color w:val="605E5C"/>
      <w:shd w:val="clear" w:color="auto" w:fill="E1DFDD"/>
    </w:rPr>
  </w:style>
  <w:style w:type="paragraph" w:styleId="Nagwek">
    <w:name w:val="header"/>
    <w:basedOn w:val="Normalny"/>
    <w:link w:val="NagwekZnak"/>
    <w:uiPriority w:val="99"/>
    <w:unhideWhenUsed/>
    <w:rsid w:val="005827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273F"/>
  </w:style>
  <w:style w:type="paragraph" w:styleId="Stopka">
    <w:name w:val="footer"/>
    <w:basedOn w:val="Normalny"/>
    <w:link w:val="StopkaZnak"/>
    <w:uiPriority w:val="99"/>
    <w:unhideWhenUsed/>
    <w:rsid w:val="005827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273F"/>
  </w:style>
  <w:style w:type="paragraph" w:styleId="Akapitzlist">
    <w:name w:val="List Paragraph"/>
    <w:basedOn w:val="Normalny"/>
    <w:uiPriority w:val="34"/>
    <w:qFormat/>
    <w:rsid w:val="00897E5E"/>
    <w:pPr>
      <w:ind w:left="720"/>
      <w:contextualSpacing/>
    </w:pPr>
  </w:style>
  <w:style w:type="paragraph" w:styleId="Tekstprzypisukocowego">
    <w:name w:val="endnote text"/>
    <w:basedOn w:val="Normalny"/>
    <w:link w:val="TekstprzypisukocowegoZnak"/>
    <w:uiPriority w:val="99"/>
    <w:semiHidden/>
    <w:unhideWhenUsed/>
    <w:rsid w:val="00A0164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1647"/>
    <w:rPr>
      <w:sz w:val="20"/>
      <w:szCs w:val="20"/>
    </w:rPr>
  </w:style>
  <w:style w:type="character" w:styleId="Odwoanieprzypisukocowego">
    <w:name w:val="endnote reference"/>
    <w:basedOn w:val="Domylnaczcionkaakapitu"/>
    <w:uiPriority w:val="99"/>
    <w:semiHidden/>
    <w:unhideWhenUsed/>
    <w:rsid w:val="00A01647"/>
    <w:rPr>
      <w:vertAlign w:val="superscript"/>
    </w:rPr>
  </w:style>
  <w:style w:type="character" w:styleId="Odwoaniedokomentarza">
    <w:name w:val="annotation reference"/>
    <w:basedOn w:val="Domylnaczcionkaakapitu"/>
    <w:uiPriority w:val="99"/>
    <w:semiHidden/>
    <w:unhideWhenUsed/>
    <w:rsid w:val="00C412F4"/>
    <w:rPr>
      <w:sz w:val="16"/>
      <w:szCs w:val="16"/>
    </w:rPr>
  </w:style>
  <w:style w:type="paragraph" w:styleId="Tekstkomentarza">
    <w:name w:val="annotation text"/>
    <w:basedOn w:val="Normalny"/>
    <w:link w:val="TekstkomentarzaZnak"/>
    <w:uiPriority w:val="99"/>
    <w:unhideWhenUsed/>
    <w:rsid w:val="00C412F4"/>
    <w:pPr>
      <w:spacing w:line="240" w:lineRule="auto"/>
    </w:pPr>
    <w:rPr>
      <w:sz w:val="20"/>
      <w:szCs w:val="20"/>
    </w:rPr>
  </w:style>
  <w:style w:type="character" w:customStyle="1" w:styleId="TekstkomentarzaZnak">
    <w:name w:val="Tekst komentarza Znak"/>
    <w:basedOn w:val="Domylnaczcionkaakapitu"/>
    <w:link w:val="Tekstkomentarza"/>
    <w:uiPriority w:val="99"/>
    <w:rsid w:val="00C412F4"/>
    <w:rPr>
      <w:sz w:val="20"/>
      <w:szCs w:val="20"/>
    </w:rPr>
  </w:style>
  <w:style w:type="paragraph" w:styleId="Tematkomentarza">
    <w:name w:val="annotation subject"/>
    <w:basedOn w:val="Tekstkomentarza"/>
    <w:next w:val="Tekstkomentarza"/>
    <w:link w:val="TematkomentarzaZnak"/>
    <w:uiPriority w:val="99"/>
    <w:semiHidden/>
    <w:unhideWhenUsed/>
    <w:rsid w:val="00C412F4"/>
    <w:rPr>
      <w:b/>
      <w:bCs/>
    </w:rPr>
  </w:style>
  <w:style w:type="character" w:customStyle="1" w:styleId="TematkomentarzaZnak">
    <w:name w:val="Temat komentarza Znak"/>
    <w:basedOn w:val="TekstkomentarzaZnak"/>
    <w:link w:val="Tematkomentarza"/>
    <w:uiPriority w:val="99"/>
    <w:semiHidden/>
    <w:rsid w:val="00C412F4"/>
    <w:rPr>
      <w:b/>
      <w:bCs/>
      <w:sz w:val="20"/>
      <w:szCs w:val="20"/>
    </w:rPr>
  </w:style>
  <w:style w:type="character" w:styleId="Wzmianka">
    <w:name w:val="Mention"/>
    <w:basedOn w:val="Domylnaczcionkaakapitu"/>
    <w:uiPriority w:val="99"/>
    <w:unhideWhenUsed/>
    <w:rPr>
      <w:color w:val="2B579A"/>
      <w:shd w:val="clear" w:color="auto" w:fill="E6E6E6"/>
    </w:rPr>
  </w:style>
  <w:style w:type="paragraph" w:styleId="Tekstprzypisudolnego">
    <w:name w:val="footnote text"/>
    <w:basedOn w:val="Normalny"/>
    <w:link w:val="TekstprzypisudolnegoZnak"/>
    <w:uiPriority w:val="99"/>
    <w:semiHidden/>
    <w:unhideWhenUsed/>
    <w:rsid w:val="00D569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5691F"/>
    <w:rPr>
      <w:sz w:val="20"/>
      <w:szCs w:val="20"/>
    </w:rPr>
  </w:style>
  <w:style w:type="character" w:styleId="Odwoanieprzypisudolnego">
    <w:name w:val="footnote reference"/>
    <w:basedOn w:val="Domylnaczcionkaakapitu"/>
    <w:uiPriority w:val="99"/>
    <w:semiHidden/>
    <w:unhideWhenUsed/>
    <w:rsid w:val="00D5691F"/>
    <w:rPr>
      <w:vertAlign w:val="superscript"/>
    </w:rPr>
  </w:style>
  <w:style w:type="character" w:styleId="Pogrubienie">
    <w:name w:val="Strong"/>
    <w:basedOn w:val="Domylnaczcionkaakapitu"/>
    <w:uiPriority w:val="22"/>
    <w:qFormat/>
    <w:rsid w:val="00DE71EA"/>
    <w:rPr>
      <w:b/>
      <w:bCs/>
    </w:rPr>
  </w:style>
  <w:style w:type="character" w:customStyle="1" w:styleId="normaltextrun">
    <w:name w:val="normaltextrun"/>
    <w:basedOn w:val="Domylnaczcionkaakapitu"/>
    <w:rsid w:val="002425FB"/>
  </w:style>
  <w:style w:type="character" w:customStyle="1" w:styleId="eop">
    <w:name w:val="eop"/>
    <w:basedOn w:val="Domylnaczcionkaakapitu"/>
    <w:rsid w:val="002425FB"/>
  </w:style>
  <w:style w:type="paragraph" w:styleId="NormalnyWeb">
    <w:name w:val="Normal (Web)"/>
    <w:basedOn w:val="Normalny"/>
    <w:uiPriority w:val="99"/>
    <w:unhideWhenUsed/>
    <w:rsid w:val="00AD58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2072C"/>
    <w:rPr>
      <w:color w:val="954F72" w:themeColor="followedHyperlink"/>
      <w:u w:val="single"/>
    </w:rPr>
  </w:style>
  <w:style w:type="paragraph" w:styleId="Poprawka">
    <w:name w:val="Revision"/>
    <w:hidden/>
    <w:uiPriority w:val="99"/>
    <w:semiHidden/>
    <w:rsid w:val="007024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0248">
      <w:bodyDiv w:val="1"/>
      <w:marLeft w:val="0"/>
      <w:marRight w:val="0"/>
      <w:marTop w:val="0"/>
      <w:marBottom w:val="0"/>
      <w:divBdr>
        <w:top w:val="none" w:sz="0" w:space="0" w:color="auto"/>
        <w:left w:val="none" w:sz="0" w:space="0" w:color="auto"/>
        <w:bottom w:val="none" w:sz="0" w:space="0" w:color="auto"/>
        <w:right w:val="none" w:sz="0" w:space="0" w:color="auto"/>
      </w:divBdr>
    </w:div>
    <w:div w:id="473573097">
      <w:bodyDiv w:val="1"/>
      <w:marLeft w:val="0"/>
      <w:marRight w:val="0"/>
      <w:marTop w:val="0"/>
      <w:marBottom w:val="0"/>
      <w:divBdr>
        <w:top w:val="none" w:sz="0" w:space="0" w:color="auto"/>
        <w:left w:val="none" w:sz="0" w:space="0" w:color="auto"/>
        <w:bottom w:val="none" w:sz="0" w:space="0" w:color="auto"/>
        <w:right w:val="none" w:sz="0" w:space="0" w:color="auto"/>
      </w:divBdr>
    </w:div>
    <w:div w:id="721908804">
      <w:bodyDiv w:val="1"/>
      <w:marLeft w:val="0"/>
      <w:marRight w:val="0"/>
      <w:marTop w:val="0"/>
      <w:marBottom w:val="0"/>
      <w:divBdr>
        <w:top w:val="none" w:sz="0" w:space="0" w:color="auto"/>
        <w:left w:val="none" w:sz="0" w:space="0" w:color="auto"/>
        <w:bottom w:val="none" w:sz="0" w:space="0" w:color="auto"/>
        <w:right w:val="none" w:sz="0" w:space="0" w:color="auto"/>
      </w:divBdr>
    </w:div>
    <w:div w:id="938371185">
      <w:bodyDiv w:val="1"/>
      <w:marLeft w:val="0"/>
      <w:marRight w:val="0"/>
      <w:marTop w:val="0"/>
      <w:marBottom w:val="0"/>
      <w:divBdr>
        <w:top w:val="none" w:sz="0" w:space="0" w:color="auto"/>
        <w:left w:val="none" w:sz="0" w:space="0" w:color="auto"/>
        <w:bottom w:val="none" w:sz="0" w:space="0" w:color="auto"/>
        <w:right w:val="none" w:sz="0" w:space="0" w:color="auto"/>
      </w:divBdr>
    </w:div>
    <w:div w:id="941450235">
      <w:bodyDiv w:val="1"/>
      <w:marLeft w:val="0"/>
      <w:marRight w:val="0"/>
      <w:marTop w:val="0"/>
      <w:marBottom w:val="0"/>
      <w:divBdr>
        <w:top w:val="none" w:sz="0" w:space="0" w:color="auto"/>
        <w:left w:val="none" w:sz="0" w:space="0" w:color="auto"/>
        <w:bottom w:val="none" w:sz="0" w:space="0" w:color="auto"/>
        <w:right w:val="none" w:sz="0" w:space="0" w:color="auto"/>
      </w:divBdr>
    </w:div>
    <w:div w:id="948388371">
      <w:bodyDiv w:val="1"/>
      <w:marLeft w:val="0"/>
      <w:marRight w:val="0"/>
      <w:marTop w:val="0"/>
      <w:marBottom w:val="0"/>
      <w:divBdr>
        <w:top w:val="none" w:sz="0" w:space="0" w:color="auto"/>
        <w:left w:val="none" w:sz="0" w:space="0" w:color="auto"/>
        <w:bottom w:val="none" w:sz="0" w:space="0" w:color="auto"/>
        <w:right w:val="none" w:sz="0" w:space="0" w:color="auto"/>
      </w:divBdr>
    </w:div>
    <w:div w:id="1127773687">
      <w:bodyDiv w:val="1"/>
      <w:marLeft w:val="0"/>
      <w:marRight w:val="0"/>
      <w:marTop w:val="0"/>
      <w:marBottom w:val="0"/>
      <w:divBdr>
        <w:top w:val="none" w:sz="0" w:space="0" w:color="auto"/>
        <w:left w:val="none" w:sz="0" w:space="0" w:color="auto"/>
        <w:bottom w:val="none" w:sz="0" w:space="0" w:color="auto"/>
        <w:right w:val="none" w:sz="0" w:space="0" w:color="auto"/>
      </w:divBdr>
    </w:div>
    <w:div w:id="1238592605">
      <w:bodyDiv w:val="1"/>
      <w:marLeft w:val="0"/>
      <w:marRight w:val="0"/>
      <w:marTop w:val="0"/>
      <w:marBottom w:val="0"/>
      <w:divBdr>
        <w:top w:val="none" w:sz="0" w:space="0" w:color="auto"/>
        <w:left w:val="none" w:sz="0" w:space="0" w:color="auto"/>
        <w:bottom w:val="none" w:sz="0" w:space="0" w:color="auto"/>
        <w:right w:val="none" w:sz="0" w:space="0" w:color="auto"/>
      </w:divBdr>
    </w:div>
    <w:div w:id="1343507262">
      <w:bodyDiv w:val="1"/>
      <w:marLeft w:val="0"/>
      <w:marRight w:val="0"/>
      <w:marTop w:val="0"/>
      <w:marBottom w:val="0"/>
      <w:divBdr>
        <w:top w:val="none" w:sz="0" w:space="0" w:color="auto"/>
        <w:left w:val="none" w:sz="0" w:space="0" w:color="auto"/>
        <w:bottom w:val="none" w:sz="0" w:space="0" w:color="auto"/>
        <w:right w:val="none" w:sz="0" w:space="0" w:color="auto"/>
      </w:divBdr>
    </w:div>
    <w:div w:id="1396930766">
      <w:bodyDiv w:val="1"/>
      <w:marLeft w:val="0"/>
      <w:marRight w:val="0"/>
      <w:marTop w:val="0"/>
      <w:marBottom w:val="0"/>
      <w:divBdr>
        <w:top w:val="none" w:sz="0" w:space="0" w:color="auto"/>
        <w:left w:val="none" w:sz="0" w:space="0" w:color="auto"/>
        <w:bottom w:val="none" w:sz="0" w:space="0" w:color="auto"/>
        <w:right w:val="none" w:sz="0" w:space="0" w:color="auto"/>
      </w:divBdr>
    </w:div>
    <w:div w:id="1566602571">
      <w:bodyDiv w:val="1"/>
      <w:marLeft w:val="0"/>
      <w:marRight w:val="0"/>
      <w:marTop w:val="0"/>
      <w:marBottom w:val="0"/>
      <w:divBdr>
        <w:top w:val="none" w:sz="0" w:space="0" w:color="auto"/>
        <w:left w:val="none" w:sz="0" w:space="0" w:color="auto"/>
        <w:bottom w:val="none" w:sz="0" w:space="0" w:color="auto"/>
        <w:right w:val="none" w:sz="0" w:space="0" w:color="auto"/>
      </w:divBdr>
    </w:div>
    <w:div w:id="1886989307">
      <w:bodyDiv w:val="1"/>
      <w:marLeft w:val="0"/>
      <w:marRight w:val="0"/>
      <w:marTop w:val="0"/>
      <w:marBottom w:val="0"/>
      <w:divBdr>
        <w:top w:val="none" w:sz="0" w:space="0" w:color="auto"/>
        <w:left w:val="none" w:sz="0" w:space="0" w:color="auto"/>
        <w:bottom w:val="none" w:sz="0" w:space="0" w:color="auto"/>
        <w:right w:val="none" w:sz="0" w:space="0" w:color="auto"/>
      </w:divBdr>
    </w:div>
    <w:div w:id="19974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k.pl/know-how/raporty/ai-juz-pracuje-czy-firmy-nadazaja-raport-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50BC8D4B-4644-4A57-A6C8-09A28153A869}">
    <t:Anchor>
      <t:Comment id="1721079256"/>
    </t:Anchor>
    <t:History>
      <t:Event id="{A0CA7355-C2E1-456D-9F3F-5008FB1635BD}" time="2023-02-24T07:54:51.594Z">
        <t:Attribution userId="S::pko@hrk.eu::ad8c6e57-f620-4717-ba6a-2d9c28465a4d" userProvider="AD" userName="Paulina Kowalcze"/>
        <t:Anchor>
          <t:Comment id="1721079256"/>
        </t:Anchor>
        <t:Create/>
      </t:Event>
      <t:Event id="{1936045E-EAB6-4477-B929-DF5544B5A209}" time="2023-02-24T07:54:51.594Z">
        <t:Attribution userId="S::pko@hrk.eu::ad8c6e57-f620-4717-ba6a-2d9c28465a4d" userProvider="AD" userName="Paulina Kowalcze"/>
        <t:Anchor>
          <t:Comment id="1721079256"/>
        </t:Anchor>
        <t:Assign userId="S::mwt@hrk.eu::6ed4c22d-53e2-49dc-9952-7a173d68319c" userProvider="AD" userName="Monika Witoń"/>
      </t:Event>
      <t:Event id="{5C74079C-1C05-45F3-B200-46B45D891FF4}" time="2023-02-24T07:54:51.594Z">
        <t:Attribution userId="S::pko@hrk.eu::ad8c6e57-f620-4717-ba6a-2d9c28465a4d" userProvider="AD" userName="Paulina Kowalcze"/>
        <t:Anchor>
          <t:Comment id="1721079256"/>
        </t:Anchor>
        <t:SetTitle title="@Monika Witoń branży hotelarskiej?"/>
      </t:Event>
      <t:Event id="{AABF78AF-2240-4F6B-800D-5736846621D9}" time="2023-02-24T09:06:41.401Z">
        <t:Attribution userId="S::pko@hrk.eu::ad8c6e57-f620-4717-ba6a-2d9c28465a4d" userProvider="AD" userName="Paulina Kowalcze"/>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A973C06A5B9C40AF73525BEEFB8D32" ma:contentTypeVersion="15" ma:contentTypeDescription="Utwórz nowy dokument." ma:contentTypeScope="" ma:versionID="dfee03bb0586ee2cc1daf1066e71febc">
  <xsd:schema xmlns:xsd="http://www.w3.org/2001/XMLSchema" xmlns:xs="http://www.w3.org/2001/XMLSchema" xmlns:p="http://schemas.microsoft.com/office/2006/metadata/properties" xmlns:ns2="1b744fde-6b8e-4aaf-ac5d-70cf94f3c568" xmlns:ns3="0429080d-b3bc-49c9-a395-854fa03bcd6b" targetNamespace="http://schemas.microsoft.com/office/2006/metadata/properties" ma:root="true" ma:fieldsID="c6b55c61cb440e017a036c34bcf6c257" ns2:_="" ns3:_="">
    <xsd:import namespace="1b744fde-6b8e-4aaf-ac5d-70cf94f3c568"/>
    <xsd:import namespace="0429080d-b3bc-49c9-a395-854fa03bcd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4fde-6b8e-4aaf-ac5d-70cf94f3c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9e1250f-54b9-4c2a-9752-132318b71c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9080d-b3bc-49c9-a395-854fa03bcd6b" elementFormDefault="qualified">
    <xsd:import namespace="http://schemas.microsoft.com/office/2006/documentManagement/types"/>
    <xsd:import namespace="http://schemas.microsoft.com/office/infopath/2007/PartnerControls"/>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44fde-6b8e-4aaf-ac5d-70cf94f3c5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EE5A4-BC86-4C4B-A690-F9F25CC1B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44fde-6b8e-4aaf-ac5d-70cf94f3c568"/>
    <ds:schemaRef ds:uri="0429080d-b3bc-49c9-a395-854fa03bc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B0A87-5188-4573-8E79-F78453D24D80}">
  <ds:schemaRefs>
    <ds:schemaRef ds:uri="http://schemas.openxmlformats.org/officeDocument/2006/bibliography"/>
  </ds:schemaRefs>
</ds:datastoreItem>
</file>

<file path=customXml/itemProps3.xml><?xml version="1.0" encoding="utf-8"?>
<ds:datastoreItem xmlns:ds="http://schemas.openxmlformats.org/officeDocument/2006/customXml" ds:itemID="{C2F8F2C8-F671-461C-B0FC-F0155F804EF5}">
  <ds:schemaRefs>
    <ds:schemaRef ds:uri="http://schemas.microsoft.com/sharepoint/v3/contenttype/forms"/>
  </ds:schemaRefs>
</ds:datastoreItem>
</file>

<file path=customXml/itemProps4.xml><?xml version="1.0" encoding="utf-8"?>
<ds:datastoreItem xmlns:ds="http://schemas.openxmlformats.org/officeDocument/2006/customXml" ds:itemID="{19EFD703-9C7C-491A-B572-5280CBEE2F29}">
  <ds:schemaRefs>
    <ds:schemaRef ds:uri="http://schemas.microsoft.com/office/2006/metadata/properties"/>
    <ds:schemaRef ds:uri="http://schemas.microsoft.com/office/infopath/2007/PartnerControls"/>
    <ds:schemaRef ds:uri="1b744fde-6b8e-4aaf-ac5d-70cf94f3c568"/>
  </ds:schemaRefs>
</ds:datastoreItem>
</file>

<file path=docMetadata/LabelInfo.xml><?xml version="1.0" encoding="utf-8"?>
<clbl:labelList xmlns:clbl="http://schemas.microsoft.com/office/2020/mipLabelMetadata">
  <clbl:label id="{a92d0f79-e67b-490d-bcef-63610855298c}" enabled="0" method="" siteId="{a92d0f79-e67b-490d-bcef-63610855298c}" removed="1"/>
</clbl:labelList>
</file>

<file path=docProps/app.xml><?xml version="1.0" encoding="utf-8"?>
<Properties xmlns="http://schemas.openxmlformats.org/officeDocument/2006/extended-properties" xmlns:vt="http://schemas.openxmlformats.org/officeDocument/2006/docPropsVTypes">
  <Template>Normal</Template>
  <TotalTime>269</TotalTime>
  <Pages>6</Pages>
  <Words>1533</Words>
  <Characters>9202</Characters>
  <Application>Microsoft Office Word</Application>
  <DocSecurity>0</DocSecurity>
  <Lines>76</Lines>
  <Paragraphs>21</Paragraphs>
  <ScaleCrop>false</ScaleCrop>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Witoń</dc:creator>
  <cp:keywords/>
  <dc:description/>
  <cp:lastModifiedBy>Paula Kowalcze</cp:lastModifiedBy>
  <cp:revision>430</cp:revision>
  <cp:lastPrinted>2023-02-22T11:30:00Z</cp:lastPrinted>
  <dcterms:created xsi:type="dcterms:W3CDTF">2023-06-15T12:43:00Z</dcterms:created>
  <dcterms:modified xsi:type="dcterms:W3CDTF">2026-09-14T11:45:00Z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0x01010059A973C06A5B9C40AF73525BEEFB8D32</vt:lpwstr>
  </property>
  <property fmtid="{D5CDD505-2E9C-101B-9397-08002B2CF9AE}" pid="3" name="MediaServiceImageTags">
    <vt:lpwstr/>
  </property>
</Properties>
</file>