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613D3" w14:textId="77777777" w:rsidR="007450E5" w:rsidRDefault="007450E5">
      <w:pPr>
        <w:jc w:val="center"/>
        <w:rPr>
          <w:rFonts w:ascii="Calibri" w:eastAsia="Calibri" w:hAnsi="Calibri" w:cs="Calibri"/>
          <w:b/>
          <w:bCs/>
        </w:rPr>
      </w:pPr>
    </w:p>
    <w:p w14:paraId="2D1F6EF2" w14:textId="3614C7D7" w:rsidR="009E0FE2" w:rsidRDefault="00000000" w:rsidP="009E0FE2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Informacja prasowa         </w:t>
      </w:r>
    </w:p>
    <w:p w14:paraId="29133E86" w14:textId="7DF5A600" w:rsidR="007450E5" w:rsidRDefault="00000000" w:rsidP="009E0FE2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Wrocław, 09.09.2026</w:t>
      </w:r>
      <w:r w:rsidR="009E0FE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r.</w:t>
      </w:r>
    </w:p>
    <w:p w14:paraId="70DE86C2" w14:textId="77777777" w:rsidR="009E0FE2" w:rsidRDefault="009E0FE2" w:rsidP="009E0FE2">
      <w:pPr>
        <w:jc w:val="right"/>
        <w:rPr>
          <w:rFonts w:ascii="Calibri" w:eastAsia="Calibri" w:hAnsi="Calibri" w:cs="Calibri"/>
          <w:b/>
          <w:bCs/>
        </w:rPr>
      </w:pPr>
    </w:p>
    <w:p w14:paraId="62526F59" w14:textId="77777777" w:rsidR="007450E5" w:rsidRDefault="00000000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Happy end polskiego crowdfundingu. Akcjonariusze </w:t>
      </w:r>
      <w:proofErr w:type="spellStart"/>
      <w:r>
        <w:rPr>
          <w:rFonts w:ascii="Calibri" w:eastAsia="Calibri" w:hAnsi="Calibri" w:cs="Calibri"/>
          <w:b/>
          <w:bCs/>
        </w:rPr>
        <w:t>Useme</w:t>
      </w:r>
      <w:proofErr w:type="spellEnd"/>
      <w:r>
        <w:rPr>
          <w:rFonts w:ascii="Calibri" w:eastAsia="Calibri" w:hAnsi="Calibri" w:cs="Calibri"/>
          <w:b/>
          <w:bCs/>
        </w:rPr>
        <w:t xml:space="preserve"> wychodzą z inwestycji z blisko 59-proc. zyskiem </w:t>
      </w:r>
    </w:p>
    <w:p w14:paraId="0F868CEA" w14:textId="77777777" w:rsidR="007450E5" w:rsidRDefault="00000000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</w:t>
      </w:r>
    </w:p>
    <w:p w14:paraId="37D8AFD8" w14:textId="65D9C761" w:rsidR="007450E5" w:rsidRDefault="00000000">
      <w:pPr>
        <w:jc w:val="both"/>
        <w:rPr>
          <w:rFonts w:ascii="Calibri" w:eastAsia="Calibri" w:hAnsi="Calibri" w:cs="Calibri"/>
          <w:b/>
          <w:bCs/>
          <w:strike/>
        </w:rPr>
      </w:pPr>
      <w:proofErr w:type="spellStart"/>
      <w:r>
        <w:rPr>
          <w:rFonts w:ascii="Calibri" w:eastAsia="Calibri" w:hAnsi="Calibri" w:cs="Calibri"/>
          <w:b/>
          <w:bCs/>
        </w:rPr>
        <w:t>Useme</w:t>
      </w:r>
      <w:proofErr w:type="spellEnd"/>
      <w:r>
        <w:rPr>
          <w:rFonts w:ascii="Calibri" w:eastAsia="Calibri" w:hAnsi="Calibri" w:cs="Calibri"/>
          <w:b/>
          <w:bCs/>
        </w:rPr>
        <w:t>, technologiczna platforma wspierająca firmy we współpracy z niezależnymi specjalistami,</w:t>
      </w:r>
      <w:r w:rsidR="009E0FE2"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finalizuje dobrowolny wykup akcji objętych w kampanii </w:t>
      </w:r>
      <w:proofErr w:type="spellStart"/>
      <w:r>
        <w:rPr>
          <w:rFonts w:ascii="Calibri" w:eastAsia="Calibri" w:hAnsi="Calibri" w:cs="Calibri"/>
          <w:b/>
          <w:bCs/>
        </w:rPr>
        <w:t>crowdfundingowej</w:t>
      </w:r>
      <w:proofErr w:type="spellEnd"/>
      <w:r>
        <w:rPr>
          <w:rFonts w:ascii="Calibri" w:eastAsia="Calibri" w:hAnsi="Calibri" w:cs="Calibri"/>
          <w:b/>
          <w:bCs/>
        </w:rPr>
        <w:t xml:space="preserve"> z 2021 roku. Dzięki temu akcjonariusze kończą inwestycję z niemal 59-procentowym zwrotem.</w:t>
      </w:r>
    </w:p>
    <w:p w14:paraId="0EDECC36" w14:textId="77777777" w:rsidR="007450E5" w:rsidRDefault="00000000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 xml:space="preserve">Wrocławska spółka </w:t>
      </w:r>
      <w:proofErr w:type="spellStart"/>
      <w:r>
        <w:rPr>
          <w:rFonts w:ascii="Calibri" w:eastAsia="Calibri" w:hAnsi="Calibri" w:cs="Calibri"/>
        </w:rPr>
        <w:t>Useme</w:t>
      </w:r>
      <w:proofErr w:type="spellEnd"/>
      <w:r>
        <w:rPr>
          <w:rFonts w:ascii="Calibri" w:eastAsia="Calibri" w:hAnsi="Calibri" w:cs="Calibri"/>
        </w:rPr>
        <w:t xml:space="preserve"> rozwija technologiczną infrastrukturę, która pozwala firmom bezpiecznie i legalnie współpracować z niezależnymi specjalistami. Platforma automatyzuje cały proces - od zawarcia umowy i weryfikacji stron, przez rozliczenia i płatności, po obsługę dokumentacji podatkowej. Z jej rozwiązań korzysta już ponad 300 tys. freelancerów ponad 150 tys. przedsiębiorstw o różnej wielkości, zlecających pojedyncze projekty czy zarządzających rozproszonymi zespołami ekspertów.</w:t>
      </w:r>
    </w:p>
    <w:p w14:paraId="144CE5D2" w14:textId="77777777" w:rsidR="007450E5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Podczas kampanii </w:t>
      </w:r>
      <w:proofErr w:type="spellStart"/>
      <w:r>
        <w:rPr>
          <w:rFonts w:ascii="Calibri" w:eastAsia="Calibri" w:hAnsi="Calibri" w:cs="Calibri"/>
        </w:rPr>
        <w:t>crowdfundingowej</w:t>
      </w:r>
      <w:proofErr w:type="spellEnd"/>
      <w:r>
        <w:rPr>
          <w:rFonts w:ascii="Calibri" w:eastAsia="Calibri" w:hAnsi="Calibri" w:cs="Calibri"/>
        </w:rPr>
        <w:t xml:space="preserve"> w 2021 roku </w:t>
      </w:r>
      <w:proofErr w:type="spellStart"/>
      <w:r>
        <w:rPr>
          <w:rFonts w:ascii="Calibri" w:eastAsia="Calibri" w:hAnsi="Calibri" w:cs="Calibri"/>
        </w:rPr>
        <w:t>Useme</w:t>
      </w:r>
      <w:proofErr w:type="spellEnd"/>
      <w:r>
        <w:rPr>
          <w:rFonts w:ascii="Calibri" w:eastAsia="Calibri" w:hAnsi="Calibri" w:cs="Calibri"/>
        </w:rPr>
        <w:t xml:space="preserve"> deklarowało, że będzie dążyć do stworzenia inwestorom realnej możliwości </w:t>
      </w:r>
      <w:proofErr w:type="spellStart"/>
      <w:r>
        <w:rPr>
          <w:rFonts w:ascii="Calibri" w:eastAsia="Calibri" w:hAnsi="Calibri" w:cs="Calibri"/>
        </w:rPr>
        <w:t>exitu</w:t>
      </w:r>
      <w:proofErr w:type="spellEnd"/>
      <w:r>
        <w:rPr>
          <w:rFonts w:ascii="Calibri" w:eastAsia="Calibri" w:hAnsi="Calibri" w:cs="Calibri"/>
        </w:rPr>
        <w:t xml:space="preserve">. Dziś spółka realizuje tę zapowiedź, z własnej inicjatywy proponując akcjonariuszom dobrowolny wykup akcji. W praktyce inwestorzy crowdfundingowi najczęściej mogą liczyć na </w:t>
      </w:r>
      <w:proofErr w:type="spellStart"/>
      <w:r>
        <w:rPr>
          <w:rFonts w:ascii="Calibri" w:eastAsia="Calibri" w:hAnsi="Calibri" w:cs="Calibri"/>
        </w:rPr>
        <w:t>exit</w:t>
      </w:r>
      <w:proofErr w:type="spellEnd"/>
      <w:r>
        <w:rPr>
          <w:rFonts w:ascii="Calibri" w:eastAsia="Calibri" w:hAnsi="Calibri" w:cs="Calibri"/>
        </w:rPr>
        <w:t xml:space="preserve"> dopiero w przypadku debiutu giełdowego lub sprzedaży spółki, jednak takie scenariusze na polskim rynku wciąż pozostają wyjątkiem. </w:t>
      </w:r>
    </w:p>
    <w:p w14:paraId="65197796" w14:textId="6EC2AEAD" w:rsidR="007450E5" w:rsidRDefault="00000000">
      <w:pPr>
        <w:spacing w:before="240" w:after="240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Useme</w:t>
      </w:r>
      <w:proofErr w:type="spellEnd"/>
      <w:r>
        <w:rPr>
          <w:rFonts w:ascii="Calibri" w:eastAsia="Calibri" w:hAnsi="Calibri" w:cs="Calibri"/>
        </w:rPr>
        <w:t xml:space="preserve"> zaoferowało swojej społeczności wykup w cenie 50 zł za akcję, co oznacza, że inwestorzy, którzy zdecydowali się skorzystać z tej oferty, zrealizowali 58,7 proc. zwrotu brutto względem ceny emisyjnej. Oznacza to, że średnioroczna skumulowana stopa zwrotu wyniosła 10,42%.</w:t>
      </w:r>
    </w:p>
    <w:p w14:paraId="1D0DAE94" w14:textId="77777777" w:rsidR="007450E5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 xml:space="preserve">– Kiedy prowadziliśmy kampanię </w:t>
      </w:r>
      <w:proofErr w:type="spellStart"/>
      <w:r>
        <w:rPr>
          <w:rFonts w:ascii="Calibri" w:eastAsia="Calibri" w:hAnsi="Calibri" w:cs="Calibri"/>
          <w:i/>
          <w:iCs/>
        </w:rPr>
        <w:t>crowdfundingową</w:t>
      </w:r>
      <w:proofErr w:type="spellEnd"/>
      <w:r>
        <w:rPr>
          <w:rFonts w:ascii="Calibri" w:eastAsia="Calibri" w:hAnsi="Calibri" w:cs="Calibri"/>
          <w:i/>
          <w:iCs/>
        </w:rPr>
        <w:t xml:space="preserve">, zapowiedzieliśmy inwestorom, że w perspektywie kilku lat będziemy szukać dla nich potencjalnej możliwości wyjścia z inwestycji. Dziś po prostu dotrzymujemy słowa. Crowdfunding to nie tylko zebranie pieniędzy. To zobowiązanie wobec ludzi, którzy zaufali nam na wczesnym etapie rozwoju spółki. Jednocześnie nikogo nie zmuszamy do sprzedaży akcji - każdy inwestor ma opcję realizacji zysku lub pozostania z nami oraz uczestniczenia w kolejnym etapie rozwoju </w:t>
      </w:r>
      <w:r>
        <w:rPr>
          <w:rFonts w:ascii="Calibri" w:eastAsia="Calibri" w:hAnsi="Calibri" w:cs="Calibri"/>
        </w:rPr>
        <w:t xml:space="preserve">– mówi Przemysław Głośny, CEO </w:t>
      </w:r>
      <w:proofErr w:type="spellStart"/>
      <w:r>
        <w:rPr>
          <w:rFonts w:ascii="Calibri" w:eastAsia="Calibri" w:hAnsi="Calibri" w:cs="Calibri"/>
        </w:rPr>
        <w:t>Useme</w:t>
      </w:r>
      <w:proofErr w:type="spellEnd"/>
      <w:r>
        <w:rPr>
          <w:rFonts w:ascii="Calibri" w:eastAsia="Calibri" w:hAnsi="Calibri" w:cs="Calibri"/>
        </w:rPr>
        <w:t>.</w:t>
      </w:r>
    </w:p>
    <w:p w14:paraId="30EF2BA0" w14:textId="77777777" w:rsidR="007450E5" w:rsidRDefault="00000000">
      <w:pPr>
        <w:pStyle w:val="Nagwek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0" w:name="_yrfawuk6o8at" w:colFirst="0" w:colLast="0"/>
      <w:bookmarkEnd w:id="0"/>
      <w:r>
        <w:rPr>
          <w:rFonts w:ascii="Calibri" w:eastAsia="Calibri" w:hAnsi="Calibri" w:cs="Calibri"/>
          <w:b/>
          <w:bCs/>
          <w:sz w:val="22"/>
          <w:szCs w:val="22"/>
        </w:rPr>
        <w:t>Kapitał, który napędził rozwój</w:t>
      </w:r>
    </w:p>
    <w:p w14:paraId="62695404" w14:textId="3DB405E7" w:rsidR="007450E5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Celem emisji </w:t>
      </w:r>
      <w:proofErr w:type="spellStart"/>
      <w:r>
        <w:rPr>
          <w:rFonts w:ascii="Calibri" w:eastAsia="Calibri" w:hAnsi="Calibri" w:cs="Calibri"/>
        </w:rPr>
        <w:t>crowdfundingowej</w:t>
      </w:r>
      <w:proofErr w:type="spellEnd"/>
      <w:r>
        <w:rPr>
          <w:rFonts w:ascii="Calibri" w:eastAsia="Calibri" w:hAnsi="Calibri" w:cs="Calibri"/>
        </w:rPr>
        <w:t>, w ramach której Spółka pozyskała 1,2 mln zł od inwestorów, był rozwój technologii oraz przygotowanie do działalności międzynarodowej. Spółka rozbudowała rozwiązania automatyzujące zawieranie i obsługę umów, weryfikację dokumentów, wystawianie faktur oraz realizację płatności.</w:t>
      </w:r>
    </w:p>
    <w:p w14:paraId="1CDE835B" w14:textId="77777777" w:rsidR="009E0FE2" w:rsidRDefault="009E0FE2">
      <w:pPr>
        <w:spacing w:before="240" w:after="240"/>
        <w:jc w:val="both"/>
        <w:rPr>
          <w:rFonts w:ascii="Calibri" w:eastAsia="Calibri" w:hAnsi="Calibri" w:cs="Calibri"/>
        </w:rPr>
      </w:pPr>
    </w:p>
    <w:p w14:paraId="7DC914CF" w14:textId="77777777" w:rsidR="007450E5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Efekty tych inwestycji są dziś widoczne w wynikach finansowych </w:t>
      </w:r>
      <w:proofErr w:type="spellStart"/>
      <w:r>
        <w:rPr>
          <w:rFonts w:ascii="Calibri" w:eastAsia="Calibri" w:hAnsi="Calibri" w:cs="Calibri"/>
        </w:rPr>
        <w:t>Useme</w:t>
      </w:r>
      <w:proofErr w:type="spellEnd"/>
      <w:r>
        <w:rPr>
          <w:rFonts w:ascii="Calibri" w:eastAsia="Calibri" w:hAnsi="Calibri" w:cs="Calibri"/>
        </w:rPr>
        <w:t xml:space="preserve">. Wartość transakcji rozliczanych przez platformę wzrosła z 64,4 mln zł w 2021 roku do 302,3 mln zł w 2025 roku, z czego ponad 20 proc. stanowią transakcje międzynarodowe. Prognoza na 2026 rok zakłada wypracowanie obrotu na poziomie 380,9 mln zł. </w:t>
      </w:r>
    </w:p>
    <w:p w14:paraId="263056F7" w14:textId="77777777" w:rsidR="007450E5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 xml:space="preserve">– Operacyjnie rozwijaliśmy się </w:t>
      </w:r>
      <w:proofErr w:type="gramStart"/>
      <w:r>
        <w:rPr>
          <w:rFonts w:ascii="Calibri" w:eastAsia="Calibri" w:hAnsi="Calibri" w:cs="Calibri"/>
          <w:i/>
          <w:iCs/>
        </w:rPr>
        <w:t>szybciej,</w:t>
      </w:r>
      <w:proofErr w:type="gramEnd"/>
      <w:r>
        <w:rPr>
          <w:rFonts w:ascii="Calibri" w:eastAsia="Calibri" w:hAnsi="Calibri" w:cs="Calibri"/>
          <w:i/>
          <w:iCs/>
        </w:rPr>
        <w:t xml:space="preserve"> niż zakładaliśmy w momencie kampanii. W tym samym czasie zmieniło się jednak otoczenie rynkowe. Wysoka inflacja czy wojna w Ukrainie sprawiły, że wyceny spółek technologicznych są dziś zupełnie inne niż pięć lat temu. Wierzymy, że w kolejnych latach rynek stworzy lepsze warunki do rozważanego przez nas debiutu giełdowego lub innej formy wyjścia z inwestycji. Nie oczekiwaliśmy jednak, że nasi akcjonariusze będą czekać razem z nami. Dlatego zaproponowaliśmy dobrowolny wybór w postaci sprzedaży akcji po atrakcyjnej cenie –</w:t>
      </w:r>
      <w:r>
        <w:rPr>
          <w:rFonts w:ascii="Calibri" w:eastAsia="Calibri" w:hAnsi="Calibri" w:cs="Calibri"/>
        </w:rPr>
        <w:t xml:space="preserve"> podkreśla Przemysław Głośny. </w:t>
      </w:r>
      <w:r>
        <w:rPr>
          <w:rFonts w:ascii="Calibri" w:eastAsia="Calibri" w:hAnsi="Calibri" w:cs="Calibri"/>
          <w:i/>
          <w:iCs/>
        </w:rPr>
        <w:t xml:space="preserve">– Od momentu zakończenia kampanii staraliśmy się też prowadzić z inwestorami otwartą komunikację. Regularnie pokazywaliśmy wyniki i rozmawialiśmy zarówno o sukcesach, jak i o wyzwaniach. Uważam, że taka transparentność jest równie ważna jak sam zwrot z inwestycji. Tak właśnie rozumiem odpowiedzialność wobec naszej społeczności – </w:t>
      </w:r>
      <w:r>
        <w:rPr>
          <w:rFonts w:ascii="Calibri" w:eastAsia="Calibri" w:hAnsi="Calibri" w:cs="Calibri"/>
        </w:rPr>
        <w:t>dodaje Głośny.</w:t>
      </w:r>
    </w:p>
    <w:p w14:paraId="27850EAF" w14:textId="77777777" w:rsidR="007450E5" w:rsidRDefault="00000000">
      <w:pPr>
        <w:pStyle w:val="Nagwek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1" w:name="_ilka8ggstqk7" w:colFirst="0" w:colLast="0"/>
      <w:bookmarkEnd w:id="1"/>
      <w:r>
        <w:rPr>
          <w:rFonts w:ascii="Calibri" w:eastAsia="Calibri" w:hAnsi="Calibri" w:cs="Calibri"/>
          <w:b/>
          <w:bCs/>
          <w:sz w:val="22"/>
          <w:szCs w:val="22"/>
        </w:rPr>
        <w:t>Po wzroście czas na rentowność</w:t>
      </w:r>
    </w:p>
    <w:p w14:paraId="369117F5" w14:textId="77777777" w:rsidR="007450E5" w:rsidRDefault="007450E5"/>
    <w:p w14:paraId="7750D74F" w14:textId="77777777" w:rsidR="007450E5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 okresie intensywnego skalowania </w:t>
      </w:r>
      <w:proofErr w:type="spellStart"/>
      <w:r>
        <w:rPr>
          <w:rFonts w:ascii="Calibri" w:eastAsia="Calibri" w:hAnsi="Calibri" w:cs="Calibri"/>
        </w:rPr>
        <w:t>Useme</w:t>
      </w:r>
      <w:proofErr w:type="spellEnd"/>
      <w:r>
        <w:rPr>
          <w:rFonts w:ascii="Calibri" w:eastAsia="Calibri" w:hAnsi="Calibri" w:cs="Calibri"/>
        </w:rPr>
        <w:t xml:space="preserve"> koncentruje się na budowie zdrowej rentowności oraz dalszym wzroście opartym na technologii i automatyzacji. Jednym z kluczowych celów jest osiągnięcie dodatniej EBITDA przy utrzymaniu około 30-procentowego tempa wzrostu.</w:t>
      </w:r>
    </w:p>
    <w:p w14:paraId="7360F293" w14:textId="77777777" w:rsidR="007450E5" w:rsidRDefault="007450E5">
      <w:pPr>
        <w:rPr>
          <w:rFonts w:ascii="Calibri" w:eastAsia="Calibri" w:hAnsi="Calibri" w:cs="Calibri"/>
        </w:rPr>
      </w:pPr>
    </w:p>
    <w:p w14:paraId="6946DB6C" w14:textId="77777777" w:rsidR="007450E5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Najważniejszym kierunkiem strategii biznesowej jest rozwój rozwiązań dla przedsiębiorstw, które na co dzień współpracują z niezależnymi specjalistami. Dziś najczęściej są to firmy z sektora e-commerce, agencje marketingowe oraz podmioty angażujące ekspertów z branż kreatywnych i IT, a także twórców internetowych. </w:t>
      </w:r>
      <w:proofErr w:type="spellStart"/>
      <w:r>
        <w:rPr>
          <w:rFonts w:ascii="Calibri" w:eastAsia="Calibri" w:hAnsi="Calibri" w:cs="Calibri"/>
        </w:rPr>
        <w:t>Useme</w:t>
      </w:r>
      <w:proofErr w:type="spellEnd"/>
      <w:r>
        <w:rPr>
          <w:rFonts w:ascii="Calibri" w:eastAsia="Calibri" w:hAnsi="Calibri" w:cs="Calibri"/>
        </w:rPr>
        <w:t xml:space="preserve"> rozwija narzędzia umożliwiające kompleksowe zarządzanie taką współpracą – od zawierania umów, przez płatności i rozliczenia podatkowe, po zarządzanie rozproszoną siecią współpracowników i zapewnienie zgodności formalno-prawnej. Celem spółki jest umacnianie pozycji nie tylko jako platformy dla freelancerów, lecz przede wszystkim jako technologicznej infrastruktury wspierającej nowoczesny model współpracy pomiędzy firmami a niezależnymi specjalistami.</w:t>
      </w:r>
    </w:p>
    <w:p w14:paraId="5E5CBF56" w14:textId="77777777" w:rsidR="007450E5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 ocenie spółki wykup akcji od inwestorów społecznościowych zamyka pierwszy etap rozwoju </w:t>
      </w:r>
      <w:proofErr w:type="spellStart"/>
      <w:r>
        <w:rPr>
          <w:rFonts w:ascii="Calibri" w:eastAsia="Calibri" w:hAnsi="Calibri" w:cs="Calibri"/>
        </w:rPr>
        <w:t>Useme</w:t>
      </w:r>
      <w:proofErr w:type="spellEnd"/>
      <w:r>
        <w:rPr>
          <w:rFonts w:ascii="Calibri" w:eastAsia="Calibri" w:hAnsi="Calibri" w:cs="Calibri"/>
        </w:rPr>
        <w:t xml:space="preserve"> i otwiera kolejny – skoncentrowany na budowie długoterminowej wartości dla klientów, partnerów i akcjonariuszy.</w:t>
      </w:r>
    </w:p>
    <w:p w14:paraId="27251ECF" w14:textId="77777777" w:rsidR="007450E5" w:rsidRDefault="00000000">
      <w:pPr>
        <w:spacing w:after="120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O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Useme</w:t>
      </w:r>
      <w:proofErr w:type="spellEnd"/>
    </w:p>
    <w:p w14:paraId="561BB980" w14:textId="77777777" w:rsidR="007450E5" w:rsidRDefault="00000000">
      <w:pPr>
        <w:spacing w:after="120"/>
        <w:jc w:val="both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</w:rPr>
        <w:t>Useme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to istniejąca od 2013 roku platforma wspierająca współpracę firm z niezależnymi specjalistami. Wrocławska Spółka tworzy technologiczną, prawną i finansową infrastrukturę, która automatyzuje cały proces współpracy - od zawarcia umowy i weryfikacji stron, przez zapewnienie zgodności formalno-prawnej (</w:t>
      </w:r>
      <w:proofErr w:type="spellStart"/>
      <w:r>
        <w:rPr>
          <w:rFonts w:ascii="Calibri" w:eastAsia="Calibri" w:hAnsi="Calibri" w:cs="Calibri"/>
          <w:sz w:val="20"/>
          <w:szCs w:val="20"/>
        </w:rPr>
        <w:t>compliance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), po rozliczenia, płatności i obsługę dokumentacji podatkowej. Platforma obsługuje ponad 300 tys. freelancerów i każdego roku rozlicza transakcje o wartości setek milionów złotych, umożliwiając przedsiębiorstwom bezpieczną i efektywną współpracę projektową z niezależnymi ekspertami. Obecnie </w:t>
      </w:r>
      <w:proofErr w:type="spellStart"/>
      <w:r>
        <w:rPr>
          <w:rFonts w:ascii="Calibri" w:eastAsia="Calibri" w:hAnsi="Calibri" w:cs="Calibri"/>
          <w:sz w:val="20"/>
          <w:szCs w:val="20"/>
        </w:rPr>
        <w:t>Useme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jest liderem rozliczeń pracy zdalnej w Polsce, Europie Centralnej i Wschodniej.</w:t>
      </w:r>
    </w:p>
    <w:p w14:paraId="5034F090" w14:textId="77777777" w:rsidR="007450E5" w:rsidRDefault="007450E5">
      <w:pPr>
        <w:spacing w:after="120"/>
        <w:jc w:val="both"/>
        <w:rPr>
          <w:rFonts w:ascii="Calibri" w:eastAsia="Calibri" w:hAnsi="Calibri" w:cs="Calibri"/>
          <w:sz w:val="20"/>
          <w:szCs w:val="20"/>
        </w:rPr>
      </w:pPr>
    </w:p>
    <w:sectPr w:rsidR="007450E5">
      <w:headerReference w:type="default" r:id="rId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C1F0A" w14:textId="77777777" w:rsidR="00F019E9" w:rsidRDefault="00F019E9">
      <w:pPr>
        <w:spacing w:line="240" w:lineRule="auto"/>
      </w:pPr>
      <w:r>
        <w:separator/>
      </w:r>
    </w:p>
  </w:endnote>
  <w:endnote w:type="continuationSeparator" w:id="0">
    <w:p w14:paraId="061431A0" w14:textId="77777777" w:rsidR="00F019E9" w:rsidRDefault="00F019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F6700F3-B2F9-4A0C-A63B-BF56DA89DC56}"/>
    <w:embedBold r:id="rId2" w:fontKey="{4C22AAB4-F5C3-40F5-8119-7DD3A9923A11}"/>
    <w:embedItalic r:id="rId3" w:fontKey="{01C0A523-7836-4A46-85B7-6B561765A97C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0FDA403D-FD03-4F87-BD21-85F714A4241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3C6D8205-79C0-4C2F-A47C-9A1FF93C73B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BFEF4" w14:textId="77777777" w:rsidR="00F019E9" w:rsidRDefault="00F019E9">
      <w:pPr>
        <w:spacing w:line="240" w:lineRule="auto"/>
      </w:pPr>
      <w:r>
        <w:separator/>
      </w:r>
    </w:p>
  </w:footnote>
  <w:footnote w:type="continuationSeparator" w:id="0">
    <w:p w14:paraId="06411DA0" w14:textId="77777777" w:rsidR="00F019E9" w:rsidRDefault="00F019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6C043" w14:textId="77777777" w:rsidR="007450E5" w:rsidRDefault="00000000">
    <w:pPr>
      <w:widowControl w:val="0"/>
      <w:spacing w:line="240" w:lineRule="auto"/>
    </w:pPr>
    <w:r>
      <w:rPr>
        <w:rFonts w:ascii="Lato" w:eastAsia="Lato" w:hAnsi="Lato" w:cs="Lato"/>
        <w:noProof/>
        <w:sz w:val="20"/>
        <w:szCs w:val="20"/>
      </w:rPr>
      <w:drawing>
        <wp:inline distT="114300" distB="114300" distL="114300" distR="114300" wp14:anchorId="77F6B7C8" wp14:editId="4EF57266">
          <wp:extent cx="1228725" cy="61912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78571"/>
                  <a:stretch>
                    <a:fillRect/>
                  </a:stretch>
                </pic:blipFill>
                <pic:spPr>
                  <a:xfrm>
                    <a:off x="0" y="0"/>
                    <a:ext cx="1228725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0E5"/>
    <w:rsid w:val="00164717"/>
    <w:rsid w:val="007450E5"/>
    <w:rsid w:val="009E0FE2"/>
    <w:rsid w:val="00F0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B29B7"/>
  <w15:docId w15:val="{F3DBC988-B5F2-458B-A90C-D1016E72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819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 Knychala</cp:lastModifiedBy>
  <cp:revision>3</cp:revision>
  <dcterms:created xsi:type="dcterms:W3CDTF">2026-09-09T10:27:00Z</dcterms:created>
  <dcterms:modified xsi:type="dcterms:W3CDTF">2026-09-09T10:28:00Z</dcterms:modified>
</cp:coreProperties>
</file>