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BCB3A" w14:textId="515052B3" w:rsidR="00EC5DDA" w:rsidRDefault="00FF62E7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Warszawa, </w:t>
      </w:r>
      <w:r w:rsidR="00E720C1">
        <w:rPr>
          <w:i/>
          <w:iCs/>
          <w:sz w:val="18"/>
          <w:szCs w:val="18"/>
        </w:rPr>
        <w:t>7 września</w:t>
      </w:r>
      <w:r>
        <w:rPr>
          <w:i/>
          <w:iCs/>
          <w:sz w:val="18"/>
          <w:szCs w:val="18"/>
        </w:rPr>
        <w:t xml:space="preserve"> 2025</w:t>
      </w:r>
    </w:p>
    <w:p w14:paraId="23302E90" w14:textId="77777777" w:rsidR="00EC5DDA" w:rsidRDefault="00EC5DDA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A771086" w14:textId="77777777" w:rsidR="00EC5DDA" w:rsidRDefault="00FF62E7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Klienci zaufali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: wartość transakcji w Polsce zbliża się do 30 miliardów złotych</w:t>
      </w:r>
    </w:p>
    <w:p w14:paraId="14C19FBA" w14:textId="67862B40" w:rsidR="00EC5DDA" w:rsidRDefault="00FF62E7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Cyfrowe płatności wpływają na codzienne działanie branży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beauty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. Rezerwacja wizyty, rozliczenie usługi i przekazanie napiwku coraz częściej 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odbywa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 xml:space="preserve"> się w ramach jednego, spójnego doświadczenia klienta. Rozwijana od jesieni 2025 roku usługa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osiągnęła w Polsce wartość transakcji na poziomie ok. 30 miliardów złotych. Zmiana jest widoczna także w samych nawykach klientów. Większość wizyt opłacają oni z góry, a takie rezerwacje dużo rzadziej kończą się odwołaniem lub nieobecnością. Coraz ważniejszą rolę odgrywają również napiwki przekazywane za pośrednictwem aplikacji.</w:t>
      </w:r>
    </w:p>
    <w:p w14:paraId="63195B24" w14:textId="77777777" w:rsidR="00EC5DDA" w:rsidRDefault="00FF62E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Według danych GUS pod koniec 2024 r. ceny usług </w:t>
      </w:r>
      <w:proofErr w:type="spellStart"/>
      <w:r>
        <w:rPr>
          <w:rFonts w:ascii="Arial" w:eastAsia="Arial" w:hAnsi="Arial" w:cs="Arial"/>
          <w:sz w:val="20"/>
          <w:szCs w:val="20"/>
        </w:rPr>
        <w:t>beauty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wzrosły o ponad 8 proc. rok do roku. Dla biznesu kluczowe stają się rozwiązania, które upraszczają proces obsługi i pomagają w zarządzaniu firmą. Jednocześnie rosną oczekiwania samych konsumentów. Jak pokazuje raport „Beauty na kliknięcie” prawie dwie trzecie ankietowanych chętnie skorzystałoby z cyfrowych form płatności, jeśli salon udostępniłby taką opcję</w:t>
      </w:r>
      <w:r>
        <w:rPr>
          <w:vertAlign w:val="superscript"/>
        </w:rPr>
        <w:footnoteReference w:id="1"/>
      </w:r>
      <w:r>
        <w:rPr>
          <w:rFonts w:ascii="Arial" w:eastAsia="Arial" w:hAnsi="Arial" w:cs="Arial"/>
          <w:sz w:val="20"/>
          <w:szCs w:val="20"/>
        </w:rPr>
        <w:t xml:space="preserve">. Trend potwierdzają dane z pierwszych miesięcy działania </w:t>
      </w:r>
      <w:proofErr w:type="spellStart"/>
      <w:r>
        <w:rPr>
          <w:rFonts w:ascii="Arial" w:eastAsia="Arial" w:hAnsi="Arial" w:cs="Arial"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>. Niemal siedmiu na dziesięciu Polaków, którzy wypróbowali tę usługę, wraca do niej i na stałe przestawia się na nowy model opłacania wizyt.</w:t>
      </w:r>
    </w:p>
    <w:p w14:paraId="5ECA533C" w14:textId="77777777" w:rsidR="00EC5DDA" w:rsidRDefault="00FF62E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Zdecydowanym liderem płatności w </w:t>
      </w:r>
      <w:proofErr w:type="spellStart"/>
      <w:r>
        <w:rPr>
          <w:rFonts w:ascii="Arial" w:eastAsia="Arial" w:hAnsi="Arial" w:cs="Arial"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jest BLIK, którego przewaga rośnie szczególnie w okresach promocji typu </w:t>
      </w:r>
      <w:proofErr w:type="spellStart"/>
      <w:r>
        <w:rPr>
          <w:rFonts w:ascii="Arial" w:eastAsia="Arial" w:hAnsi="Arial" w:cs="Arial"/>
          <w:sz w:val="20"/>
          <w:szCs w:val="20"/>
        </w:rPr>
        <w:t>cashback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Zaraz za cyfrowymi portfelami (Apple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 Google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znajduje się </w:t>
      </w:r>
      <w:proofErr w:type="spellStart"/>
      <w:r>
        <w:rPr>
          <w:rFonts w:ascii="Arial" w:eastAsia="Arial" w:hAnsi="Arial" w:cs="Arial"/>
          <w:sz w:val="20"/>
          <w:szCs w:val="20"/>
        </w:rPr>
        <w:t>Klarna</w:t>
      </w:r>
      <w:proofErr w:type="spellEnd"/>
      <w:r>
        <w:rPr>
          <w:rFonts w:ascii="Arial" w:eastAsia="Arial" w:hAnsi="Arial" w:cs="Arial"/>
          <w:sz w:val="20"/>
          <w:szCs w:val="20"/>
        </w:rPr>
        <w:t>, która oferuje rozwiązanie “</w:t>
      </w:r>
      <w:proofErr w:type="spellStart"/>
      <w:r>
        <w:rPr>
          <w:rFonts w:ascii="Arial" w:eastAsia="Arial" w:hAnsi="Arial" w:cs="Arial"/>
          <w:sz w:val="20"/>
          <w:szCs w:val="20"/>
        </w:rPr>
        <w:t>Buy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now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later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”. Ten model elastycznych płatności odroczonych zachęca klientów </w:t>
      </w:r>
      <w:proofErr w:type="spellStart"/>
      <w:r>
        <w:rPr>
          <w:rFonts w:ascii="Arial" w:eastAsia="Arial" w:hAnsi="Arial" w:cs="Arial"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 częstszego umawiania wizyt lub korzystania z droższych zabiegów i usług. Dalsze miejsce zajmują natomiast tradycyjne karty płatnicze. </w:t>
      </w:r>
    </w:p>
    <w:p w14:paraId="12E818DD" w14:textId="77777777" w:rsidR="00EC5DDA" w:rsidRDefault="00FF62E7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Mniej pustych terminów i więcej napiwków</w:t>
      </w:r>
    </w:p>
    <w:p w14:paraId="6D0E979F" w14:textId="2DDFA528" w:rsidR="00EC5DDA" w:rsidRDefault="00FF62E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Największa rewolucja dotyczy jednak nie samej metody płatności, ale momentu jej realizacji. Ponad 87 proc. transakcji </w:t>
      </w:r>
      <w:r w:rsidR="004E2230"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="004E2230">
        <w:rPr>
          <w:rFonts w:ascii="Arial" w:eastAsia="Arial" w:hAnsi="Arial" w:cs="Arial"/>
          <w:sz w:val="20"/>
          <w:szCs w:val="20"/>
        </w:rPr>
        <w:t>odbywa się</w:t>
      </w:r>
      <w:r>
        <w:rPr>
          <w:rFonts w:ascii="Arial" w:eastAsia="Arial" w:hAnsi="Arial" w:cs="Arial"/>
          <w:sz w:val="20"/>
          <w:szCs w:val="20"/>
        </w:rPr>
        <w:t xml:space="preserve"> jeszcze przed wizytą, choć klienci nadal mogą opłacić ją także na miejscu, w trakcie lub po usłudze. To pokazuje, że w branży </w:t>
      </w:r>
      <w:proofErr w:type="spellStart"/>
      <w:r>
        <w:rPr>
          <w:rFonts w:ascii="Arial" w:eastAsia="Arial" w:hAnsi="Arial" w:cs="Arial"/>
          <w:sz w:val="20"/>
          <w:szCs w:val="20"/>
        </w:rPr>
        <w:t>beauty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rośnie akceptacja dla modelu, w którym płatność staje się częścią procesu rezerwacji. Zmiana wpływa nie tylko na wygodę użytkowników, ale ma także bezpośredni </w:t>
      </w:r>
      <w:r w:rsidR="004E2230">
        <w:rPr>
          <w:rFonts w:ascii="Arial" w:eastAsia="Arial" w:hAnsi="Arial" w:cs="Arial"/>
          <w:sz w:val="20"/>
          <w:szCs w:val="20"/>
        </w:rPr>
        <w:t>znaczenie dla</w:t>
      </w:r>
      <w:r>
        <w:rPr>
          <w:rFonts w:ascii="Arial" w:eastAsia="Arial" w:hAnsi="Arial" w:cs="Arial"/>
          <w:sz w:val="20"/>
          <w:szCs w:val="20"/>
        </w:rPr>
        <w:t xml:space="preserve"> biznes</w:t>
      </w:r>
      <w:r w:rsidR="004E2230"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. Opłacenie wizyty z góry redukuje liczbę </w:t>
      </w:r>
      <w:proofErr w:type="spellStart"/>
      <w:r>
        <w:rPr>
          <w:rFonts w:ascii="Arial" w:eastAsia="Arial" w:hAnsi="Arial" w:cs="Arial"/>
          <w:sz w:val="20"/>
          <w:szCs w:val="20"/>
        </w:rPr>
        <w:t>odwołań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 nieobecności klientów aż o 90 proc. Dla właścicieli oznacza to mniejszą liczbę pustych okienek w grafiku, lepsze planowanie dnia pracy i bardziej przewidywalne przychody.</w:t>
      </w:r>
    </w:p>
    <w:p w14:paraId="63DB9796" w14:textId="7C9EE5A4" w:rsidR="00EC5DDA" w:rsidRDefault="00FF62E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Rozwojowi </w:t>
      </w:r>
      <w:proofErr w:type="spellStart"/>
      <w:r>
        <w:rPr>
          <w:rFonts w:ascii="Arial" w:eastAsia="Arial" w:hAnsi="Arial" w:cs="Arial"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towarzyszy zauważalny wzrost liczby napiwków zostawianych przez klientów. Wręczanie ich w gotówce bywa dla wielu osób niezręczne, a dodatkowo wymaga posiadania odliczonej kwoty. Możliwość dodania takiej dopłaty bezpośrednio w aplikacji upraszcza cały mechanizm rozliczeń i ogranicza bariery psychologiczne. W efekcie już co piąty użytkownik </w:t>
      </w:r>
      <w:proofErr w:type="spellStart"/>
      <w:r w:rsidR="004E2230">
        <w:rPr>
          <w:rFonts w:ascii="Arial" w:eastAsia="Arial" w:hAnsi="Arial" w:cs="Arial"/>
          <w:sz w:val="20"/>
          <w:szCs w:val="20"/>
        </w:rPr>
        <w:t>Booksy</w:t>
      </w:r>
      <w:proofErr w:type="spellEnd"/>
      <w:r w:rsidR="004E2230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4E2230"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decyduje się w ten sposób docenić wykonawcę usług. Średnia wartość napiwku wynosi ok. 8 proc. wartości wizyty, przy średniej kwocie transakcji na poziomie 128 zł. To pokazuje, że cyfrowa wygoda może sprzyjać większej skłonności do nagradzania wysokiej jakości obsługi.</w:t>
      </w:r>
    </w:p>
    <w:p w14:paraId="7A5333D3" w14:textId="64A9F76E" w:rsidR="00EC5DDA" w:rsidRDefault="00FF62E7">
      <w:pPr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– Rozwój cyfrowych narzędzi, które wspierają cały proces wizyty – od rezerwacji, przez płatność aż do możliwości zostawienia napiwku, poprawia doświadczenie użytkowników, ale także realnie przekłada się na korzyści dla właścicieli salonów. Klienci otrzymują bezproblemowy proces obsługi na wzór najlepszych aplikacji e-commerce, a salon zyskuje gwarancję przychodu. Przy rosnących kosztach prowadzenia działalności, każdy niewykorzystany termin to strata, dlatego przedpłaty i szybkie </w:t>
      </w:r>
      <w:r>
        <w:rPr>
          <w:rFonts w:ascii="Arial" w:eastAsia="Arial" w:hAnsi="Arial" w:cs="Arial"/>
          <w:i/>
          <w:iCs/>
          <w:sz w:val="20"/>
          <w:szCs w:val="20"/>
        </w:rPr>
        <w:lastRenderedPageBreak/>
        <w:t xml:space="preserve">transakcje cyfrowe pełnią dziś kluczową rolę w ekonomice całego biznesu – </w:t>
      </w:r>
      <w:r>
        <w:rPr>
          <w:rFonts w:ascii="Arial" w:eastAsia="Arial" w:hAnsi="Arial" w:cs="Arial"/>
          <w:sz w:val="20"/>
          <w:szCs w:val="20"/>
        </w:rPr>
        <w:t xml:space="preserve">mówi </w:t>
      </w:r>
      <w:r w:rsidR="004E2230" w:rsidRPr="004E2230">
        <w:rPr>
          <w:rFonts w:ascii="Arial" w:eastAsia="Arial" w:hAnsi="Arial" w:cs="Arial"/>
          <w:sz w:val="20"/>
          <w:szCs w:val="20"/>
        </w:rPr>
        <w:t xml:space="preserve">Aleksandra </w:t>
      </w:r>
      <w:proofErr w:type="spellStart"/>
      <w:r w:rsidR="004E2230" w:rsidRPr="004E2230">
        <w:rPr>
          <w:rFonts w:ascii="Arial" w:eastAsia="Arial" w:hAnsi="Arial" w:cs="Arial"/>
          <w:sz w:val="20"/>
          <w:szCs w:val="20"/>
        </w:rPr>
        <w:t>Geihroh</w:t>
      </w:r>
      <w:proofErr w:type="spellEnd"/>
      <w:r w:rsidRPr="004E2230"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4E2230" w:rsidRPr="004E2230">
        <w:rPr>
          <w:rFonts w:ascii="Arial" w:eastAsia="Arial" w:hAnsi="Arial" w:cs="Arial"/>
          <w:sz w:val="20"/>
          <w:szCs w:val="20"/>
        </w:rPr>
        <w:t xml:space="preserve">Senior Product Manager w zespole płatności </w:t>
      </w:r>
      <w:r>
        <w:rPr>
          <w:rFonts w:ascii="Arial" w:eastAsia="Arial" w:hAnsi="Arial" w:cs="Arial"/>
          <w:sz w:val="20"/>
          <w:szCs w:val="20"/>
        </w:rPr>
        <w:t xml:space="preserve">w </w:t>
      </w:r>
      <w:proofErr w:type="spellStart"/>
      <w:r>
        <w:rPr>
          <w:rFonts w:ascii="Arial" w:eastAsia="Arial" w:hAnsi="Arial" w:cs="Arial"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4F819CA" w14:textId="77777777" w:rsidR="00EC5DDA" w:rsidRDefault="00FF62E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 rozwiązania coraz chętniej korzystają także specjaliści, którzy pracują mobilnie lub poza tradycyjnym salonem, na przykład trenerzy personalni, korepetytorzy czy psychoterapeuci. W ich przypadku </w:t>
      </w:r>
      <w:proofErr w:type="spellStart"/>
      <w:r>
        <w:rPr>
          <w:rFonts w:ascii="Arial" w:eastAsia="Arial" w:hAnsi="Arial" w:cs="Arial"/>
          <w:sz w:val="20"/>
          <w:szCs w:val="20"/>
        </w:rPr>
        <w:t>Booksy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rozwiązuje prosty problem braku terminala i ułatwia przyjmowanie płatności w różnych miejscach. </w:t>
      </w:r>
    </w:p>
    <w:p w14:paraId="1D024934" w14:textId="77777777" w:rsidR="00EC5DDA" w:rsidRDefault="00FF62E7">
      <w:pPr>
        <w:spacing w:before="240" w:after="240"/>
        <w:jc w:val="both"/>
        <w:rPr>
          <w:rFonts w:ascii="Arial" w:eastAsia="Arial" w:hAnsi="Arial" w:cs="Arial"/>
          <w:b/>
          <w:bCs/>
          <w:color w:val="212B35"/>
          <w:sz w:val="18"/>
          <w:szCs w:val="18"/>
          <w:highlight w:val="white"/>
        </w:rPr>
      </w:pPr>
      <w:r>
        <w:rPr>
          <w:rFonts w:ascii="Arial" w:eastAsia="Arial" w:hAnsi="Arial" w:cs="Arial"/>
          <w:b/>
          <w:bCs/>
          <w:color w:val="212B35"/>
          <w:sz w:val="18"/>
          <w:szCs w:val="18"/>
          <w:highlight w:val="white"/>
        </w:rPr>
        <w:t xml:space="preserve">O </w:t>
      </w:r>
      <w:proofErr w:type="spellStart"/>
      <w:r>
        <w:rPr>
          <w:rFonts w:ascii="Arial" w:eastAsia="Arial" w:hAnsi="Arial" w:cs="Arial"/>
          <w:b/>
          <w:bCs/>
          <w:color w:val="212B35"/>
          <w:sz w:val="18"/>
          <w:szCs w:val="18"/>
          <w:highlight w:val="white"/>
        </w:rPr>
        <w:t>Booksy</w:t>
      </w:r>
      <w:proofErr w:type="spellEnd"/>
      <w:r>
        <w:rPr>
          <w:rFonts w:ascii="Arial" w:eastAsia="Arial" w:hAnsi="Arial" w:cs="Arial"/>
          <w:b/>
          <w:bCs/>
          <w:color w:val="212B35"/>
          <w:sz w:val="18"/>
          <w:szCs w:val="18"/>
          <w:highlight w:val="white"/>
        </w:rPr>
        <w:t xml:space="preserve">  </w:t>
      </w:r>
    </w:p>
    <w:p w14:paraId="7BBF1C2A" w14:textId="77777777" w:rsidR="00EC5DDA" w:rsidRDefault="00FF62E7">
      <w:pPr>
        <w:spacing w:before="240" w:after="240"/>
        <w:jc w:val="both"/>
        <w:rPr>
          <w:rFonts w:ascii="Arial" w:eastAsia="Arial" w:hAnsi="Arial" w:cs="Arial"/>
          <w:color w:val="212B35"/>
          <w:sz w:val="18"/>
          <w:szCs w:val="18"/>
          <w:highlight w:val="white"/>
        </w:rPr>
      </w:pPr>
      <w:proofErr w:type="spellStart"/>
      <w:r>
        <w:rPr>
          <w:rFonts w:ascii="Arial" w:eastAsia="Arial" w:hAnsi="Arial" w:cs="Arial"/>
          <w:color w:val="212B35"/>
          <w:sz w:val="18"/>
          <w:szCs w:val="18"/>
          <w:highlight w:val="white"/>
        </w:rPr>
        <w:t>Booksy</w:t>
      </w:r>
      <w:proofErr w:type="spellEnd"/>
      <w:r>
        <w:rPr>
          <w:rFonts w:ascii="Arial" w:eastAsia="Arial" w:hAnsi="Arial" w:cs="Arial"/>
          <w:color w:val="212B35"/>
          <w:sz w:val="18"/>
          <w:szCs w:val="18"/>
          <w:highlight w:val="white"/>
        </w:rPr>
        <w:t xml:space="preserve"> to polska firma oferująca aplikację do rezerwacji wizyt online dla użytkowników oraz aplikację do rozwijania biznesu przez usługodawców. Dzięki </w:t>
      </w:r>
      <w:proofErr w:type="spellStart"/>
      <w:r>
        <w:rPr>
          <w:rFonts w:ascii="Arial" w:eastAsia="Arial" w:hAnsi="Arial" w:cs="Arial"/>
          <w:color w:val="212B35"/>
          <w:sz w:val="18"/>
          <w:szCs w:val="18"/>
          <w:highlight w:val="white"/>
        </w:rPr>
        <w:t>Booksy</w:t>
      </w:r>
      <w:proofErr w:type="spellEnd"/>
      <w:r>
        <w:rPr>
          <w:rFonts w:ascii="Arial" w:eastAsia="Arial" w:hAnsi="Arial" w:cs="Arial"/>
          <w:color w:val="212B35"/>
          <w:sz w:val="18"/>
          <w:szCs w:val="18"/>
          <w:highlight w:val="white"/>
        </w:rPr>
        <w:t xml:space="preserve"> użytkownicy m.in. w USA, Wielkiej Brytanii, Francji, Hiszpanii i Polsce mogą umawiać wizyty u swoich ulubionych fryzjerów, </w:t>
      </w:r>
      <w:proofErr w:type="spellStart"/>
      <w:r>
        <w:rPr>
          <w:rFonts w:ascii="Arial" w:eastAsia="Arial" w:hAnsi="Arial" w:cs="Arial"/>
          <w:color w:val="212B35"/>
          <w:sz w:val="18"/>
          <w:szCs w:val="18"/>
          <w:highlight w:val="white"/>
        </w:rPr>
        <w:t>barberów</w:t>
      </w:r>
      <w:proofErr w:type="spellEnd"/>
      <w:r>
        <w:rPr>
          <w:rFonts w:ascii="Arial" w:eastAsia="Arial" w:hAnsi="Arial" w:cs="Arial"/>
          <w:color w:val="212B35"/>
          <w:sz w:val="18"/>
          <w:szCs w:val="18"/>
          <w:highlight w:val="white"/>
        </w:rPr>
        <w:t>, kosmetyczek czy fizjoterapeutów. Tylko w 2024 r. platforma obsłużyła blisko 265 mln wizyt na całym świecie.</w:t>
      </w:r>
    </w:p>
    <w:p w14:paraId="6DA87403" w14:textId="77777777" w:rsidR="00EC5DDA" w:rsidRDefault="00EC5DDA">
      <w:pPr>
        <w:jc w:val="both"/>
        <w:rPr>
          <w:rFonts w:ascii="Arial" w:eastAsia="Arial" w:hAnsi="Arial" w:cs="Arial"/>
          <w:sz w:val="20"/>
          <w:szCs w:val="20"/>
        </w:rPr>
      </w:pPr>
    </w:p>
    <w:sectPr w:rsidR="00EC5DDA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DC6B" w14:textId="77777777" w:rsidR="00FF62E7" w:rsidRDefault="00FF62E7">
      <w:pPr>
        <w:spacing w:after="0" w:line="240" w:lineRule="auto"/>
      </w:pPr>
      <w:r>
        <w:separator/>
      </w:r>
    </w:p>
  </w:endnote>
  <w:endnote w:type="continuationSeparator" w:id="0">
    <w:p w14:paraId="2EE42AC7" w14:textId="77777777" w:rsidR="00FF62E7" w:rsidRDefault="00FF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45393D9-4D39-4C01-ACAF-9FF07D1CEE57}"/>
    <w:embedBold r:id="rId2" w:fontKey="{636003D8-FE78-428B-B7FF-D51319DA4995}"/>
    <w:embedItalic r:id="rId3" w:fontKey="{9C4C5897-6838-4C56-95A1-AACE9E289BBC}"/>
  </w:font>
  <w:font w:name="Play">
    <w:charset w:val="00"/>
    <w:family w:val="auto"/>
    <w:pitch w:val="default"/>
    <w:embedRegular r:id="rId4" w:fontKey="{92236764-D4EA-423F-9267-F15ACD6B71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6075C80-6A7C-4CD5-9022-111314DE42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3E289" w14:textId="77777777" w:rsidR="00FF62E7" w:rsidRDefault="00FF62E7">
      <w:pPr>
        <w:spacing w:after="0" w:line="240" w:lineRule="auto"/>
      </w:pPr>
      <w:r>
        <w:separator/>
      </w:r>
    </w:p>
  </w:footnote>
  <w:footnote w:type="continuationSeparator" w:id="0">
    <w:p w14:paraId="1BFC1436" w14:textId="77777777" w:rsidR="00FF62E7" w:rsidRDefault="00FF62E7">
      <w:pPr>
        <w:spacing w:after="0" w:line="240" w:lineRule="auto"/>
      </w:pPr>
      <w:r>
        <w:continuationSeparator/>
      </w:r>
    </w:p>
  </w:footnote>
  <w:footnote w:id="1">
    <w:p w14:paraId="3E6EFDFF" w14:textId="77777777" w:rsidR="00EC5DDA" w:rsidRDefault="00FF62E7">
      <w:pPr>
        <w:spacing w:before="240" w:after="240"/>
        <w:jc w:val="both"/>
        <w:rPr>
          <w:rFonts w:ascii="Arial" w:eastAsia="Arial" w:hAnsi="Arial" w:cs="Arial"/>
          <w:color w:val="212B35"/>
          <w:sz w:val="16"/>
          <w:szCs w:val="16"/>
          <w:highlight w:val="white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 xml:space="preserve">Raport </w:t>
      </w:r>
      <w:proofErr w:type="spellStart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>Booksy</w:t>
      </w:r>
      <w:proofErr w:type="spellEnd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 xml:space="preserve"> „Beauty na kliknięcie”. Badanie zostało zrealizowane metodą wywiadów online (CAWI) przy wykorzystaniu panelu internetowego SW Panel. Próba badawcza objęła łącznie 1559 respondentów, którzy zostali dobrani spośród osób w wieku od 18 do 64 lat, regularnie korzystających z usług </w:t>
      </w:r>
      <w:proofErr w:type="spellStart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>beauty</w:t>
      </w:r>
      <w:proofErr w:type="spellEnd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 xml:space="preserve"> i zdrowia, w tym użytkowników platformy </w:t>
      </w:r>
      <w:proofErr w:type="spellStart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>Booksy</w:t>
      </w:r>
      <w:proofErr w:type="spellEnd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 xml:space="preserve">. Badanie miało na celu poznanie opinii, </w:t>
      </w:r>
      <w:proofErr w:type="spellStart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>zachowań</w:t>
      </w:r>
      <w:proofErr w:type="spellEnd"/>
      <w:r>
        <w:rPr>
          <w:rFonts w:ascii="Arial" w:eastAsia="Arial" w:hAnsi="Arial" w:cs="Arial"/>
          <w:color w:val="212B35"/>
          <w:sz w:val="16"/>
          <w:szCs w:val="16"/>
          <w:highlight w:val="white"/>
        </w:rPr>
        <w:t xml:space="preserve"> i preferencji tej grupy w zakresie korzystania z usług wymienionych branż. Realizacja pomiaru odbyła się w okresie od 23 stycznia do 11 lutego 2025 roku. </w:t>
      </w:r>
    </w:p>
    <w:p w14:paraId="4312E65F" w14:textId="77777777" w:rsidR="00EC5DDA" w:rsidRDefault="00EC5D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1A1A" w14:textId="77777777" w:rsidR="00EC5DDA" w:rsidRDefault="00FF62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08AC977" wp14:editId="475FB9FD">
          <wp:extent cx="1131611" cy="265472"/>
          <wp:effectExtent l="0" t="0" r="0" b="0"/>
          <wp:docPr id="305783149" name="image1.png" descr="Obraz zawierający Czcionka, Grafika, typografia, czarne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Czcionka, Grafika, typografia, czarne&#10;&#10;Zawartość wygenerowana przez AI może być niepoprawn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1611" cy="265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DDA"/>
    <w:rsid w:val="000E374F"/>
    <w:rsid w:val="002332D3"/>
    <w:rsid w:val="004E2230"/>
    <w:rsid w:val="008F51DF"/>
    <w:rsid w:val="00E720C1"/>
    <w:rsid w:val="00EC5DDA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8A35"/>
  <w15:docId w15:val="{9247D4AA-880B-47D3-BC03-06F24937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556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556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556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556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556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556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5568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5568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5568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8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8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8C4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556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556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556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8C4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5568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8C4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556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8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8C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03F8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7103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0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3F8"/>
    <w:rPr>
      <w:b/>
      <w:bCs/>
      <w:sz w:val="20"/>
      <w:szCs w:val="20"/>
    </w:rPr>
  </w:style>
  <w:style w:type="paragraph" w:styleId="Nagwek">
    <w:name w:val="header"/>
    <w:link w:val="NagwekZnak"/>
    <w:uiPriority w:val="99"/>
    <w:unhideWhenUsed/>
    <w:rsid w:val="00F20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B70"/>
  </w:style>
  <w:style w:type="paragraph" w:styleId="Stopka">
    <w:name w:val="footer"/>
    <w:link w:val="StopkaZnak"/>
    <w:uiPriority w:val="99"/>
    <w:unhideWhenUsed/>
    <w:rsid w:val="00F20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B70"/>
  </w:style>
  <w:style w:type="paragraph" w:styleId="Poprawka">
    <w:name w:val="Revision"/>
    <w:hidden/>
    <w:uiPriority w:val="99"/>
    <w:semiHidden/>
    <w:rsid w:val="00914B33"/>
    <w:pPr>
      <w:spacing w:after="0" w:line="240" w:lineRule="auto"/>
    </w:pPr>
  </w:style>
  <w:style w:type="paragraph" w:styleId="Tekstprzypisukocowego">
    <w:name w:val="endnote text"/>
    <w:link w:val="TekstprzypisukocowegoZnak"/>
    <w:uiPriority w:val="99"/>
    <w:semiHidden/>
    <w:unhideWhenUsed/>
    <w:rsid w:val="00F708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8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0858"/>
    <w:rPr>
      <w:vertAlign w:val="superscript"/>
    </w:rPr>
  </w:style>
  <w:style w:type="paragraph" w:customStyle="1" w:styleId="my-2">
    <w:name w:val="my-2"/>
    <w:rsid w:val="001D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D7066"/>
    <w:rPr>
      <w:b/>
      <w:bCs/>
    </w:rPr>
  </w:style>
  <w:style w:type="paragraph" w:styleId="Tekstprzypisudolnego">
    <w:name w:val="footnote text"/>
    <w:link w:val="TekstprzypisudolnegoZnak"/>
    <w:uiPriority w:val="99"/>
    <w:semiHidden/>
    <w:unhideWhenUsed/>
    <w:rsid w:val="00E716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6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6F3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362DC+X7g+zb0PYTz/QHEGsRjg==">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3855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Traczyk CCG</dc:creator>
  <cp:lastModifiedBy>Magdalena Zlot CCG</cp:lastModifiedBy>
  <cp:revision>2</cp:revision>
  <dcterms:created xsi:type="dcterms:W3CDTF">2026-09-07T09:56:00Z</dcterms:created>
  <dcterms:modified xsi:type="dcterms:W3CDTF">2026-09-07T09:56:00Z</dcterms:modified>
</cp:coreProperties>
</file>