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before="240" w:line="276" w:lineRule="auto"/>
        <w:jc w:val="right"/>
        <w:rPr>
          <w:rFonts w:ascii="Proxima Nova" w:cs="Proxima Nova" w:eastAsia="Proxima Nova" w:hAnsi="Proxima Nova"/>
          <w:sz w:val="30"/>
          <w:szCs w:val="3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Warszawa, 7 września 2026 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0" w:before="240" w:line="276" w:lineRule="auto"/>
        <w:jc w:val="center"/>
        <w:rPr>
          <w:rFonts w:ascii="Proxima Nova" w:cs="Proxima Nova" w:eastAsia="Proxima Nova" w:hAnsi="Proxima Nova"/>
          <w:b w:val="1"/>
          <w:bCs w:val="1"/>
          <w:sz w:val="30"/>
          <w:szCs w:val="30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30"/>
          <w:szCs w:val="30"/>
          <w:rtl w:val="0"/>
        </w:rPr>
        <w:t xml:space="preserve">AI nie zabrała pracy w IT, ale zmienia rynek od środka. Premierowe dane theprotocol.it</w:t>
      </w:r>
    </w:p>
    <w:p w:rsidR="00000000" w:rsidDel="00000000" w:rsidP="00000000" w:rsidRDefault="00000000" w:rsidRPr="00000000" w14:paraId="00000003">
      <w:pPr>
        <w:spacing w:after="0" w:before="240" w:line="276" w:lineRule="auto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0"/>
          <w:szCs w:val="20"/>
          <w:rtl w:val="0"/>
        </w:rPr>
        <w:t xml:space="preserve">Rynek tech rośnie, ale nie wraca do dawnych zasad: pracodawcy nadal rekrutują selektywnie i stawiają na doświadczonych specjalistów. Dane theprotocol.it z pierwszej połowy 2026 roku pokazują rekordowy wzrost specjalizacji AI/ML oraz wyraźną przewagę ofert dla midów i seniorów. Sztuczna inteligencja zmieniła definicję wartościowego kandydata, ale nie zabrała pracy w IT. Jednak powrotu do masowych rekrutacji nie ma co się spodziewać.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0" w:before="240" w:line="276" w:lineRule="auto"/>
        <w:rPr>
          <w:rFonts w:ascii="Proxima Nova" w:cs="Proxima Nova" w:eastAsia="Proxima Nova" w:hAnsi="Proxima Nova"/>
          <w:b w:val="1"/>
          <w:bCs w:val="1"/>
          <w:sz w:val="24"/>
          <w:szCs w:val="24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Najważniejsze dane theprotocol.it</w:t>
      </w:r>
    </w:p>
    <w:p w:rsidR="00000000" w:rsidDel="00000000" w:rsidP="00000000" w:rsidRDefault="00000000" w:rsidRPr="00000000" w14:paraId="00000005">
      <w:pPr>
        <w:numPr>
          <w:ilvl w:val="0"/>
          <w:numId w:val="2"/>
        </w:numPr>
        <w:spacing w:after="0" w:afterAutospacing="0" w:before="240" w:line="276" w:lineRule="auto"/>
        <w:ind w:left="720" w:hanging="360"/>
        <w:rPr>
          <w:rFonts w:ascii="Proxima Nova" w:cs="Proxima Nova" w:eastAsia="Proxima Nova" w:hAnsi="Proxima Nova"/>
          <w:sz w:val="20"/>
          <w:szCs w:val="20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82% – łączny udział ofert dla specjalistów mid i senior </w:t>
      </w:r>
    </w:p>
    <w:p w:rsidR="00000000" w:rsidDel="00000000" w:rsidP="00000000" w:rsidRDefault="00000000" w:rsidRPr="00000000" w14:paraId="00000006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rPr>
          <w:rFonts w:ascii="Proxima Nova" w:cs="Proxima Nova" w:eastAsia="Proxima Nova" w:hAnsi="Proxima Nova"/>
          <w:sz w:val="20"/>
          <w:szCs w:val="20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10% – odsetek ofert kierowanych do juniorów </w:t>
      </w:r>
    </w:p>
    <w:p w:rsidR="00000000" w:rsidDel="00000000" w:rsidP="00000000" w:rsidRDefault="00000000" w:rsidRPr="00000000" w14:paraId="00000007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rPr>
          <w:rFonts w:ascii="Proxima Nova" w:cs="Proxima Nova" w:eastAsia="Proxima Nova" w:hAnsi="Proxima Nova"/>
          <w:sz w:val="20"/>
          <w:szCs w:val="20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+5% – wzrost liczby ofert dla juniorów </w:t>
      </w:r>
    </w:p>
    <w:p w:rsidR="00000000" w:rsidDel="00000000" w:rsidP="00000000" w:rsidRDefault="00000000" w:rsidRPr="00000000" w14:paraId="00000008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rPr>
          <w:rFonts w:ascii="Proxima Nova" w:cs="Proxima Nova" w:eastAsia="Proxima Nova" w:hAnsi="Proxima Nova"/>
          <w:sz w:val="20"/>
          <w:szCs w:val="20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+29% – wzrost liczby ofert zawierających widełki wynagrodzeń </w:t>
      </w:r>
    </w:p>
    <w:p w:rsidR="00000000" w:rsidDel="00000000" w:rsidP="00000000" w:rsidRDefault="00000000" w:rsidRPr="00000000" w14:paraId="00000009">
      <w:pPr>
        <w:numPr>
          <w:ilvl w:val="0"/>
          <w:numId w:val="2"/>
        </w:numPr>
        <w:spacing w:after="0" w:afterAutospacing="0" w:before="0" w:beforeAutospacing="0" w:line="276" w:lineRule="auto"/>
        <w:ind w:left="720" w:hanging="360"/>
        <w:rPr>
          <w:rFonts w:ascii="Proxima Nova" w:cs="Proxima Nova" w:eastAsia="Proxima Nova" w:hAnsi="Proxima Nova"/>
          <w:sz w:val="20"/>
          <w:szCs w:val="20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12% – udział kategorii IT w całkowitej liczbie ofert w I połowie 2026 roku (+3% r/r) </w:t>
      </w:r>
    </w:p>
    <w:p w:rsidR="00000000" w:rsidDel="00000000" w:rsidP="00000000" w:rsidRDefault="00000000" w:rsidRPr="00000000" w14:paraId="0000000A">
      <w:pPr>
        <w:numPr>
          <w:ilvl w:val="0"/>
          <w:numId w:val="2"/>
        </w:numPr>
        <w:spacing w:after="0" w:before="0" w:beforeAutospacing="0" w:line="276" w:lineRule="auto"/>
        <w:ind w:left="720" w:hanging="360"/>
        <w:rPr>
          <w:rFonts w:ascii="Proxima Nova" w:cs="Proxima Nova" w:eastAsia="Proxima Nova" w:hAnsi="Proxima Nova"/>
          <w:sz w:val="20"/>
          <w:szCs w:val="20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+111% – wzrost liczby ofert w AI/ML rok do roku i jednocześnie najszybciej rozwijająca się specjalizacja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before="240" w:line="276" w:lineRule="auto"/>
        <w:ind w:left="0" w:firstLine="0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Popyt koncentruje się na kandydatach z doświadczeniem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240" w:line="276" w:lineRule="auto"/>
        <w:ind w:left="0" w:firstLine="0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Większość ofert opublikowanych na theprotocol.it w pierwszej połowie 2026 roku było skierowanych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0"/>
          <w:szCs w:val="20"/>
          <w:rtl w:val="0"/>
        </w:rPr>
        <w:t xml:space="preserve">do osób na poziomie mid (48%) i senior (34%). Dla porównania udział rekrutacji juniorskich wyniósł 10%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before="240" w:line="276" w:lineRule="auto"/>
        <w:ind w:left="720" w:hanging="360"/>
        <w:rPr>
          <w:rFonts w:ascii="Proxima Nova" w:cs="Proxima Nova" w:eastAsia="Proxima Nova" w:hAnsi="Proxima Nova"/>
          <w:i w:val="1"/>
          <w:iCs w:val="1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i w:val="1"/>
          <w:iCs w:val="1"/>
          <w:sz w:val="20"/>
          <w:szCs w:val="20"/>
          <w:rtl w:val="0"/>
        </w:rPr>
        <w:t xml:space="preserve">Taka struktura ogłoszeń pokazuje, że organizacje koncentrują się na osobach, które mogą szybko wejść do projektu, samodzielnie prowadzić zadania i wziąć odpowiedzialność za rezultat. Firmy dokładniej analizują, jakiej osoby rzeczywiście potrzebują i jaki problem ma rozwiązać nowa rekrutacja. Dla </w:t>
        <w:tab/>
        <w:t xml:space="preserve">zespołów zatrudniających wiąże się to z koniecznością precyzyjnego definiowania stanowisk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– mówi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0"/>
          <w:szCs w:val="20"/>
          <w:rtl w:val="0"/>
        </w:rPr>
        <w:t xml:space="preserve">Piotr Trzmiel, Dyrektor ds. Rozwoju Biznesu w theprotocol.it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after="0" w:before="240" w:line="276" w:lineRule="auto"/>
        <w:ind w:left="0" w:firstLine="0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Przewagę odpowiedzialności i rzadkich kompetencji widać również w wynagrodzeniach.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0"/>
          <w:szCs w:val="20"/>
          <w:rtl w:val="0"/>
        </w:rPr>
        <w:t xml:space="preserve">Wśród najlepiej opłacanych ról nie dominują stanowiska z topowych specjalizacji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. Są to raczej oferty na stanowiska seniorskie i eksperckie, między innymi Senior Staff Architect, Senior Tech Lead oraz Senior Python Developer w obszarze Trading Technology &amp; Data Pipelines.</w:t>
      </w:r>
    </w:p>
    <w:p w:rsidR="00000000" w:rsidDel="00000000" w:rsidP="00000000" w:rsidRDefault="00000000" w:rsidRPr="00000000" w14:paraId="0000000F">
      <w:pPr>
        <w:spacing w:after="0" w:before="240" w:line="276" w:lineRule="auto"/>
        <w:ind w:left="0" w:firstLine="0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Najwyższe opublikowane widełki – sięgające 80 tys. zł brutto – pojawiły się przy stanowisku Workflow Engineering. Z kolei najwyższą medianę wynagrodzeń w perspektywie ostatnich 12 miesięcy odnotowano w architekturze – 27 250 zł netto miesięcznie na kontrakcie B2B.</w:t>
      </w:r>
    </w:p>
    <w:p w:rsidR="00000000" w:rsidDel="00000000" w:rsidP="00000000" w:rsidRDefault="00000000" w:rsidRPr="00000000" w14:paraId="00000010">
      <w:pPr>
        <w:spacing w:after="0" w:before="240" w:line="276" w:lineRule="auto"/>
        <w:ind w:left="0" w:firstLine="0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To sygnał, że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0"/>
          <w:szCs w:val="20"/>
          <w:rtl w:val="0"/>
        </w:rPr>
        <w:t xml:space="preserve">firmy są gotowe płacić więcej za kompetencje, które trudno zastąpić i które mają bezpośredni wpływ na stabilność technologii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, efektywność działania lub tempo wdrażania innowacji. W kolejnych miesiącach presja płacowa może być najbardziej widoczna właśnie na styku kilku obszarów: AI, danych, chmury, architektury oraz cyberbezpieczeństwa. Jednak samo posługiwanie się narzędziami AI nie będzie raczej uzasadniało wyższej stawki.</w:t>
      </w:r>
    </w:p>
    <w:p w:rsidR="00000000" w:rsidDel="00000000" w:rsidP="00000000" w:rsidRDefault="00000000" w:rsidRPr="00000000" w14:paraId="00000011">
      <w:pPr>
        <w:spacing w:after="0" w:before="240" w:line="276" w:lineRule="auto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Sytuacja juniorów: czy AI to trampolina do branży IT?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before="240" w:line="276" w:lineRule="auto"/>
        <w:ind w:left="0" w:firstLine="0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Co dziesiąte ogłoszenie w serwisie skierowane do juniorów to mimo wszystko istotna część rynku, ale należy na tę wartość patrzeć przez pryzmat popytu i podaży.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0"/>
          <w:szCs w:val="20"/>
          <w:rtl w:val="0"/>
        </w:rPr>
        <w:t xml:space="preserve">Zainteresowanych karierą w IT jest znacznie więcej niż ofert, a próg wejścia rośnie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3">
      <w:pPr>
        <w:spacing w:after="0" w:before="240" w:line="276" w:lineRule="auto"/>
        <w:ind w:left="0" w:firstLine="0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Dobrze widać to w kontekście sztucznej inteligencji: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0"/>
          <w:szCs w:val="20"/>
          <w:rtl w:val="0"/>
        </w:rPr>
        <w:t xml:space="preserve">juniorzy często wysyłają CV na stanowiska AI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. Prawdopodobnie dlatego, że przewaga wynikająca wyłącznie ze stażu może wydawać się mniejsza w tej stosunkowo nowej technologii. Jednak organizacje szukają zwykle znajomości AI połączonej z konkretną specjalizacją, na przykład analizą danych, backendem, testowaniem lub chmurą.</w:t>
      </w:r>
    </w:p>
    <w:p w:rsidR="00000000" w:rsidDel="00000000" w:rsidP="00000000" w:rsidRDefault="00000000" w:rsidRPr="00000000" w14:paraId="00000014">
      <w:pPr>
        <w:spacing w:after="0" w:before="240" w:line="276" w:lineRule="auto"/>
        <w:ind w:left="0" w:firstLine="0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Zatem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0"/>
          <w:szCs w:val="20"/>
          <w:rtl w:val="0"/>
        </w:rPr>
        <w:t xml:space="preserve">AI zwiększa szanse juniorów, jednak – mimo zapotrzebowania na kompetencje i poprzeczkę podniesioną również doświadczonym specjalistom – nie oznacza automatycznie łatwiejszego startu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5">
      <w:pPr>
        <w:spacing w:after="0" w:before="240" w:line="276" w:lineRule="auto"/>
        <w:ind w:left="0" w:firstLine="0"/>
        <w:jc w:val="center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</w:rPr>
        <w:drawing>
          <wp:inline distB="114300" distT="114300" distL="114300" distR="114300">
            <wp:extent cx="5760410" cy="3594100"/>
            <wp:effectExtent b="0" l="0" r="0" t="0"/>
            <wp:docPr id="5" name="image4.jpg"/>
            <a:graphic>
              <a:graphicData uri="http://schemas.openxmlformats.org/drawingml/2006/picture">
                <pic:pic>
                  <pic:nvPicPr>
                    <pic:cNvPr id="0" name="image4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59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0" w:before="240" w:line="276" w:lineRule="auto"/>
        <w:ind w:left="0" w:firstLine="0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Warto też zwrócić uwagę, że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0"/>
          <w:szCs w:val="20"/>
          <w:rtl w:val="0"/>
        </w:rPr>
        <w:t xml:space="preserve">liczba ofert dla juniorów na theprotocol.it zwiększyła się o 5%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. To niewielki wzrost, ale potencjalny sygnał większej otwartości pracodawców na osoby początkujące.</w:t>
      </w:r>
    </w:p>
    <w:p w:rsidR="00000000" w:rsidDel="00000000" w:rsidP="00000000" w:rsidRDefault="00000000" w:rsidRPr="00000000" w14:paraId="00000017">
      <w:pPr>
        <w:numPr>
          <w:ilvl w:val="0"/>
          <w:numId w:val="1"/>
        </w:numPr>
        <w:spacing w:after="0" w:before="240" w:line="276" w:lineRule="auto"/>
        <w:ind w:left="720" w:hanging="360"/>
        <w:rPr>
          <w:rFonts w:ascii="Proxima Nova" w:cs="Proxima Nova" w:eastAsia="Proxima Nova" w:hAnsi="Proxima Nova"/>
          <w:i w:val="1"/>
          <w:iCs w:val="1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i w:val="1"/>
          <w:iCs w:val="1"/>
          <w:sz w:val="20"/>
          <w:szCs w:val="20"/>
          <w:rtl w:val="0"/>
        </w:rPr>
        <w:t xml:space="preserve">Coraz częściej słychać głosy, że długofalowy rozwój sektora nie będzie możliwy bez inwestowania w juniorów. Podczas branżowych konferencji i spotkań coraz częściej pojawia się pytanie o to, kto za kilka lat zastąpi dzisiejszych seniorów i ekspertów. Organizacje, które już dziś tworzą przestrzeń do rozwoju młodych talentów, mogą w przyszłości zyskać istotną przewagę konkurencyjną 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– komentuje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0"/>
          <w:szCs w:val="20"/>
          <w:rtl w:val="0"/>
        </w:rPr>
        <w:t xml:space="preserve">Piotr Trzmiel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after="0" w:before="240" w:line="276" w:lineRule="auto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AI/ML rośnie najszybciej, ale pozostaje poza TOP 10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after="0" w:before="240" w:line="276" w:lineRule="auto"/>
        <w:ind w:left="0" w:firstLine="0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Tylko w pierwszej połowie 2026 roku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0"/>
          <w:szCs w:val="20"/>
          <w:rtl w:val="0"/>
        </w:rPr>
        <w:t xml:space="preserve">IT zwiększyło udział w rynku ofert pracy, a najwięcej ogłoszeń nadal dotyczyło kompetencji potrzebnych do tworzenia, rozwijania i utrzymywania systemów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. Pokazuje to zestawienie TOP 5 specjalizacji.</w:t>
      </w:r>
    </w:p>
    <w:p w:rsidR="00000000" w:rsidDel="00000000" w:rsidP="00000000" w:rsidRDefault="00000000" w:rsidRPr="00000000" w14:paraId="0000001A">
      <w:pPr>
        <w:spacing w:after="0" w:before="240" w:line="276" w:lineRule="auto"/>
        <w:ind w:left="0" w:firstLine="0"/>
        <w:jc w:val="center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</w:rPr>
        <w:drawing>
          <wp:inline distB="114300" distT="114300" distL="114300" distR="114300">
            <wp:extent cx="5760410" cy="3594100"/>
            <wp:effectExtent b="0" l="0" r="0" t="0"/>
            <wp:docPr id="6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760410" cy="35941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0" w:before="240" w:line="276" w:lineRule="auto"/>
        <w:ind w:left="0" w:firstLine="0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0"/>
          <w:szCs w:val="20"/>
          <w:rtl w:val="0"/>
        </w:rPr>
        <w:t xml:space="preserve">Boom na sztuczną inteligencję nie eliminuje więc popytu na tradycyjne kompetencje technologiczne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. Wzrost zapotrzebowania w obszarze AI/ML o 111% mógłby sugerować, że specjalizacja ta wkrótce zdominuje rynek. Mimo tego znajduje się poza pierwszą dziesiątką pod względem liczby ogłoszeń. To tylko pozorna sprzeczność, a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0"/>
          <w:szCs w:val="20"/>
          <w:rtl w:val="0"/>
        </w:rPr>
        <w:t xml:space="preserve">wpływ tej technologii wykracza poza stanowiska z „AI” w nazwie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0" w:before="240" w:line="276" w:lineRule="auto"/>
        <w:ind w:left="0" w:firstLine="0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Po pierwsze każda oferta na portalu theprotocol.it jest przypisywana do jednej specjalizacji wiodącej (którą pracodawca wskaże jako najważniejszą dla danej rekrutacji). Czyli ogłoszenie dla testera może wymagać znajomości narzędzi i modeli AI, ale nadal zostanie zakwalifikowane do specjalizacji QA/testing.</w:t>
      </w:r>
    </w:p>
    <w:p w:rsidR="00000000" w:rsidDel="00000000" w:rsidP="00000000" w:rsidRDefault="00000000" w:rsidRPr="00000000" w14:paraId="0000001D">
      <w:pPr>
        <w:spacing w:after="0" w:before="240" w:line="276" w:lineRule="auto"/>
        <w:ind w:left="0" w:firstLine="0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Po drugie rozwiązania AI/ML nie działają samodzielnie – muszą być zasilane danymi, udostępniane przez backend, uruchamiane w infrastrukturze, monitorowane, zabezpieczane i integrowane z procesami organizacji. Dlatego rozwój AI nie oznacza automatycznie spadku znaczenia klasycznych specjalizacji IT.</w:t>
      </w:r>
    </w:p>
    <w:p w:rsidR="00000000" w:rsidDel="00000000" w:rsidP="00000000" w:rsidRDefault="00000000" w:rsidRPr="00000000" w14:paraId="0000001E">
      <w:pPr>
        <w:spacing w:after="0" w:before="240" w:line="276" w:lineRule="auto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AI nie zmieni TOP 5 specjalizacji IT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after="0" w:before="240" w:line="276" w:lineRule="auto"/>
        <w:ind w:left="0" w:firstLine="0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Można się spodziewać, że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0"/>
          <w:szCs w:val="20"/>
          <w:rtl w:val="0"/>
        </w:rPr>
        <w:t xml:space="preserve">w kolejnych miesiącach AI/ML będzie nadal rosnąć, ale niekoniecznie dołączy do składu najpopularniejszych specjalizacji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. Bardziej prawdopodobny jest wzrost liczby ofert, w których znajomość AI będzie jednym z wymagań, często krytycznych, a specjalistyczne stanowiska w tym obszarze pozostaną odrębną, wąską grupą. Jak wyjaśnia Piotr Trzmiel:</w:t>
      </w:r>
    </w:p>
    <w:p w:rsidR="00000000" w:rsidDel="00000000" w:rsidP="00000000" w:rsidRDefault="00000000" w:rsidRPr="00000000" w14:paraId="00000020">
      <w:pPr>
        <w:numPr>
          <w:ilvl w:val="0"/>
          <w:numId w:val="1"/>
        </w:numPr>
        <w:spacing w:after="0" w:before="240" w:line="276" w:lineRule="auto"/>
        <w:ind w:left="720" w:hanging="360"/>
        <w:rPr>
          <w:rFonts w:ascii="Proxima Nova" w:cs="Proxima Nova" w:eastAsia="Proxima Nova" w:hAnsi="Proxima Nova"/>
          <w:i w:val="1"/>
          <w:iCs w:val="1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i w:val="1"/>
          <w:iCs w:val="1"/>
          <w:sz w:val="20"/>
          <w:szCs w:val="20"/>
          <w:rtl w:val="0"/>
        </w:rPr>
        <w:t xml:space="preserve">Po lekkim spowolnieniu pod koniec 2025 roku liczba ofert w specjalizacji AI/ML ponownie przyspieszyła w 2026. Nie oznacza to jednak, że sztuczna inteligencja masowo wypiera klasyczne specjalizacje. Staje się raczej dodatkową warstwą kompetencji wewnątrz istniejących ról. Najbardziej liczy się umiejętność </w:t>
        <w:tab/>
        <w:t xml:space="preserve">przełożenia tej technologii na konkretny efekt biznesowy. Jednocześnie różnica między stanowiskiem AI a stanowiskiem wykorzystującym AI będzie stopniowo tracić znaczenie.</w:t>
      </w:r>
    </w:p>
    <w:p w:rsidR="00000000" w:rsidDel="00000000" w:rsidP="00000000" w:rsidRDefault="00000000" w:rsidRPr="00000000" w14:paraId="00000021">
      <w:pPr>
        <w:spacing w:after="0" w:before="240" w:line="276" w:lineRule="auto"/>
        <w:ind w:left="0" w:firstLine="0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Podobne wnioski płyną z raportu WEF </w:t>
      </w:r>
      <w:r w:rsidDel="00000000" w:rsidR="00000000" w:rsidRPr="00000000">
        <w:rPr>
          <w:rFonts w:ascii="Proxima Nova" w:cs="Proxima Nova" w:eastAsia="Proxima Nova" w:hAnsi="Proxima Nova"/>
          <w:i w:val="1"/>
          <w:iCs w:val="1"/>
          <w:sz w:val="20"/>
          <w:szCs w:val="20"/>
          <w:rtl w:val="0"/>
        </w:rPr>
        <w:t xml:space="preserve">Future of Jobs 2025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. AI i big data należą do najszybciej rosnących kompetencji, ale tuż za nimi znajdują się sieci, cyberbezpieczeństwo i ogólna biegłość technologiczna. Sugeruje to raczej </w:t>
      </w: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0"/>
          <w:szCs w:val="20"/>
          <w:rtl w:val="0"/>
        </w:rPr>
        <w:t xml:space="preserve">współistnienie i łączenie kompetencji niż zastępowanie tradycyjnych specjalizacji jedną ścieżką AI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.</w:t>
      </w:r>
    </w:p>
    <w:p w:rsidR="00000000" w:rsidDel="00000000" w:rsidP="00000000" w:rsidRDefault="00000000" w:rsidRPr="00000000" w14:paraId="00000022">
      <w:pPr>
        <w:spacing w:after="0" w:before="240" w:line="276" w:lineRule="auto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4"/>
          <w:szCs w:val="24"/>
          <w:rtl w:val="0"/>
        </w:rPr>
        <w:t xml:space="preserve">Rynek IT u progu jesieni: czego można się spodziewać?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after="0" w:before="240" w:line="276" w:lineRule="auto"/>
        <w:ind w:left="0" w:firstLine="0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Dane theprotocol.it wskazują na cztery kierunki, które mogą kształtować rekrutacje w kolejnych miesiącach.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after="0" w:afterAutospacing="0" w:before="240" w:line="276" w:lineRule="auto"/>
        <w:ind w:left="720" w:hanging="360"/>
        <w:rPr>
          <w:rFonts w:ascii="Proxima Nova" w:cs="Proxima Nova" w:eastAsia="Proxima Nova" w:hAnsi="Proxima Nova"/>
          <w:sz w:val="20"/>
          <w:szCs w:val="20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0"/>
          <w:szCs w:val="20"/>
          <w:rtl w:val="0"/>
        </w:rPr>
        <w:t xml:space="preserve">Po pierwsze, liczba ofert IT może nadal rosnąć, ale bez zatrudniania „na zapas”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. Nowe rekrutacje będą uruchamiane przede wszystkim tam, gdzie można wskazać ich bezpośrednie przełożenie na produkt, przychody, bezpieczeństwo lub efektywność działania.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rPr>
          <w:rFonts w:ascii="Proxima Nova" w:cs="Proxima Nova" w:eastAsia="Proxima Nova" w:hAnsi="Proxima Nova"/>
          <w:sz w:val="20"/>
          <w:szCs w:val="20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0"/>
          <w:szCs w:val="20"/>
          <w:rtl w:val="0"/>
        </w:rPr>
        <w:t xml:space="preserve">Po drugie, AI będzie coraz rzadziej traktowana jako osobna kompetencja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. Zacznie pojawiać się jako standardowe wymaganie w ofertach dla programistów, analityków, testerów, product managerów i architektów.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after="0" w:afterAutospacing="0" w:before="0" w:beforeAutospacing="0" w:line="276" w:lineRule="auto"/>
        <w:ind w:left="720" w:hanging="360"/>
        <w:rPr>
          <w:rFonts w:ascii="Proxima Nova" w:cs="Proxima Nova" w:eastAsia="Proxima Nova" w:hAnsi="Proxima Nova"/>
          <w:sz w:val="20"/>
          <w:szCs w:val="20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0"/>
          <w:szCs w:val="20"/>
          <w:rtl w:val="0"/>
        </w:rPr>
        <w:t xml:space="preserve">Po trzecie, utrzyma się przewaga kandydatów mid i senior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. Jednocześnie firmy mogą stopniowo otwierać więcej stanowisk początkowych w obszarach, w których uda się stworzyć dobrze zdefiniowane ścieżki wdrożenia i pracy pod opieką doświadczonych zespołów.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after="0" w:before="0" w:beforeAutospacing="0" w:line="276" w:lineRule="auto"/>
        <w:ind w:left="720" w:hanging="360"/>
        <w:rPr>
          <w:rFonts w:ascii="Proxima Nova" w:cs="Proxima Nova" w:eastAsia="Proxima Nova" w:hAnsi="Proxima Nova"/>
          <w:sz w:val="20"/>
          <w:szCs w:val="20"/>
          <w:u w:val="none"/>
        </w:rPr>
      </w:pPr>
      <w:r w:rsidDel="00000000" w:rsidR="00000000" w:rsidRPr="00000000">
        <w:rPr>
          <w:rFonts w:ascii="Proxima Nova" w:cs="Proxima Nova" w:eastAsia="Proxima Nova" w:hAnsi="Proxima Nova"/>
          <w:b w:val="1"/>
          <w:bCs w:val="1"/>
          <w:sz w:val="20"/>
          <w:szCs w:val="20"/>
          <w:rtl w:val="0"/>
        </w:rPr>
        <w:t xml:space="preserve">Po czwarte, coraz większe znaczenie będzie miała zdolność oceny efektów wdrożeń AI</w:t>
      </w:r>
      <w:r w:rsidDel="00000000" w:rsidR="00000000" w:rsidRPr="00000000">
        <w:rPr>
          <w:rFonts w:ascii="Proxima Nova" w:cs="Proxima Nova" w:eastAsia="Proxima Nova" w:hAnsi="Proxima Nova"/>
          <w:sz w:val="20"/>
          <w:szCs w:val="20"/>
          <w:rtl w:val="0"/>
        </w:rPr>
        <w:t xml:space="preserve">. Organizacje będą potrzebowały nie tylko osób potrafiących uruchomić model, lecz także specjalistów, którzy ocenią jego jakość, bezpieczeństwo, koszty, zgodność z regulacjami i rzeczywisty wpływ na biznes.</w:t>
      </w:r>
    </w:p>
    <w:p w:rsidR="00000000" w:rsidDel="00000000" w:rsidP="00000000" w:rsidRDefault="00000000" w:rsidRPr="00000000" w14:paraId="00000028">
      <w:pPr>
        <w:spacing w:after="0" w:before="240" w:line="276" w:lineRule="auto"/>
        <w:ind w:left="0" w:firstLine="0"/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tabs>
          <w:tab w:val="left" w:leader="none" w:pos="3685"/>
        </w:tabs>
        <w:rPr>
          <w:rFonts w:ascii="Arial" w:cs="Arial" w:eastAsia="Arial" w:hAnsi="Arial"/>
          <w:b w:val="1"/>
          <w:bCs w:val="1"/>
          <w:sz w:val="24"/>
          <w:szCs w:val="24"/>
        </w:rPr>
        <w:sectPr>
          <w:headerReference r:id="rId9" w:type="default"/>
          <w:footerReference r:id="rId10" w:type="default"/>
          <w:pgSz w:h="16838" w:w="11906" w:orient="portrait"/>
          <w:pgMar w:bottom="1417" w:top="1417" w:left="1417" w:right="1417" w:header="708" w:footer="708"/>
          <w:pgNumType w:start="1"/>
        </w:sectPr>
      </w:pPr>
      <w:r w:rsidDel="00000000" w:rsidR="00000000" w:rsidRPr="00000000">
        <w:rPr>
          <w:rFonts w:ascii="Fira Code" w:cs="Fira Code" w:eastAsia="Fira Code" w:hAnsi="Fira Code"/>
          <w:b w:val="1"/>
          <w:bCs w:val="1"/>
          <w:sz w:val="20"/>
          <w:szCs w:val="20"/>
          <w:rtl w:val="0"/>
        </w:rPr>
        <w:t xml:space="preserve">Kontakt dla mediów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8.00000000000006" w:lineRule="auto"/>
        <w:rPr>
          <w:rFonts w:ascii="Fira Code" w:cs="Fira Code" w:eastAsia="Fira Code" w:hAnsi="Fira Code"/>
          <w:sz w:val="16"/>
          <w:szCs w:val="16"/>
        </w:rPr>
        <w:sectPr>
          <w:type w:val="continuous"/>
          <w:pgSz w:h="16838" w:w="11906" w:orient="portrait"/>
          <w:pgMar w:bottom="1417" w:top="1417" w:left="1417" w:right="1417" w:header="708" w:footer="708"/>
          <w:cols w:equalWidth="0" w:num="2">
            <w:col w:space="708" w:w="4181.999999999999"/>
            <w:col w:space="0" w:w="4181.999999999999"/>
          </w:cols>
        </w:sectPr>
      </w:pPr>
      <w:r w:rsidDel="00000000" w:rsidR="00000000" w:rsidRPr="00000000">
        <w:rPr>
          <w:rFonts w:ascii="Fira Code" w:cs="Fira Code" w:eastAsia="Fira Code" w:hAnsi="Fira Code"/>
          <w:sz w:val="20"/>
          <w:szCs w:val="20"/>
          <w:rtl w:val="0"/>
        </w:rPr>
        <w:t xml:space="preserve">Agata Stasik</w:t>
        <w:br w:type="textWrapping"/>
        <w:t xml:space="preserve">mail:</w:t>
      </w:r>
      <w:r w:rsidDel="00000000" w:rsidR="00000000" w:rsidRPr="00000000">
        <w:rPr>
          <w:rFonts w:ascii="Fira Code" w:cs="Fira Code" w:eastAsia="Fira Code" w:hAnsi="Fira Code"/>
          <w:color w:val="467886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Fira Code" w:cs="Fira Code" w:eastAsia="Fira Code" w:hAnsi="Fira Code"/>
          <w:sz w:val="20"/>
          <w:szCs w:val="20"/>
          <w:rtl w:val="0"/>
        </w:rPr>
        <w:t xml:space="preserve">a.stasik@conceptpr.pl </w:t>
        <w:br w:type="textWrapping"/>
        <w:t xml:space="preserve">tel. 798 624 102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tabs>
          <w:tab w:val="left" w:leader="none" w:pos="3685"/>
        </w:tabs>
        <w:rPr>
          <w:rFonts w:ascii="Fira Code" w:cs="Fira Code" w:eastAsia="Fira Code" w:hAnsi="Fira Code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C">
      <w:pPr>
        <w:tabs>
          <w:tab w:val="left" w:leader="none" w:pos="3685"/>
        </w:tabs>
        <w:rPr>
          <w:rFonts w:ascii="Fira Code" w:cs="Fira Code" w:eastAsia="Fira Code" w:hAnsi="Fira Code"/>
          <w:b w:val="1"/>
          <w:bCs w:val="1"/>
          <w:sz w:val="20"/>
          <w:szCs w:val="20"/>
        </w:rPr>
      </w:pPr>
      <w:r w:rsidDel="00000000" w:rsidR="00000000" w:rsidRPr="00000000">
        <w:rPr>
          <w:rFonts w:ascii="Fira Code" w:cs="Fira Code" w:eastAsia="Fira Code" w:hAnsi="Fira Code"/>
          <w:b w:val="1"/>
          <w:bCs w:val="1"/>
          <w:sz w:val="20"/>
          <w:szCs w:val="20"/>
          <w:rtl w:val="0"/>
        </w:rPr>
        <w:t xml:space="preserve">O theprotocol.it </w:t>
      </w:r>
    </w:p>
    <w:p w:rsidR="00000000" w:rsidDel="00000000" w:rsidP="00000000" w:rsidRDefault="00000000" w:rsidRPr="00000000" w14:paraId="0000002D">
      <w:pPr>
        <w:tabs>
          <w:tab w:val="left" w:leader="none" w:pos="3685"/>
        </w:tabs>
        <w:rPr>
          <w:rFonts w:ascii="Proxima Nova" w:cs="Proxima Nova" w:eastAsia="Proxima Nova" w:hAnsi="Proxima Nova"/>
          <w:sz w:val="20"/>
          <w:szCs w:val="20"/>
        </w:rPr>
      </w:pPr>
      <w:r w:rsidDel="00000000" w:rsidR="00000000" w:rsidRPr="00000000">
        <w:rPr>
          <w:rFonts w:ascii="Fira Code" w:cs="Fira Code" w:eastAsia="Fira Code" w:hAnsi="Fira Code"/>
          <w:sz w:val="20"/>
          <w:szCs w:val="20"/>
          <w:rtl w:val="0"/>
        </w:rPr>
        <w:t xml:space="preserve">theprotocol.it to specjalistyczny jobboard IT łączący ekspertów technologicznych z czołowymi pracodawcami w Polsce. Serwis powstał dla wymagającego rynku IT, zaprojektowany zgodnie z potrzebami wysokiej klasy specjalistów i firm rekrutujących. Wyróżnia się nowoczesnym designem z trybem „darkmode” oraz intuicyjnym interfejsem opartym na badaniach użytkowników. Kandydatom oferuje konkretne informacje o projektach i widełkach wynagrodzeń oraz precyzyjne filtry i rozwiązania AI przyspieszające znalezienie dopasowanych ofert. Pracodawcom zapewnia dostęp do wyspecjalizowanej społeczności IT, wsparcie employer brandingowe, dedykowanego opiekuna i zaawansowane narzędzia rekrutacyjne. theprotocol.it rozwija się w synergii z Grupą Pracuj, która od 25 lat współtworzy rynek pracy w Polsce.</w:t>
      </w:r>
      <w:r w:rsidDel="00000000" w:rsidR="00000000" w:rsidRPr="00000000">
        <w:rPr>
          <w:rtl w:val="0"/>
        </w:rPr>
      </w:r>
    </w:p>
    <w:sectPr>
      <w:type w:val="continuous"/>
      <w:pgSz w:h="16838" w:w="11906" w:orient="portrait"/>
      <w:pgMar w:bottom="1417" w:top="1417" w:left="1417" w:right="1417" w:header="708" w:footer="708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  <w:font w:name="Proxima Nova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Fira Code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Fira Code" w:cs="Fira Code" w:eastAsia="Fira Code" w:hAnsi="Fira Code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</w:rPr>
    </w:pPr>
    <w:r w:rsidDel="00000000" w:rsidR="00000000" w:rsidRPr="00000000">
      <w:rPr>
        <w:rFonts w:ascii="Fira Code" w:cs="Fira Code" w:eastAsia="Fira Code" w:hAnsi="Fira Code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t xml:space="preserve">Grupa Pracuj S.A. | ul. Prosta 68, 00-838 Warszawa, Polska</w:t>
      <w:br w:type="textWrapping"/>
      <w:t xml:space="preserve">tel. </w:t>
    </w:r>
    <w:hyperlink r:id="rId1">
      <w:r w:rsidDel="00000000" w:rsidR="00000000" w:rsidRPr="00000000">
        <w:rPr>
          <w:rFonts w:ascii="Fira Code" w:cs="Fira Code" w:eastAsia="Fira Code" w:hAnsi="Fira Code"/>
          <w:b w:val="0"/>
          <w:bCs w:val="0"/>
          <w:i w:val="0"/>
          <w:iCs w:val="0"/>
          <w:smallCaps w:val="0"/>
          <w:strike w:val="0"/>
          <w:color w:val="000000"/>
          <w:sz w:val="16"/>
          <w:szCs w:val="16"/>
          <w:u w:val="none"/>
          <w:shd w:fill="auto" w:val="clear"/>
          <w:vertAlign w:val="baseline"/>
          <w:rtl w:val="0"/>
        </w:rPr>
        <w:t xml:space="preserve">(22) 37 37 300</w:t>
      </w:r>
    </w:hyperlink>
    <w:r w:rsidDel="00000000" w:rsidR="00000000" w:rsidRPr="00000000">
      <w:rPr>
        <w:rFonts w:ascii="Fira Code" w:cs="Fira Code" w:eastAsia="Fira Code" w:hAnsi="Fira Code"/>
        <w:b w:val="0"/>
        <w:bCs w:val="0"/>
        <w:i w:val="0"/>
        <w:iCs w:val="0"/>
        <w:smallCaps w:val="0"/>
        <w:strike w:val="0"/>
        <w:color w:val="000000"/>
        <w:sz w:val="16"/>
        <w:szCs w:val="16"/>
        <w:u w:val="none"/>
        <w:shd w:fill="auto" w:val="clear"/>
        <w:vertAlign w:val="baseline"/>
        <w:rtl w:val="0"/>
      </w:rPr>
      <w:br w:type="textWrapping"/>
    </w:r>
    <w:hyperlink r:id="rId2">
      <w:r w:rsidDel="00000000" w:rsidR="00000000" w:rsidRPr="00000000">
        <w:rPr>
          <w:rFonts w:ascii="Fira Code" w:cs="Fira Code" w:eastAsia="Fira Code" w:hAnsi="Fira Code"/>
          <w:b w:val="0"/>
          <w:bCs w:val="0"/>
          <w:i w:val="0"/>
          <w:iCs w:val="0"/>
          <w:smallCaps w:val="0"/>
          <w:strike w:val="0"/>
          <w:color w:val="0563c1"/>
          <w:sz w:val="16"/>
          <w:szCs w:val="16"/>
          <w:u w:val="single"/>
          <w:shd w:fill="auto" w:val="clear"/>
          <w:vertAlign w:val="baseline"/>
          <w:rtl w:val="0"/>
        </w:rPr>
        <w:t xml:space="preserve">marketing@theprotocol.it</w:t>
      </w:r>
    </w:hyperlink>
    <w:r w:rsidDel="00000000" w:rsidR="00000000" w:rsidRPr="00000000">
      <w:rPr>
        <w:rtl w:val="0"/>
      </w:rPr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5607050</wp:posOffset>
          </wp:positionH>
          <wp:positionV relativeFrom="paragraph">
            <wp:posOffset>6985</wp:posOffset>
          </wp:positionV>
          <wp:extent cx="151765" cy="324485"/>
          <wp:effectExtent b="0" l="0" r="0" t="0"/>
          <wp:wrapNone/>
          <wp:docPr id="3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3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51765" cy="324485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E">
    <w:pPr>
      <w:tabs>
        <w:tab w:val="center" w:leader="none" w:pos="4536"/>
        <w:tab w:val="right" w:leader="none" w:pos="9072"/>
      </w:tabs>
      <w:spacing w:after="0" w:line="240" w:lineRule="auto"/>
      <w:rPr>
        <w:color w:val="000000"/>
      </w:rPr>
    </w:pPr>
    <w:r w:rsidDel="00000000" w:rsidR="00000000" w:rsidRPr="00000000">
      <w:rPr/>
      <w:drawing>
        <wp:inline distB="114300" distT="114300" distL="114300" distR="114300">
          <wp:extent cx="1803067" cy="498158"/>
          <wp:effectExtent b="0" l="0" r="0" t="0"/>
          <wp:docPr id="4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803067" cy="49815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4.jpg"/><Relationship Id="rId8" Type="http://schemas.openxmlformats.org/officeDocument/2006/relationships/image" Target="media/image3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roximaNova-regular.ttf"/><Relationship Id="rId2" Type="http://schemas.openxmlformats.org/officeDocument/2006/relationships/font" Target="fonts/ProximaNova-bold.ttf"/><Relationship Id="rId3" Type="http://schemas.openxmlformats.org/officeDocument/2006/relationships/font" Target="fonts/ProximaNova-italic.ttf"/><Relationship Id="rId4" Type="http://schemas.openxmlformats.org/officeDocument/2006/relationships/font" Target="fonts/ProximaNova-boldItalic.ttf"/><Relationship Id="rId5" Type="http://schemas.openxmlformats.org/officeDocument/2006/relationships/font" Target="fonts/FiraCode-regular.ttf"/><Relationship Id="rId6" Type="http://schemas.openxmlformats.org/officeDocument/2006/relationships/font" Target="fonts/FiraCode-bold.ttf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hyperlink" Target="tel:(22)3737300" TargetMode="External"/><Relationship Id="rId2" Type="http://schemas.openxmlformats.org/officeDocument/2006/relationships/hyperlink" Target="mailto:marketing@theprotocol.it" TargetMode="External"/><Relationship Id="rId3" Type="http://schemas.openxmlformats.org/officeDocument/2006/relationships/image" Target="media/image1.pn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vqeAnfO/R83+km7biNXcKlUQNHQ==">CgMxLjA4AHIhMXJDSkR1Wm16Zk5VMkRWUUVYZU90Uk9LMWpWcjNhZ0py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2024-04-19T12:47:46Z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29e0b99e-e8ee-4990-bf44-a6c606b962a2</vt:lpwstr>
  </property>
  <property fmtid="{D5CDD505-2E9C-101B-9397-08002B2CF9AE}" pid="8" name="MSIP_Label_ea60d57e-af5b-4752-ac57-3e4f28ca11dc_ContentBits">
    <vt:lpwstr>0</vt:lpwstr>
  </property>
  <property fmtid="{D5CDD505-2E9C-101B-9397-08002B2CF9AE}" pid="9" name="ContentTypeId">
    <vt:lpwstr>0x010100C8CA6F5CADFDF540BBC1FDC37835B519</vt:lpwstr>
  </property>
</Properties>
</file>