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B7E46" w14:textId="77777777" w:rsidR="003B2143" w:rsidRPr="003B2143" w:rsidRDefault="003B2143" w:rsidP="003B2143">
      <w:pPr>
        <w:spacing w:before="120" w:after="120" w:line="240" w:lineRule="auto"/>
        <w:rPr>
          <w:rFonts w:ascii="Noto Sans" w:eastAsia="Times New Roman" w:hAnsi="Noto Sans" w:cs="Noto Sans"/>
          <w:sz w:val="28"/>
          <w:szCs w:val="28"/>
        </w:rPr>
      </w:pPr>
      <w:r w:rsidRPr="003B2143">
        <w:rPr>
          <w:rFonts w:ascii="Noto Sans" w:eastAsia="Times New Roman" w:hAnsi="Noto Sans" w:cs="Noto Sans"/>
          <w:sz w:val="28"/>
          <w:szCs w:val="28"/>
          <w:lang w:val="pt-PT"/>
        </w:rPr>
        <w:t xml:space="preserve">Domino regista progressos significativos no percurso para atingir emissões líquidas zero no relatório CSR de 2025 </w:t>
      </w:r>
    </w:p>
    <w:p w14:paraId="734DAB44" w14:textId="0E2CA5A3" w:rsidR="003B2143" w:rsidRPr="003B2143" w:rsidRDefault="003B2143" w:rsidP="003B2143">
      <w:pPr>
        <w:spacing w:before="120" w:after="120" w:line="240" w:lineRule="auto"/>
        <w:rPr>
          <w:rFonts w:ascii="Noto Sans" w:eastAsia="Times New Roman" w:hAnsi="Noto Sans" w:cs="Noto Sans"/>
          <w:b/>
          <w:bCs/>
          <w:sz w:val="22"/>
        </w:rPr>
      </w:pPr>
      <w:r w:rsidRPr="003B2143">
        <w:rPr>
          <w:rFonts w:ascii="Noto Sans" w:eastAsia="Times New Roman" w:hAnsi="Noto Sans" w:cs="Noto Sans"/>
          <w:b/>
          <w:bCs/>
          <w:sz w:val="22"/>
          <w:lang w:val="pt-PT"/>
        </w:rPr>
        <w:t>O mais recente Relatório CSR da Domino destaca os progressos em áreas fundamentais, incluindo o desempenho ambiental, as pessoas, a sociedade e os clientes.</w:t>
      </w:r>
    </w:p>
    <w:p w14:paraId="05B03C81" w14:textId="3A0FC8F2" w:rsidR="003B2143" w:rsidRPr="003B2143" w:rsidRDefault="003B2143" w:rsidP="003B2143">
      <w:pPr>
        <w:spacing w:before="120" w:after="120" w:line="240" w:lineRule="auto"/>
        <w:rPr>
          <w:rFonts w:ascii="Noto Sans" w:eastAsia="Times New Roman" w:hAnsi="Noto Sans" w:cs="Noto Sans"/>
          <w:sz w:val="22"/>
        </w:rPr>
      </w:pPr>
      <w:r w:rsidRPr="003B2143">
        <w:rPr>
          <w:sz w:val="22"/>
          <w:lang w:val="pt-PT"/>
        </w:rPr>
        <w:t xml:space="preserve">A </w:t>
      </w:r>
      <w:hyperlink r:id="rId7" w:history="1">
        <w:r w:rsidRPr="003B2143">
          <w:rPr>
            <w:rStyle w:val="Hyperlink"/>
            <w:rFonts w:ascii="Noto Sans" w:eastAsia="Times New Roman" w:hAnsi="Noto Sans" w:cs="Noto Sans"/>
            <w:sz w:val="22"/>
            <w:lang w:val="pt-PT"/>
          </w:rPr>
          <w:t>Domino Printing Sciences (Domino)</w:t>
        </w:r>
      </w:hyperlink>
      <w:r w:rsidRPr="003B2143">
        <w:rPr>
          <w:rFonts w:ascii="Noto Sans" w:eastAsia="Times New Roman" w:hAnsi="Noto Sans" w:cs="Noto Sans"/>
          <w:sz w:val="22"/>
          <w:lang w:val="pt-PT"/>
        </w:rPr>
        <w:t xml:space="preserve"> publicou o seu Relatório de Responsabilidade social empresarial (CSR) relativo ao ano fiscal de 2025, destacando progressos mensuráveis no desempenho ambiental, práticas empresariais responsáveis, desenvolvimento de pessoas e apoio ao cliente. O relatório demonstra como a Domino está a integrar a sustentabilidade em todas as suas operações e, simultaneamente, a ajudar os clientes a alcançar os seus próprios objetivos ambientais e de negócio. </w:t>
      </w:r>
    </w:p>
    <w:p w14:paraId="550DCA73" w14:textId="77777777" w:rsidR="003B2143" w:rsidRPr="003B2143" w:rsidRDefault="003B2143" w:rsidP="003B2143">
      <w:pPr>
        <w:spacing w:before="120" w:after="120" w:line="240" w:lineRule="auto"/>
        <w:rPr>
          <w:rFonts w:ascii="Noto Sans" w:eastAsia="Times New Roman" w:hAnsi="Noto Sans" w:cs="Noto Sans"/>
          <w:sz w:val="22"/>
        </w:rPr>
      </w:pPr>
      <w:r w:rsidRPr="003B2143">
        <w:rPr>
          <w:rFonts w:ascii="Noto Sans" w:eastAsia="Times New Roman" w:hAnsi="Noto Sans" w:cs="Noto Sans"/>
          <w:sz w:val="22"/>
          <w:lang w:val="pt-PT"/>
        </w:rPr>
        <w:t>O relatório detalha o progresso em quatro áreas principais:</w:t>
      </w:r>
    </w:p>
    <w:p w14:paraId="0D1C705A" w14:textId="77777777" w:rsidR="003B2143" w:rsidRPr="003B2143" w:rsidRDefault="003B2143" w:rsidP="003B2143">
      <w:pPr>
        <w:pStyle w:val="ListParagraph"/>
        <w:numPr>
          <w:ilvl w:val="0"/>
          <w:numId w:val="1"/>
        </w:numPr>
        <w:spacing w:before="120" w:after="120" w:line="240" w:lineRule="auto"/>
        <w:rPr>
          <w:rFonts w:ascii="Noto Sans" w:eastAsia="Times New Roman" w:hAnsi="Noto Sans" w:cs="Noto Sans"/>
          <w:kern w:val="0"/>
          <w:sz w:val="22"/>
          <w:szCs w:val="22"/>
          <w14:ligatures w14:val="none"/>
        </w:rPr>
      </w:pPr>
      <w:r w:rsidRPr="003B2143">
        <w:rPr>
          <w:rFonts w:ascii="Noto Sans" w:eastAsia="Times New Roman" w:hAnsi="Noto Sans" w:cs="Noto Sans"/>
          <w:kern w:val="0"/>
          <w:sz w:val="22"/>
          <w:szCs w:val="22"/>
          <w:lang w:val="pt-PT"/>
          <w14:ligatures w14:val="none"/>
        </w:rPr>
        <w:t>Ambiental: redução de emissões, aumento do uso de energias renováveis e melhoria da circularidade.</w:t>
      </w:r>
    </w:p>
    <w:p w14:paraId="170EE69E" w14:textId="77777777" w:rsidR="003B2143" w:rsidRPr="003B2143" w:rsidRDefault="003B2143" w:rsidP="003B2143">
      <w:pPr>
        <w:pStyle w:val="ListParagraph"/>
        <w:numPr>
          <w:ilvl w:val="0"/>
          <w:numId w:val="1"/>
        </w:numPr>
        <w:spacing w:before="120" w:after="120" w:line="240" w:lineRule="auto"/>
        <w:rPr>
          <w:rFonts w:ascii="Noto Sans" w:eastAsia="Times New Roman" w:hAnsi="Noto Sans" w:cs="Noto Sans"/>
          <w:kern w:val="0"/>
          <w:sz w:val="22"/>
          <w:szCs w:val="22"/>
          <w14:ligatures w14:val="none"/>
        </w:rPr>
      </w:pPr>
      <w:r w:rsidRPr="003B2143">
        <w:rPr>
          <w:rFonts w:ascii="Noto Sans" w:eastAsia="Times New Roman" w:hAnsi="Noto Sans" w:cs="Noto Sans"/>
          <w:kern w:val="0"/>
          <w:sz w:val="22"/>
          <w:szCs w:val="22"/>
          <w:lang w:val="pt-PT"/>
          <w14:ligatures w14:val="none"/>
        </w:rPr>
        <w:t>Pessoas: criar uma cultura inclusiva que desenvolva o talento, apoie o bem-estar e invista nos futuros líderes.</w:t>
      </w:r>
    </w:p>
    <w:p w14:paraId="31B1FE89" w14:textId="77777777" w:rsidR="003B2143" w:rsidRPr="003B2143" w:rsidRDefault="003B2143" w:rsidP="003B2143">
      <w:pPr>
        <w:pStyle w:val="ListParagraph"/>
        <w:numPr>
          <w:ilvl w:val="0"/>
          <w:numId w:val="1"/>
        </w:numPr>
        <w:spacing w:before="120" w:after="120" w:line="240" w:lineRule="auto"/>
        <w:rPr>
          <w:rFonts w:ascii="Noto Sans" w:eastAsia="Times New Roman" w:hAnsi="Noto Sans" w:cs="Noto Sans"/>
          <w:kern w:val="0"/>
          <w:sz w:val="22"/>
          <w:szCs w:val="22"/>
          <w14:ligatures w14:val="none"/>
        </w:rPr>
      </w:pPr>
      <w:r w:rsidRPr="003B2143">
        <w:rPr>
          <w:rFonts w:ascii="Noto Sans" w:eastAsia="Times New Roman" w:hAnsi="Noto Sans" w:cs="Noto Sans"/>
          <w:kern w:val="0"/>
          <w:sz w:val="22"/>
          <w:szCs w:val="22"/>
          <w:lang w:val="pt-PT"/>
          <w14:ligatures w14:val="none"/>
        </w:rPr>
        <w:t>Sociedade: apoiar as comunidades locais e gerar um impacto social positivo.</w:t>
      </w:r>
    </w:p>
    <w:p w14:paraId="147E9E05" w14:textId="77777777" w:rsidR="003B2143" w:rsidRPr="003B2143" w:rsidRDefault="003B2143" w:rsidP="003B2143">
      <w:pPr>
        <w:pStyle w:val="ListParagraph"/>
        <w:numPr>
          <w:ilvl w:val="0"/>
          <w:numId w:val="1"/>
        </w:numPr>
        <w:spacing w:before="120" w:after="120" w:line="240" w:lineRule="auto"/>
        <w:rPr>
          <w:rFonts w:ascii="Noto Sans" w:eastAsia="Times New Roman" w:hAnsi="Noto Sans" w:cs="Noto Sans"/>
          <w:kern w:val="0"/>
          <w:sz w:val="22"/>
          <w:szCs w:val="22"/>
          <w14:ligatures w14:val="none"/>
        </w:rPr>
      </w:pPr>
      <w:r w:rsidRPr="003B2143">
        <w:rPr>
          <w:rFonts w:ascii="Noto Sans" w:eastAsia="Times New Roman" w:hAnsi="Noto Sans" w:cs="Noto Sans"/>
          <w:kern w:val="0"/>
          <w:sz w:val="22"/>
          <w:szCs w:val="22"/>
          <w:lang w:val="pt-PT"/>
          <w14:ligatures w14:val="none"/>
        </w:rPr>
        <w:t xml:space="preserve">Clientes: ajudar as organizações a alcançar objetivos de produtividade e sustentabilidade através de soluções inovadoras de codificação e marcação e de impressão digital. </w:t>
      </w:r>
    </w:p>
    <w:p w14:paraId="5880EDE5" w14:textId="77777777" w:rsidR="003B2143" w:rsidRPr="003B2143" w:rsidRDefault="003B2143" w:rsidP="003B2143">
      <w:pPr>
        <w:spacing w:before="120" w:after="120" w:line="240" w:lineRule="auto"/>
        <w:rPr>
          <w:rFonts w:ascii="Noto Sans" w:eastAsia="Times New Roman" w:hAnsi="Noto Sans" w:cs="Noto Sans"/>
          <w:sz w:val="22"/>
        </w:rPr>
      </w:pPr>
      <w:r w:rsidRPr="003B2143">
        <w:rPr>
          <w:rFonts w:ascii="Noto Sans" w:eastAsia="Times New Roman" w:hAnsi="Noto Sans" w:cs="Noto Sans"/>
          <w:sz w:val="22"/>
          <w:lang w:val="pt-PT"/>
        </w:rPr>
        <w:t xml:space="preserve">O relatório descreve como a Domino continua a desenvolver soluções mais sustentáveis que ajudam os clientes a reduzir o desperdício, melhorar a eficiência da produção, minimizar o consumo de materiais e apoiar os seus próprios objetivos de sustentabilidade. </w:t>
      </w:r>
    </w:p>
    <w:p w14:paraId="6533605A" w14:textId="77777777" w:rsidR="003B2143" w:rsidRPr="003B2143" w:rsidRDefault="003B2143" w:rsidP="003B2143">
      <w:pPr>
        <w:spacing w:before="120" w:after="120" w:line="240" w:lineRule="auto"/>
        <w:rPr>
          <w:rFonts w:ascii="Noto Sans" w:eastAsia="Times New Roman" w:hAnsi="Noto Sans" w:cs="Noto Sans"/>
          <w:sz w:val="22"/>
        </w:rPr>
      </w:pPr>
      <w:r w:rsidRPr="003B2143">
        <w:rPr>
          <w:rFonts w:ascii="Noto Sans" w:eastAsia="Times New Roman" w:hAnsi="Noto Sans" w:cs="Noto Sans"/>
          <w:sz w:val="22"/>
          <w:lang w:val="pt-PT"/>
        </w:rPr>
        <w:t>"A sustentabilidade está a tornar-se cada vez mais um requisito de negócio para os fabricantes em todo o mundo. "Os nossos resultados no ano fiscal de 2025 demonstram que o progresso ambiental e social significativo e um forte desempenho comercial podem andar de mãos dadas", afirma Jessica Büttner, Group CSR Director da Domino. "Estamos empenhados em atingir progressos mensuráveis ano após ano, através da redução de emissões, da melhoria da circularidade, do reforço do fornecimento responsável e do apoio aos clientes na concretização dos seus próprios objetivos de sustentabilidade. Enquanto empresa, continuamos focados em disponibilizar soluções sustentáveis que apoiem os nossos clientes, respeitando o ambiente e as comunidades onde operamos e apostando na criação de um local de trabalho onde as pessoas possam desenvolver-se e contribuir para o nosso sucesso a longo prazo."</w:t>
      </w:r>
    </w:p>
    <w:p w14:paraId="7F0447B0" w14:textId="77777777" w:rsidR="003B2143" w:rsidRPr="003B2143" w:rsidRDefault="003B2143" w:rsidP="003B2143">
      <w:pPr>
        <w:spacing w:before="120" w:after="120" w:line="240" w:lineRule="auto"/>
        <w:rPr>
          <w:rFonts w:ascii="Noto Sans" w:eastAsia="Times New Roman" w:hAnsi="Noto Sans" w:cs="Noto Sans"/>
          <w:sz w:val="22"/>
        </w:rPr>
      </w:pPr>
      <w:r w:rsidRPr="003B2143">
        <w:rPr>
          <w:rFonts w:ascii="Noto Sans" w:eastAsia="Times New Roman" w:hAnsi="Noto Sans" w:cs="Noto Sans"/>
          <w:sz w:val="22"/>
          <w:lang w:val="pt-PT"/>
        </w:rPr>
        <w:lastRenderedPageBreak/>
        <w:t xml:space="preserve">O Relatório CSR da Domino destaca o progresso que a empresa alcançou em áreas fundamentais, incluindo o desempenho ambiental, as pessoas, a sociedade e os clientes. </w:t>
      </w:r>
    </w:p>
    <w:p w14:paraId="623F39D3" w14:textId="77777777" w:rsidR="003B2143" w:rsidRPr="003B2143" w:rsidRDefault="003B2143" w:rsidP="003B2143">
      <w:pPr>
        <w:spacing w:before="120" w:after="120" w:line="240" w:lineRule="auto"/>
        <w:rPr>
          <w:rFonts w:ascii="Noto Sans" w:eastAsia="Times New Roman" w:hAnsi="Noto Sans" w:cs="Noto Sans"/>
          <w:sz w:val="22"/>
        </w:rPr>
      </w:pPr>
      <w:r w:rsidRPr="003B2143">
        <w:rPr>
          <w:rFonts w:ascii="Noto Sans" w:eastAsia="Times New Roman" w:hAnsi="Noto Sans" w:cs="Noto Sans"/>
          <w:sz w:val="22"/>
          <w:lang w:val="pt-PT"/>
        </w:rPr>
        <w:t xml:space="preserve">Os principais destaques do relatório no ano fiscal de 2025 incluem: </w:t>
      </w:r>
    </w:p>
    <w:p w14:paraId="2E9A3C7A" w14:textId="77777777" w:rsidR="003B2143" w:rsidRPr="003B2143" w:rsidRDefault="003B2143" w:rsidP="003B2143">
      <w:pPr>
        <w:pStyle w:val="ListParagraph"/>
        <w:numPr>
          <w:ilvl w:val="0"/>
          <w:numId w:val="2"/>
        </w:numPr>
        <w:spacing w:before="120" w:after="120" w:line="240" w:lineRule="auto"/>
        <w:rPr>
          <w:rFonts w:ascii="Noto Sans" w:eastAsia="Times New Roman" w:hAnsi="Noto Sans" w:cs="Noto Sans"/>
          <w:kern w:val="0"/>
          <w:sz w:val="22"/>
          <w:szCs w:val="22"/>
          <w14:ligatures w14:val="none"/>
        </w:rPr>
      </w:pPr>
      <w:r w:rsidRPr="003B2143">
        <w:rPr>
          <w:rFonts w:ascii="Noto Sans" w:eastAsia="Times New Roman" w:hAnsi="Noto Sans" w:cs="Noto Sans"/>
          <w:kern w:val="0"/>
          <w:sz w:val="22"/>
          <w:szCs w:val="22"/>
          <w:lang w:val="pt-PT"/>
          <w14:ligatures w14:val="none"/>
        </w:rPr>
        <w:t xml:space="preserve">Aumento da geração de energia solar para 70%, à medida que mais instalações da Domino passaram a utilizar 100% de eletricidade renovável. </w:t>
      </w:r>
    </w:p>
    <w:p w14:paraId="6E0EF294" w14:textId="77777777" w:rsidR="003B2143" w:rsidRPr="003B2143" w:rsidRDefault="003B2143" w:rsidP="003B2143">
      <w:pPr>
        <w:pStyle w:val="ListParagraph"/>
        <w:numPr>
          <w:ilvl w:val="0"/>
          <w:numId w:val="2"/>
        </w:numPr>
        <w:spacing w:before="120" w:after="120" w:line="240" w:lineRule="auto"/>
        <w:rPr>
          <w:rFonts w:ascii="Noto Sans" w:eastAsia="Times New Roman" w:hAnsi="Noto Sans" w:cs="Noto Sans"/>
          <w:kern w:val="0"/>
          <w:sz w:val="22"/>
          <w:szCs w:val="22"/>
          <w14:ligatures w14:val="none"/>
        </w:rPr>
      </w:pPr>
      <w:r w:rsidRPr="003B2143">
        <w:rPr>
          <w:rFonts w:ascii="Noto Sans" w:eastAsia="Times New Roman" w:hAnsi="Noto Sans" w:cs="Noto Sans"/>
          <w:kern w:val="0"/>
          <w:sz w:val="22"/>
          <w:szCs w:val="22"/>
          <w:lang w:val="pt-PT"/>
          <w14:ligatures w14:val="none"/>
        </w:rPr>
        <w:t>Uma taxa de reciclagem interna de 95,3%, minimizando o desperdício e maximizando a recuperação de recursos.</w:t>
      </w:r>
    </w:p>
    <w:p w14:paraId="4E7D04F0" w14:textId="77777777" w:rsidR="003B2143" w:rsidRPr="003B2143" w:rsidRDefault="003B2143" w:rsidP="003B2143">
      <w:pPr>
        <w:pStyle w:val="ListParagraph"/>
        <w:numPr>
          <w:ilvl w:val="0"/>
          <w:numId w:val="2"/>
        </w:numPr>
        <w:spacing w:before="120" w:after="120" w:line="240" w:lineRule="auto"/>
        <w:rPr>
          <w:rFonts w:ascii="Noto Sans" w:eastAsia="Times New Roman" w:hAnsi="Noto Sans" w:cs="Noto Sans"/>
          <w:kern w:val="0"/>
          <w:sz w:val="22"/>
          <w:szCs w:val="22"/>
          <w14:ligatures w14:val="none"/>
        </w:rPr>
      </w:pPr>
      <w:r w:rsidRPr="003B2143">
        <w:rPr>
          <w:rFonts w:ascii="Noto Sans" w:eastAsia="Times New Roman" w:hAnsi="Noto Sans" w:cs="Noto Sans"/>
          <w:kern w:val="0"/>
          <w:sz w:val="22"/>
          <w:szCs w:val="22"/>
          <w:lang w:val="pt-PT"/>
          <w14:ligatures w14:val="none"/>
        </w:rPr>
        <w:t>Maior sustentabilidade da embalagem, com 96% das embalagens dos clientes agora recicláveis e incorporando até 75% de materiais reciclados.</w:t>
      </w:r>
    </w:p>
    <w:p w14:paraId="2D3337B1" w14:textId="77777777" w:rsidR="003B2143" w:rsidRPr="003B2143" w:rsidRDefault="003B2143" w:rsidP="003B2143">
      <w:pPr>
        <w:spacing w:before="120" w:after="120" w:line="240" w:lineRule="auto"/>
        <w:rPr>
          <w:rFonts w:ascii="Noto Sans" w:eastAsia="Times New Roman" w:hAnsi="Noto Sans" w:cs="Noto Sans"/>
          <w:sz w:val="22"/>
        </w:rPr>
      </w:pPr>
      <w:r w:rsidRPr="003B2143">
        <w:rPr>
          <w:rFonts w:ascii="Noto Sans" w:eastAsia="Times New Roman" w:hAnsi="Noto Sans" w:cs="Noto Sans"/>
          <w:sz w:val="22"/>
          <w:lang w:val="pt-PT"/>
        </w:rPr>
        <w:t>Estas conquistas apoiam o objetivo da Domino de alcançar a neutralidade carbónica nas emissões de Âmbito 1 e 2 até 2030 e emissões líquidas zero até 2050.</w:t>
      </w:r>
    </w:p>
    <w:p w14:paraId="20EC463D" w14:textId="77777777" w:rsidR="003B2143" w:rsidRPr="003B2143" w:rsidRDefault="003B2143" w:rsidP="003B2143">
      <w:pPr>
        <w:spacing w:before="120" w:after="120" w:line="240" w:lineRule="auto"/>
        <w:rPr>
          <w:rFonts w:ascii="Noto Sans" w:eastAsia="Times New Roman" w:hAnsi="Noto Sans" w:cs="Noto Sans"/>
          <w:sz w:val="22"/>
        </w:rPr>
      </w:pPr>
      <w:r w:rsidRPr="003B2143">
        <w:rPr>
          <w:rFonts w:ascii="Noto Sans" w:eastAsia="Times New Roman" w:hAnsi="Noto Sans" w:cs="Noto Sans"/>
          <w:sz w:val="22"/>
          <w:lang w:val="pt-PT"/>
        </w:rPr>
        <w:t>Para além das suas conquistas ambientais, o relatório da Domino destaca o progresso alcançado nos objetivos de CSR relacionados com as pessoas, a sociedade e os clientes.</w:t>
      </w:r>
    </w:p>
    <w:p w14:paraId="234F49D5" w14:textId="77777777" w:rsidR="003B2143" w:rsidRPr="003B2143" w:rsidRDefault="003B2143" w:rsidP="003B2143">
      <w:pPr>
        <w:pStyle w:val="ListParagraph"/>
        <w:numPr>
          <w:ilvl w:val="0"/>
          <w:numId w:val="3"/>
        </w:numPr>
        <w:spacing w:before="120" w:after="120" w:line="240" w:lineRule="auto"/>
        <w:rPr>
          <w:rFonts w:ascii="Noto Sans" w:eastAsia="Times New Roman" w:hAnsi="Noto Sans" w:cs="Noto Sans"/>
          <w:kern w:val="0"/>
          <w:sz w:val="22"/>
          <w:szCs w:val="22"/>
          <w14:ligatures w14:val="none"/>
        </w:rPr>
      </w:pPr>
      <w:r w:rsidRPr="003B2143">
        <w:rPr>
          <w:rFonts w:ascii="Noto Sans" w:eastAsia="Times New Roman" w:hAnsi="Noto Sans" w:cs="Noto Sans"/>
          <w:kern w:val="0"/>
          <w:sz w:val="22"/>
          <w:szCs w:val="22"/>
          <w:lang w:val="pt-PT"/>
          <w14:ligatures w14:val="none"/>
        </w:rPr>
        <w:t xml:space="preserve">Aumento da representação feminina no local de trabalho, com as mulheres a representarem 10% mais novas contratações e 2% mais cargos de liderança sénior. </w:t>
      </w:r>
    </w:p>
    <w:p w14:paraId="33D048A5" w14:textId="77777777" w:rsidR="003B2143" w:rsidRPr="003B2143" w:rsidRDefault="003B2143" w:rsidP="003B2143">
      <w:pPr>
        <w:pStyle w:val="ListParagraph"/>
        <w:numPr>
          <w:ilvl w:val="0"/>
          <w:numId w:val="3"/>
        </w:numPr>
        <w:spacing w:before="120" w:after="120" w:line="240" w:lineRule="auto"/>
        <w:rPr>
          <w:rFonts w:ascii="Noto Sans" w:eastAsia="Times New Roman" w:hAnsi="Noto Sans" w:cs="Noto Sans"/>
          <w:kern w:val="0"/>
          <w:sz w:val="22"/>
          <w:szCs w:val="22"/>
          <w14:ligatures w14:val="none"/>
        </w:rPr>
      </w:pPr>
      <w:r w:rsidRPr="003B2143">
        <w:rPr>
          <w:rFonts w:ascii="Noto Sans" w:eastAsia="Times New Roman" w:hAnsi="Noto Sans" w:cs="Noto Sans"/>
          <w:kern w:val="0"/>
          <w:sz w:val="22"/>
          <w:szCs w:val="22"/>
          <w:lang w:val="pt-PT"/>
          <w14:ligatures w14:val="none"/>
        </w:rPr>
        <w:t xml:space="preserve">Redução da disparidade salarial entre géneros no Reino Unido em 5,6%.  </w:t>
      </w:r>
    </w:p>
    <w:p w14:paraId="587FBABB" w14:textId="77777777" w:rsidR="003B2143" w:rsidRPr="003B2143" w:rsidRDefault="003B2143" w:rsidP="003B2143">
      <w:pPr>
        <w:pStyle w:val="ListParagraph"/>
        <w:numPr>
          <w:ilvl w:val="0"/>
          <w:numId w:val="3"/>
        </w:numPr>
        <w:rPr>
          <w:rFonts w:ascii="Noto Sans" w:eastAsia="Times New Roman" w:hAnsi="Noto Sans" w:cs="Noto Sans"/>
          <w:kern w:val="0"/>
          <w:sz w:val="22"/>
          <w:szCs w:val="22"/>
          <w14:ligatures w14:val="none"/>
        </w:rPr>
      </w:pPr>
      <w:r w:rsidRPr="003B2143">
        <w:rPr>
          <w:rFonts w:ascii="Noto Sans" w:eastAsia="Times New Roman" w:hAnsi="Noto Sans" w:cs="Noto Sans"/>
          <w:kern w:val="0"/>
          <w:sz w:val="22"/>
          <w:szCs w:val="22"/>
          <w:lang w:val="pt-PT"/>
          <w14:ligatures w14:val="none"/>
        </w:rPr>
        <w:t xml:space="preserve">Práticas de negócio responsáveis reforçadas, com 95% dos gastos em inventário abrangidos por fornecedores em total conformidade. </w:t>
      </w:r>
    </w:p>
    <w:p w14:paraId="372B7B24" w14:textId="77777777" w:rsidR="003B2143" w:rsidRPr="003B2143" w:rsidRDefault="003B2143" w:rsidP="003B2143">
      <w:pPr>
        <w:pStyle w:val="ListParagraph"/>
        <w:numPr>
          <w:ilvl w:val="0"/>
          <w:numId w:val="3"/>
        </w:numPr>
        <w:rPr>
          <w:rFonts w:ascii="Noto Sans" w:eastAsia="Times New Roman" w:hAnsi="Noto Sans" w:cs="Noto Sans"/>
          <w:kern w:val="0"/>
          <w:sz w:val="22"/>
          <w:szCs w:val="22"/>
          <w14:ligatures w14:val="none"/>
        </w:rPr>
      </w:pPr>
      <w:r w:rsidRPr="003B2143">
        <w:rPr>
          <w:rFonts w:ascii="Noto Sans" w:eastAsia="Times New Roman" w:hAnsi="Noto Sans" w:cs="Noto Sans"/>
          <w:kern w:val="0"/>
          <w:sz w:val="22"/>
          <w:szCs w:val="22"/>
          <w:lang w:val="pt-PT"/>
          <w14:ligatures w14:val="none"/>
        </w:rPr>
        <w:t>Reforço das capacidades de aprovisionamento sustentável, com 85% dos colaboradores da equipa global da cadeia de abastecimento a concluírem formação em aprovisionamento sustentável.</w:t>
      </w:r>
    </w:p>
    <w:p w14:paraId="1A1FDA70" w14:textId="77777777" w:rsidR="003B2143" w:rsidRPr="003B2143" w:rsidRDefault="003B2143" w:rsidP="003B2143">
      <w:pPr>
        <w:pStyle w:val="ListParagraph"/>
        <w:numPr>
          <w:ilvl w:val="0"/>
          <w:numId w:val="3"/>
        </w:numPr>
        <w:spacing w:after="0" w:line="300" w:lineRule="atLeast"/>
        <w:rPr>
          <w:rFonts w:ascii="Segoe UI" w:eastAsia="Times New Roman" w:hAnsi="Segoe UI" w:cs="Segoe UI"/>
          <w:kern w:val="0"/>
          <w:sz w:val="22"/>
          <w:szCs w:val="22"/>
          <w14:ligatures w14:val="none"/>
        </w:rPr>
      </w:pPr>
      <w:r w:rsidRPr="003B2143">
        <w:rPr>
          <w:rFonts w:ascii="Segoe UI" w:eastAsia="Times New Roman" w:hAnsi="Segoe UI" w:cs="Segoe UI"/>
          <w:kern w:val="0"/>
          <w:sz w:val="22"/>
          <w:szCs w:val="22"/>
          <w:lang w:val="pt-PT"/>
          <w14:ligatures w14:val="none"/>
        </w:rPr>
        <w:t xml:space="preserve">Aumento da Net Promoter Score global de 82 para 85 e manutenção de um Índice de esforço do cliente (CES) elevado, de 4,6 em 5. </w:t>
      </w:r>
    </w:p>
    <w:p w14:paraId="530BC3AB" w14:textId="77777777" w:rsidR="003B2143" w:rsidRPr="003B2143" w:rsidRDefault="003B2143" w:rsidP="003B2143">
      <w:pPr>
        <w:spacing w:before="120" w:after="120" w:line="240" w:lineRule="auto"/>
        <w:rPr>
          <w:rFonts w:ascii="Noto Sans" w:eastAsia="Times New Roman" w:hAnsi="Noto Sans" w:cs="Noto Sans"/>
          <w:sz w:val="22"/>
        </w:rPr>
      </w:pPr>
      <w:r w:rsidRPr="003B2143">
        <w:rPr>
          <w:rFonts w:ascii="Noto Sans" w:eastAsia="Times New Roman" w:hAnsi="Noto Sans" w:cs="Noto Sans"/>
          <w:sz w:val="22"/>
          <w:lang w:val="pt-PT"/>
        </w:rPr>
        <w:t>Büttner acrescentou: "Os relatórios CSR transparentes permitem-nos ter conversas honestas com os nossos clientes, não apenas sobre o impacto positivo que estamos a gerar, mas também sobre o trabalho que ainda temos de realizar. Também nos ajudam a apoiar os clientes na concretização das suas próprias ambições de sustentabilidade. Os resultados deste ano mostram progressos positivos face aos nossos objetivos atuais, enquanto os nossos sólidos índices de satisfação dos clientes demonstram que continuamos a proporcionar valor e a ser uma empresa com a qual é fácil contactar e trabalhar."</w:t>
      </w:r>
    </w:p>
    <w:p w14:paraId="055E4DD1" w14:textId="77777777" w:rsidR="003B2143" w:rsidRPr="003B2143" w:rsidRDefault="003B2143" w:rsidP="003B2143">
      <w:pPr>
        <w:spacing w:before="120" w:after="120" w:line="240" w:lineRule="auto"/>
        <w:rPr>
          <w:rFonts w:ascii="Noto Sans" w:eastAsia="Times New Roman" w:hAnsi="Noto Sans" w:cs="Noto Sans"/>
          <w:sz w:val="22"/>
        </w:rPr>
      </w:pPr>
      <w:r w:rsidRPr="003B2143">
        <w:rPr>
          <w:rFonts w:ascii="Noto Sans" w:eastAsia="Times New Roman" w:hAnsi="Noto Sans" w:cs="Noto Sans"/>
          <w:sz w:val="22"/>
          <w:lang w:val="pt-PT"/>
        </w:rPr>
        <w:t xml:space="preserve">"A sustentabilidade continua a ser uma parte integrante da nossa forma de operar como empresa e de como criamos valor para os nossos clientes," afirma Robert Pulford, CEO da Domino. "O progresso realçado neste relatório reflete o nosso compromisso com a nossa rede global de especialistas e demonstra que o sucesso empresarial a longo prazo e a gestão ambiental responsável caminham lado a lado. O </w:t>
      </w:r>
      <w:r w:rsidRPr="003B2143">
        <w:rPr>
          <w:rFonts w:ascii="Noto Sans" w:eastAsia="Times New Roman" w:hAnsi="Noto Sans" w:cs="Noto Sans"/>
          <w:sz w:val="22"/>
          <w:lang w:val="pt-PT"/>
        </w:rPr>
        <w:lastRenderedPageBreak/>
        <w:t>progresso realçado neste relatório reflete o compromisso das nossas equipas em todo o mundo e o trabalho que temos realizado para construir uma organização inclusiva e de alto desempenho, capaz de apoiar o crescimento sustentável, tanto para os clientes como para as comunidades."</w:t>
      </w:r>
    </w:p>
    <w:p w14:paraId="0DDC0479" w14:textId="77777777" w:rsidR="003B2143" w:rsidRPr="003B2143" w:rsidRDefault="003B2143" w:rsidP="003B2143">
      <w:pPr>
        <w:spacing w:before="120" w:after="120" w:line="240" w:lineRule="auto"/>
        <w:rPr>
          <w:rFonts w:ascii="Noto Sans" w:eastAsia="Times New Roman" w:hAnsi="Noto Sans" w:cs="Noto Sans"/>
          <w:sz w:val="22"/>
        </w:rPr>
      </w:pPr>
      <w:r w:rsidRPr="003B2143">
        <w:rPr>
          <w:rFonts w:ascii="Noto Sans" w:eastAsia="Times New Roman" w:hAnsi="Noto Sans" w:cs="Noto Sans"/>
          <w:sz w:val="22"/>
          <w:lang w:val="pt-PT"/>
        </w:rPr>
        <w:t>O relatório CSR da Domino segue as normas da Global Reporting Initiative (GRI), uma estrutura reconhecida internacionalmente que ajuda os clientes a compreender como o desempenho ambiental da Domino se compara com o dos seus pares do setor. O relatório oferece uma visão sobre a forma como a Domino está a reduzir o seu impacto ambiental e a apoiar os clientes na redução da sua pegada de carbono.</w:t>
      </w:r>
    </w:p>
    <w:p w14:paraId="4CA45C9D" w14:textId="77777777" w:rsidR="003B2143" w:rsidRPr="003B2143" w:rsidRDefault="003B2143" w:rsidP="003B2143">
      <w:pPr>
        <w:spacing w:before="120" w:after="120" w:line="240" w:lineRule="auto"/>
        <w:rPr>
          <w:rFonts w:ascii="Noto Sans" w:eastAsia="Times New Roman" w:hAnsi="Noto Sans" w:cs="Noto Sans"/>
          <w:sz w:val="22"/>
        </w:rPr>
      </w:pPr>
      <w:r w:rsidRPr="003B2143">
        <w:rPr>
          <w:rFonts w:ascii="Noto Sans" w:eastAsia="Times New Roman" w:hAnsi="Noto Sans" w:cs="Noto Sans"/>
          <w:sz w:val="22"/>
          <w:lang w:val="pt-PT"/>
        </w:rPr>
        <w:t>Olhando para o futuro, a Domino continuará a avançar com o seu roteiro de redução de carbono, a expandir a utilização de energias renováveis, a reforçar as suas iniciativas circulares de produtos e embalagens e a trabalhar em estreita colaboração com fornecedores e clientes para reduzir as emissões em toda a cadeia de valor.</w:t>
      </w:r>
    </w:p>
    <w:p w14:paraId="5881D7E3" w14:textId="510C72CB" w:rsidR="003B2143" w:rsidRPr="003B2143" w:rsidRDefault="003B2143" w:rsidP="003B2143">
      <w:pPr>
        <w:spacing w:before="120" w:after="120" w:line="240" w:lineRule="auto"/>
        <w:rPr>
          <w:rFonts w:ascii="Noto Sans" w:eastAsia="Times New Roman" w:hAnsi="Noto Sans" w:cs="Noto Sans"/>
          <w:sz w:val="22"/>
          <w:lang w:val="pt-PT"/>
        </w:rPr>
      </w:pPr>
      <w:r w:rsidRPr="003B2143">
        <w:rPr>
          <w:rFonts w:ascii="Noto Sans" w:eastAsia="Times New Roman" w:hAnsi="Noto Sans" w:cs="Noto Sans"/>
          <w:sz w:val="22"/>
          <w:lang w:val="pt-PT"/>
        </w:rPr>
        <w:t xml:space="preserve">O relatório CSR completo do ano fiscal de 2025 está disponível nas </w:t>
      </w:r>
      <w:hyperlink r:id="rId8" w:history="1">
        <w:r w:rsidRPr="003B2143">
          <w:rPr>
            <w:rStyle w:val="Hyperlink"/>
            <w:rFonts w:ascii="Noto Sans" w:eastAsia="Times New Roman" w:hAnsi="Noto Sans" w:cs="Noto Sans"/>
            <w:sz w:val="22"/>
            <w:lang w:val="pt-PT"/>
          </w:rPr>
          <w:t>páginas de Responsabilidade social empresarial</w:t>
        </w:r>
      </w:hyperlink>
      <w:r w:rsidRPr="003B2143">
        <w:rPr>
          <w:rFonts w:ascii="Noto Sans" w:eastAsia="Times New Roman" w:hAnsi="Noto Sans" w:cs="Noto Sans"/>
          <w:sz w:val="22"/>
          <w:lang w:val="pt-PT"/>
        </w:rPr>
        <w:t xml:space="preserve"> da Domino e fornece dados detalhados de desempenho, objetivos e exemplos que ilustram como a Domino está a trabalhar para reduzir o seu impacto ambiental, ao mesmo tempo que apoia clientes, colaboradores e comunidades em todo o mundo.</w:t>
      </w:r>
    </w:p>
    <w:p w14:paraId="4AB1F501" w14:textId="77777777" w:rsidR="003B2143" w:rsidRPr="003B2143" w:rsidRDefault="003B2143" w:rsidP="003B2143">
      <w:pPr>
        <w:spacing w:before="120" w:after="120" w:line="240" w:lineRule="auto"/>
        <w:rPr>
          <w:rFonts w:ascii="Noto Sans" w:eastAsia="Times New Roman" w:hAnsi="Noto Sans" w:cs="Noto Sans"/>
          <w:sz w:val="22"/>
          <w:lang w:val="pt-PT"/>
        </w:rPr>
      </w:pPr>
    </w:p>
    <w:p w14:paraId="2F39FBA2" w14:textId="2B08E93C" w:rsidR="003B2143" w:rsidRPr="003B2143" w:rsidRDefault="003B2143" w:rsidP="003B2143">
      <w:pPr>
        <w:spacing w:before="120" w:after="120" w:line="240" w:lineRule="auto"/>
        <w:rPr>
          <w:rFonts w:ascii="Noto Sans" w:hAnsi="Noto Sans" w:cs="Noto Sans"/>
          <w:sz w:val="22"/>
        </w:rPr>
      </w:pPr>
      <w:r w:rsidRPr="003B2143">
        <w:rPr>
          <w:rFonts w:ascii="Noto Sans" w:eastAsia="Times New Roman" w:hAnsi="Noto Sans" w:cs="Noto Sans"/>
          <w:sz w:val="22"/>
          <w:lang w:val="pt-PT"/>
        </w:rPr>
        <w:t>&lt;</w:t>
      </w:r>
      <w:r w:rsidRPr="003B2143">
        <w:rPr>
          <w:rFonts w:ascii="Noto Sans" w:eastAsia="Times New Roman" w:hAnsi="Noto Sans" w:cs="Noto Sans"/>
          <w:b/>
          <w:bCs/>
          <w:sz w:val="22"/>
          <w:lang w:val="pt-PT"/>
        </w:rPr>
        <w:t>FIM</w:t>
      </w:r>
      <w:r w:rsidRPr="003B2143">
        <w:rPr>
          <w:rFonts w:ascii="Noto Sans" w:eastAsia="Times New Roman" w:hAnsi="Noto Sans" w:cs="Noto Sans"/>
          <w:sz w:val="22"/>
          <w:lang w:val="pt-PT"/>
        </w:rPr>
        <w:t>&gt;</w:t>
      </w:r>
    </w:p>
    <w:p w14:paraId="53EB7C38" w14:textId="77777777" w:rsidR="005524DB" w:rsidRDefault="005524DB" w:rsidP="008E7573"/>
    <w:p w14:paraId="5052A167" w14:textId="77777777" w:rsidR="003B2143" w:rsidRPr="002B23C7" w:rsidRDefault="003B2143" w:rsidP="003B2143">
      <w:pPr>
        <w:spacing w:line="240" w:lineRule="auto"/>
        <w:rPr>
          <w:rFonts w:ascii="Noto Sans" w:eastAsiaTheme="minorHAnsi" w:hAnsi="Noto Sans" w:cs="Noto Sans"/>
          <w:sz w:val="22"/>
          <w:lang w:val="pt-PT"/>
        </w:rPr>
      </w:pPr>
      <w:bookmarkStart w:id="0" w:name="_Hlk531088985"/>
      <w:bookmarkStart w:id="1" w:name="_Hlk61949672"/>
      <w:r w:rsidRPr="002856FD">
        <w:rPr>
          <w:rFonts w:ascii="Noto Sans" w:hAnsi="Noto Sans" w:cs="Noto Sans"/>
          <w:b/>
          <w:bCs/>
          <w:sz w:val="20"/>
          <w:szCs w:val="20"/>
          <w:lang w:val="pt"/>
        </w:rPr>
        <w:t>Isenção de responsabilidade</w:t>
      </w:r>
      <w:bookmarkEnd w:id="0"/>
      <w:r w:rsidRPr="002856FD">
        <w:rPr>
          <w:rFonts w:ascii="Noto Sans" w:hAnsi="Noto Sans" w:cs="Noto Sans"/>
          <w:sz w:val="20"/>
          <w:szCs w:val="20"/>
          <w:lang w:val="pt"/>
        </w:rPr>
        <w:br/>
      </w:r>
      <w:r w:rsidRPr="002856FD">
        <w:rPr>
          <w:rFonts w:ascii="Noto Sans" w:hAnsi="Noto Sans" w:cs="Noto Sans"/>
          <w:sz w:val="20"/>
          <w:szCs w:val="20"/>
          <w:lang w:val="pt"/>
        </w:rPr>
        <w:br/>
      </w:r>
      <w:r w:rsidRPr="002856FD">
        <w:rPr>
          <w:rFonts w:ascii="Noto Sans" w:hAnsi="Noto Sans" w:cs="Noto Sans"/>
          <w:b/>
          <w:bCs/>
          <w:sz w:val="20"/>
          <w:szCs w:val="20"/>
          <w:lang w:val="pt"/>
        </w:rPr>
        <w:t>Tintas</w:t>
      </w:r>
      <w:r w:rsidRPr="002856FD">
        <w:rPr>
          <w:rFonts w:ascii="Noto Sans" w:hAnsi="Noto Sans" w:cs="Noto Sans"/>
          <w:sz w:val="20"/>
          <w:szCs w:val="20"/>
          <w:lang w:val="pt"/>
        </w:rPr>
        <w:br/>
      </w:r>
      <w:r w:rsidRPr="004002D9">
        <w:rPr>
          <w:rFonts w:ascii="Noto Sans" w:hAnsi="Noto Sans" w:cs="Noto Sans"/>
          <w:sz w:val="20"/>
          <w:szCs w:val="20"/>
          <w:lang w:val="pt"/>
        </w:rPr>
        <w:t>As informações que se encontram no presente documento não devem substituir a realização dos testes adequados às suas circunstâncias e usos específicos. A Marque TDI, S.A. e as empresas do grupo Domino não serão, de forma alguma, responsáveis por qualquer tipo de confiança com base neste documento em relação à adequação de qualquer uma das nossas tintas para a sua aplicação em particular. O presente documento não faz parte de quaisquer termos e condições celebrados entre si e a Domino.  Os Termos e Condições de venda da Domino, em particular as garantias e responsabilidades presentes nos mesmos, dever-se-ão aplicar a qualquer uma das suas  compra de produtos.</w:t>
      </w:r>
      <w:r w:rsidRPr="002856FD">
        <w:rPr>
          <w:rFonts w:ascii="Noto Sans" w:hAnsi="Noto Sans" w:cs="Noto Sans"/>
          <w:sz w:val="20"/>
          <w:szCs w:val="20"/>
          <w:lang w:val="pt"/>
        </w:rPr>
        <w:br/>
      </w:r>
      <w:r w:rsidRPr="002856FD">
        <w:rPr>
          <w:rFonts w:ascii="Noto Sans" w:hAnsi="Noto Sans" w:cs="Noto Sans"/>
          <w:sz w:val="20"/>
          <w:szCs w:val="20"/>
          <w:lang w:val="pt"/>
        </w:rPr>
        <w:br/>
      </w:r>
      <w:r w:rsidRPr="002856FD">
        <w:rPr>
          <w:rFonts w:ascii="Noto Sans" w:hAnsi="Noto Sans" w:cs="Noto Sans"/>
          <w:b/>
          <w:bCs/>
          <w:sz w:val="20"/>
          <w:szCs w:val="20"/>
          <w:lang w:val="pt"/>
        </w:rPr>
        <w:t>Geral</w:t>
      </w:r>
      <w:r w:rsidRPr="002856FD">
        <w:rPr>
          <w:rFonts w:ascii="Noto Sans" w:hAnsi="Noto Sans" w:cs="Noto Sans"/>
          <w:sz w:val="20"/>
          <w:szCs w:val="20"/>
          <w:lang w:val="pt"/>
        </w:rPr>
        <w:br/>
        <w:t xml:space="preserve">As informações constantes no presente comunicado de imprensa são consideradas verdadeiras e corretas à data da publicação pela Domino. Qualquer alteração verificada após a data da publicação pode afetar a exatidão destas informações. </w:t>
      </w:r>
      <w:r w:rsidRPr="004002D9">
        <w:rPr>
          <w:rFonts w:ascii="Noto Sans" w:hAnsi="Noto Sans" w:cs="Noto Sans"/>
          <w:sz w:val="20"/>
          <w:szCs w:val="20"/>
          <w:lang w:val="pt"/>
        </w:rPr>
        <w:t xml:space="preserve">Todos os valores em termos de desempenho e alegações, citados no presente, documento foram obtidos sob condições específicas e apenas poderão ser repetidos sob condições semelhantes. Para obter detalhes específicos do produto, deve entrar em contacto com o seu Consultor Comercial da Domino. O presente documento não faz parte de quaisquer termos e condições celebrados entre si e a </w:t>
      </w:r>
      <w:r w:rsidRPr="004002D9">
        <w:rPr>
          <w:rFonts w:ascii="Noto Sans" w:hAnsi="Noto Sans" w:cs="Noto Sans"/>
          <w:sz w:val="20"/>
          <w:szCs w:val="20"/>
          <w:lang w:val="pt"/>
        </w:rPr>
        <w:lastRenderedPageBreak/>
        <w:t>Domino.</w:t>
      </w:r>
      <w:r>
        <w:rPr>
          <w:rFonts w:ascii="Noto Sans" w:hAnsi="Noto Sans" w:cs="Noto Sans"/>
          <w:sz w:val="20"/>
          <w:szCs w:val="20"/>
          <w:lang w:val="pt"/>
        </w:rPr>
        <w:br/>
      </w:r>
      <w:r w:rsidRPr="002856FD">
        <w:rPr>
          <w:rFonts w:ascii="Noto Sans" w:hAnsi="Noto Sans" w:cs="Noto Sans"/>
          <w:sz w:val="20"/>
          <w:szCs w:val="20"/>
          <w:lang w:val="pt"/>
        </w:rPr>
        <w:br/>
      </w:r>
      <w:r w:rsidRPr="002856FD">
        <w:rPr>
          <w:rFonts w:ascii="Noto Sans" w:hAnsi="Noto Sans" w:cs="Noto Sans"/>
          <w:b/>
          <w:bCs/>
          <w:sz w:val="20"/>
          <w:szCs w:val="20"/>
          <w:lang w:val="pt"/>
        </w:rPr>
        <w:t>Imagens</w:t>
      </w:r>
      <w:r w:rsidRPr="002856FD">
        <w:rPr>
          <w:rFonts w:ascii="Noto Sans" w:hAnsi="Noto Sans" w:cs="Noto Sans"/>
          <w:sz w:val="20"/>
          <w:szCs w:val="20"/>
          <w:lang w:val="pt"/>
        </w:rPr>
        <w:br/>
        <w:t xml:space="preserve">As imagens podem incluir melhorias ou extras opcionais. A qualidade de impressão pode variar de acordo com os consumíveis, o equipamento, a superfície e outros fatores. As imagens e fotografias não fazem parte de quaisquer termos e condições celebrados entre si e a Domino Portugal. </w:t>
      </w:r>
      <w:r w:rsidRPr="002856FD">
        <w:rPr>
          <w:rFonts w:ascii="Noto Sans" w:hAnsi="Noto Sans" w:cs="Noto Sans"/>
          <w:sz w:val="20"/>
          <w:szCs w:val="20"/>
          <w:lang w:val="pt"/>
        </w:rPr>
        <w:br/>
      </w:r>
      <w:r w:rsidRPr="002856FD">
        <w:rPr>
          <w:rFonts w:ascii="Noto Sans" w:hAnsi="Noto Sans" w:cs="Noto Sans"/>
          <w:sz w:val="20"/>
          <w:szCs w:val="20"/>
          <w:lang w:val="pt"/>
        </w:rPr>
        <w:br/>
      </w:r>
      <w:r w:rsidRPr="002856FD">
        <w:rPr>
          <w:rFonts w:ascii="Noto Sans" w:hAnsi="Noto Sans" w:cs="Noto Sans"/>
          <w:b/>
          <w:bCs/>
          <w:sz w:val="20"/>
          <w:szCs w:val="20"/>
          <w:lang w:val="pt"/>
        </w:rPr>
        <w:t>Vídeos</w:t>
      </w:r>
      <w:r w:rsidRPr="002856FD">
        <w:rPr>
          <w:rFonts w:ascii="Noto Sans" w:hAnsi="Noto Sans" w:cs="Noto Sans"/>
          <w:sz w:val="20"/>
          <w:szCs w:val="20"/>
          <w:lang w:val="pt"/>
        </w:rPr>
        <w:br/>
        <w:t>Este vídeo é apenas ilustrativo e pode incluir extras opcionais. Os valores relativos ao desempenho foram obtidos sob condições específicas; o desempenho individual pode variar. Os erros e as paragens das linhas de produção podem ser inevitáveis. Nada do que se encontra neste vídeo faz parte de qualquer contrato celebrado entre si e a Domino Portugal.</w:t>
      </w:r>
      <w:r w:rsidRPr="002856FD">
        <w:rPr>
          <w:rFonts w:ascii="Noto Sans" w:eastAsia="Gill Sans" w:hAnsi="Noto Sans" w:cs="Noto Sans"/>
          <w:sz w:val="20"/>
          <w:szCs w:val="20"/>
          <w:lang w:val="es-ES"/>
        </w:rPr>
        <w:br/>
      </w:r>
      <w:r w:rsidRPr="002E0B38">
        <w:rPr>
          <w:rFonts w:ascii="Noto Sans" w:eastAsia="Gill Sans" w:hAnsi="Noto Sans" w:cs="Noto Sans"/>
          <w:b/>
          <w:sz w:val="20"/>
          <w:szCs w:val="20"/>
          <w:lang w:val="es-ES"/>
        </w:rPr>
        <w:br/>
      </w:r>
      <w:r w:rsidRPr="002E0B38">
        <w:rPr>
          <w:rFonts w:ascii="Noto Sans" w:eastAsia="Gill Sans" w:hAnsi="Noto Sans" w:cs="Noto Sans"/>
          <w:b/>
          <w:bCs/>
          <w:sz w:val="20"/>
          <w:szCs w:val="20"/>
          <w:lang w:val="pt-PT"/>
        </w:rPr>
        <w:t>Notas para os editores:</w:t>
      </w:r>
      <w:r w:rsidRPr="002E0B38">
        <w:rPr>
          <w:rFonts w:ascii="Noto Sans" w:eastAsia="Gill Sans" w:hAnsi="Noto Sans" w:cs="Noto Sans"/>
          <w:b/>
          <w:sz w:val="20"/>
          <w:szCs w:val="20"/>
          <w:lang w:val="es-ES"/>
        </w:rPr>
        <w:br/>
      </w:r>
      <w:r w:rsidRPr="002E0B38">
        <w:rPr>
          <w:rFonts w:ascii="Noto Sans" w:eastAsia="Gill Sans" w:hAnsi="Noto Sans" w:cs="Noto Sans"/>
          <w:sz w:val="20"/>
          <w:szCs w:val="20"/>
          <w:lang w:val="es-ES"/>
        </w:rPr>
        <w:br/>
      </w:r>
      <w:r w:rsidRPr="002856FD">
        <w:rPr>
          <w:rFonts w:ascii="Noto Sans" w:hAnsi="Noto Sans" w:cs="Noto Sans"/>
          <w:b/>
          <w:bCs/>
          <w:color w:val="000000" w:themeColor="text1"/>
          <w:sz w:val="20"/>
          <w:szCs w:val="20"/>
          <w:lang w:val="pt"/>
        </w:rPr>
        <w:t>Acerca da Domino</w:t>
      </w:r>
      <w:r>
        <w:rPr>
          <w:rFonts w:ascii="Noto Sans" w:hAnsi="Noto Sans" w:cs="Noto Sans"/>
          <w:b/>
          <w:bCs/>
          <w:color w:val="000000" w:themeColor="text1"/>
          <w:sz w:val="20"/>
          <w:szCs w:val="20"/>
          <w:lang w:val="pt"/>
        </w:rPr>
        <w:br/>
      </w:r>
      <w:r w:rsidRPr="002856FD">
        <w:rPr>
          <w:rFonts w:ascii="Noto Sans" w:hAnsi="Noto Sans" w:cs="Noto Sans"/>
          <w:sz w:val="20"/>
          <w:szCs w:val="20"/>
          <w:lang w:val="pt"/>
        </w:rPr>
        <w:t xml:space="preserve">Desde 1978, a Domino Printing Sciences (Domino) estabeleceu uma reputação global relativamente ao desenvolvimento e fabrico de tecnologias de codificação, marcação e impressão, revelando um idêntico prestígio nos seus produtos de pós-venda e de apoio ao cliente a nível mundial. Atualmente, a Domino oferece uma das mais abrangentes gamas de soluções de codificação, desenvolvidas com o objetivo de satisfazer os requisitos de conformidade e produtividade dos fabricantes em inúmeros setores, incluindo bebidas, produtos alimentares, farmacêuticos e industriais. As principais tecnologias da empresa incluem sistemas inovadores de impressão a jato de tinta, impressão a laser, impressão e aplicação, e impressão por transferência térmica desenvolvidos para a aplicação de dados variáveis, códigos de barras e códigos de rastreabilidade exclusivos em produtos e embalagens. </w:t>
      </w:r>
      <w:r w:rsidRPr="002856FD">
        <w:rPr>
          <w:rFonts w:ascii="Noto Sans" w:hAnsi="Noto Sans" w:cs="Noto Sans"/>
          <w:sz w:val="20"/>
          <w:szCs w:val="20"/>
          <w:lang w:val="pt"/>
        </w:rPr>
        <w:br/>
      </w:r>
      <w:r w:rsidRPr="002856FD">
        <w:rPr>
          <w:rFonts w:ascii="Noto Sans" w:hAnsi="Noto Sans" w:cs="Noto Sans"/>
          <w:sz w:val="20"/>
          <w:szCs w:val="20"/>
          <w:lang w:val="pt"/>
        </w:rPr>
        <w:br/>
        <w:t>A Domino emprega mais de 3 000 pessoas em todo o mundo e comercializa para mais de 120 países através de uma rede global de 29 filiais e mais de 200 distribuidores. As instalações de fabrico da Domino localizam-se na Alemanha, China, EUA, Índia, Reino Unido, Suécia e Suíça.</w:t>
      </w:r>
      <w:r w:rsidRPr="002856FD">
        <w:rPr>
          <w:rFonts w:ascii="Noto Sans" w:hAnsi="Noto Sans" w:cs="Noto Sans"/>
          <w:sz w:val="20"/>
          <w:szCs w:val="20"/>
          <w:lang w:val="pt"/>
        </w:rPr>
        <w:br/>
      </w:r>
      <w:r w:rsidRPr="002856FD">
        <w:rPr>
          <w:rFonts w:ascii="Noto Sans" w:hAnsi="Noto Sans" w:cs="Noto Sans"/>
          <w:sz w:val="20"/>
          <w:szCs w:val="20"/>
          <w:lang w:val="pt"/>
        </w:rPr>
        <w:br/>
        <w:t xml:space="preserve">A Domino tornou-se uma divisão independente da Brother Industries Ltd. a 11 de junho de 2015. </w:t>
      </w:r>
      <w:r w:rsidRPr="002856FD">
        <w:rPr>
          <w:rFonts w:ascii="Noto Sans" w:hAnsi="Noto Sans" w:cs="Noto Sans"/>
          <w:sz w:val="20"/>
          <w:szCs w:val="20"/>
          <w:lang w:val="pt"/>
        </w:rPr>
        <w:br/>
      </w:r>
      <w:r w:rsidRPr="002856FD">
        <w:rPr>
          <w:rFonts w:ascii="Noto Sans" w:hAnsi="Noto Sans" w:cs="Noto Sans"/>
          <w:sz w:val="20"/>
          <w:szCs w:val="20"/>
          <w:lang w:val="pt"/>
        </w:rPr>
        <w:br/>
        <w:t>Para obter mais informações sobre a Domino,</w:t>
      </w:r>
      <w:r w:rsidRPr="002856FD">
        <w:rPr>
          <w:rFonts w:ascii="Noto Sans" w:hAnsi="Noto Sans" w:cs="Noto Sans"/>
          <w:sz w:val="20"/>
          <w:szCs w:val="20"/>
          <w:lang w:val="pt"/>
        </w:rPr>
        <w:br/>
        <w:t xml:space="preserve">visite </w:t>
      </w:r>
      <w:hyperlink r:id="rId9" w:history="1">
        <w:r w:rsidRPr="002856FD">
          <w:rPr>
            <w:rStyle w:val="Hyperlink"/>
            <w:rFonts w:ascii="Noto Sans" w:hAnsi="Noto Sans" w:cs="Noto Sans"/>
            <w:sz w:val="20"/>
            <w:szCs w:val="20"/>
            <w:lang w:val="pt"/>
          </w:rPr>
          <w:t>www.domino-printing.com</w:t>
        </w:r>
      </w:hyperlink>
      <w:r w:rsidRPr="002856FD">
        <w:rPr>
          <w:rFonts w:ascii="Noto Sans" w:hAnsi="Noto Sans" w:cs="Noto Sans"/>
          <w:sz w:val="20"/>
          <w:szCs w:val="20"/>
          <w:lang w:val="pt"/>
        </w:rPr>
        <w:t xml:space="preserve"> </w:t>
      </w:r>
      <w:r w:rsidRPr="002856FD">
        <w:rPr>
          <w:rFonts w:ascii="Noto Sans" w:hAnsi="Noto Sans" w:cs="Noto Sans"/>
          <w:sz w:val="20"/>
          <w:szCs w:val="20"/>
          <w:lang w:val="pt"/>
        </w:rPr>
        <w:br/>
      </w:r>
      <w:r w:rsidRPr="002856FD">
        <w:rPr>
          <w:rFonts w:ascii="Noto Sans" w:hAnsi="Noto Sans" w:cs="Noto Sans"/>
          <w:sz w:val="20"/>
          <w:szCs w:val="20"/>
          <w:lang w:val="pt"/>
        </w:rPr>
        <w:br/>
      </w:r>
      <w:r w:rsidRPr="002856FD">
        <w:rPr>
          <w:rFonts w:ascii="Noto Sans" w:hAnsi="Noto Sans" w:cs="Noto Sans"/>
          <w:b/>
          <w:bCs/>
          <w:sz w:val="20"/>
          <w:szCs w:val="20"/>
          <w:lang w:val="pt"/>
        </w:rPr>
        <w:t>Deverá contactar:</w:t>
      </w:r>
      <w:r w:rsidRPr="002856FD">
        <w:rPr>
          <w:rFonts w:ascii="Noto Sans" w:hAnsi="Noto Sans" w:cs="Noto Sans"/>
          <w:sz w:val="20"/>
          <w:szCs w:val="20"/>
          <w:lang w:val="pt"/>
        </w:rPr>
        <w:br/>
      </w:r>
      <w:r w:rsidRPr="002856FD">
        <w:rPr>
          <w:rFonts w:ascii="Noto Sans" w:hAnsi="Noto Sans" w:cs="Noto Sans"/>
          <w:sz w:val="20"/>
          <w:szCs w:val="20"/>
          <w:lang w:val="pt"/>
        </w:rPr>
        <w:br/>
      </w:r>
      <w:r w:rsidRPr="0085521E">
        <w:rPr>
          <w:rFonts w:ascii="Noto Sans" w:hAnsi="Noto Sans" w:cs="Noto Sans"/>
          <w:sz w:val="20"/>
          <w:szCs w:val="20"/>
          <w:lang w:val="pt"/>
        </w:rPr>
        <w:t>Jade Taylor-Salazar</w:t>
      </w:r>
      <w:r>
        <w:rPr>
          <w:rFonts w:ascii="Noto Sans" w:hAnsi="Noto Sans" w:cs="Noto Sans"/>
          <w:sz w:val="20"/>
          <w:szCs w:val="20"/>
          <w:lang w:val="pt"/>
        </w:rPr>
        <w:br/>
      </w:r>
      <w:r w:rsidRPr="002856FD">
        <w:rPr>
          <w:rFonts w:ascii="Noto Sans" w:hAnsi="Noto Sans" w:cs="Noto Sans"/>
          <w:sz w:val="20"/>
          <w:szCs w:val="20"/>
          <w:lang w:val="pt"/>
        </w:rPr>
        <w:t xml:space="preserve">PR and Content Manager </w:t>
      </w:r>
      <w:r w:rsidRPr="002856FD">
        <w:rPr>
          <w:rFonts w:ascii="Noto Sans" w:hAnsi="Noto Sans" w:cs="Noto Sans"/>
          <w:sz w:val="20"/>
          <w:szCs w:val="20"/>
          <w:lang w:val="pt"/>
        </w:rPr>
        <w:br/>
        <w:t xml:space="preserve">Domino Printing Sciences </w:t>
      </w:r>
      <w:r w:rsidRPr="002856FD">
        <w:rPr>
          <w:rFonts w:ascii="Noto Sans" w:hAnsi="Noto Sans" w:cs="Noto Sans"/>
          <w:sz w:val="20"/>
          <w:szCs w:val="20"/>
          <w:lang w:val="pt"/>
        </w:rPr>
        <w:br/>
        <w:t>Tel.: +44 (0) 1954 778 780</w:t>
      </w:r>
      <w:r w:rsidRPr="002856FD">
        <w:rPr>
          <w:rFonts w:ascii="Noto Sans" w:hAnsi="Noto Sans" w:cs="Noto Sans"/>
          <w:sz w:val="20"/>
          <w:szCs w:val="20"/>
          <w:lang w:val="pt"/>
        </w:rPr>
        <w:br/>
      </w:r>
      <w:hyperlink r:id="rId10" w:history="1">
        <w:r w:rsidRPr="0085521E">
          <w:rPr>
            <w:rStyle w:val="Hyperlink"/>
            <w:rFonts w:ascii="Noto Sans" w:hAnsi="Noto Sans" w:cs="Noto Sans"/>
            <w:sz w:val="20"/>
            <w:szCs w:val="20"/>
            <w:lang w:val="pt"/>
          </w:rPr>
          <w:t>Jade.Taylor-Salazar@domino-uk.com</w:t>
        </w:r>
      </w:hyperlink>
      <w:r w:rsidRPr="0085521E">
        <w:rPr>
          <w:rFonts w:ascii="Noto Sans" w:hAnsi="Noto Sans" w:cs="Noto Sans"/>
          <w:sz w:val="20"/>
          <w:szCs w:val="20"/>
          <w:lang w:val="pt"/>
        </w:rPr>
        <w:t xml:space="preserve"> </w:t>
      </w:r>
      <w:r>
        <w:rPr>
          <w:rFonts w:ascii="Noto Sans" w:hAnsi="Noto Sans" w:cs="Noto Sans"/>
          <w:sz w:val="20"/>
          <w:szCs w:val="20"/>
          <w:lang w:val="pt"/>
        </w:rPr>
        <w:br/>
      </w:r>
      <w:r>
        <w:rPr>
          <w:rFonts w:ascii="Noto Sans" w:hAnsi="Noto Sans" w:cs="Noto Sans"/>
          <w:sz w:val="20"/>
          <w:szCs w:val="20"/>
          <w:lang w:val="pt"/>
        </w:rPr>
        <w:lastRenderedPageBreak/>
        <w:br/>
      </w:r>
      <w:r w:rsidRPr="00A13A74">
        <w:rPr>
          <w:rFonts w:ascii="Noto Sans" w:eastAsiaTheme="minorHAnsi" w:hAnsi="Noto Sans" w:cs="Noto Sans"/>
          <w:sz w:val="20"/>
          <w:szCs w:val="20"/>
          <w:lang w:val="pt-PT"/>
        </w:rPr>
        <w:t>Daniela Ribeiro</w:t>
      </w:r>
      <w:r>
        <w:rPr>
          <w:rFonts w:ascii="Noto Sans" w:eastAsiaTheme="minorHAnsi" w:hAnsi="Noto Sans" w:cs="Noto Sans"/>
          <w:sz w:val="20"/>
          <w:szCs w:val="20"/>
          <w:lang w:val="pt-PT"/>
        </w:rPr>
        <w:br/>
      </w:r>
      <w:r w:rsidRPr="00A13A74">
        <w:rPr>
          <w:rFonts w:ascii="Noto Sans" w:eastAsiaTheme="minorHAnsi" w:hAnsi="Noto Sans" w:cs="Noto Sans"/>
          <w:sz w:val="20"/>
          <w:szCs w:val="20"/>
          <w:lang w:val="pt-PT"/>
        </w:rPr>
        <w:t>Marketing and Communications Executive</w:t>
      </w:r>
      <w:r>
        <w:rPr>
          <w:rFonts w:ascii="Noto Sans" w:eastAsiaTheme="minorHAnsi" w:hAnsi="Noto Sans" w:cs="Noto Sans"/>
          <w:sz w:val="20"/>
          <w:szCs w:val="20"/>
          <w:lang w:val="pt-PT"/>
        </w:rPr>
        <w:br/>
      </w:r>
      <w:r w:rsidRPr="00A13A74">
        <w:rPr>
          <w:rFonts w:ascii="Noto Sans" w:eastAsiaTheme="minorHAnsi" w:hAnsi="Noto Sans" w:cs="Noto Sans"/>
          <w:sz w:val="20"/>
          <w:szCs w:val="20"/>
          <w:lang w:val="pt-PT"/>
        </w:rPr>
        <w:t>Domino Portugal</w:t>
      </w:r>
      <w:r>
        <w:rPr>
          <w:rFonts w:ascii="Noto Sans" w:eastAsiaTheme="minorHAnsi" w:hAnsi="Noto Sans" w:cs="Noto Sans"/>
          <w:sz w:val="20"/>
          <w:szCs w:val="20"/>
          <w:lang w:val="pt-PT"/>
        </w:rPr>
        <w:br/>
      </w:r>
      <w:r w:rsidRPr="00A13A74">
        <w:rPr>
          <w:rFonts w:ascii="Noto Sans" w:eastAsiaTheme="minorHAnsi" w:hAnsi="Noto Sans" w:cs="Noto Sans"/>
          <w:sz w:val="20"/>
          <w:szCs w:val="20"/>
          <w:lang w:val="pt-PT"/>
        </w:rPr>
        <w:t>Tel.: +351 919866148</w:t>
      </w:r>
      <w:r>
        <w:rPr>
          <w:rFonts w:ascii="Noto Sans" w:eastAsiaTheme="minorHAnsi" w:hAnsi="Noto Sans" w:cs="Noto Sans"/>
          <w:sz w:val="20"/>
          <w:szCs w:val="20"/>
          <w:lang w:val="pt-PT"/>
        </w:rPr>
        <w:br/>
      </w:r>
      <w:hyperlink r:id="rId11" w:history="1">
        <w:r w:rsidRPr="00A13A74">
          <w:rPr>
            <w:rStyle w:val="Hyperlink"/>
            <w:rFonts w:ascii="Noto Sans" w:eastAsiaTheme="minorHAnsi" w:hAnsi="Noto Sans" w:cs="Noto Sans"/>
            <w:sz w:val="20"/>
            <w:szCs w:val="20"/>
            <w:lang w:val="pt-PT"/>
          </w:rPr>
          <w:t>Daniela.Ribeiro@domino-portugal.com</w:t>
        </w:r>
      </w:hyperlink>
      <w:r>
        <w:rPr>
          <w:rFonts w:ascii="Noto Sans" w:eastAsiaTheme="minorHAnsi" w:hAnsi="Noto Sans" w:cs="Noto Sans"/>
          <w:sz w:val="22"/>
          <w:lang w:val="pt-PT"/>
        </w:rPr>
        <w:t xml:space="preserve"> </w:t>
      </w:r>
    </w:p>
    <w:bookmarkEnd w:id="1"/>
    <w:p w14:paraId="0D06CDD4" w14:textId="77777777" w:rsidR="003B2143" w:rsidRPr="00A13A74" w:rsidRDefault="003B2143" w:rsidP="003B2143">
      <w:pPr>
        <w:spacing w:after="160" w:line="240" w:lineRule="auto"/>
        <w:rPr>
          <w:rFonts w:ascii="Noto Sans" w:eastAsiaTheme="minorHAnsi" w:hAnsi="Noto Sans" w:cs="Noto Sans"/>
          <w:color w:val="0D0D0D" w:themeColor="text1" w:themeTint="F2"/>
          <w:sz w:val="20"/>
          <w:szCs w:val="20"/>
          <w:lang w:val="pt-PT"/>
        </w:rPr>
      </w:pPr>
    </w:p>
    <w:p w14:paraId="56BB4BDA" w14:textId="77777777" w:rsidR="003B2143" w:rsidRPr="008E7573" w:rsidRDefault="003B2143" w:rsidP="008E7573"/>
    <w:sectPr w:rsidR="003B2143" w:rsidRPr="008E7573" w:rsidSect="000F6D0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07205" w14:textId="77777777" w:rsidR="00B9756A" w:rsidRDefault="00B9756A" w:rsidP="00785717">
      <w:pPr>
        <w:spacing w:line="240" w:lineRule="auto"/>
      </w:pPr>
      <w:r>
        <w:separator/>
      </w:r>
    </w:p>
  </w:endnote>
  <w:endnote w:type="continuationSeparator" w:id="0">
    <w:p w14:paraId="184E454C" w14:textId="77777777" w:rsidR="00B9756A" w:rsidRDefault="00B9756A"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82FF" w:usb1="4000205F" w:usb2="08000029" w:usb3="00000000" w:csb0="0000019F" w:csb1="00000000"/>
  </w:font>
  <w:font w:name="Segoe UI">
    <w:panose1 w:val="020B0502040204020203"/>
    <w:charset w:val="00"/>
    <w:family w:val="swiss"/>
    <w:pitch w:val="variable"/>
    <w:sig w:usb0="E4002EFF" w:usb1="C000E47F" w:usb2="00000009" w:usb3="00000000" w:csb0="000001FF" w:csb1="00000000"/>
  </w:font>
  <w:font w:name="Gill Sans">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F32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23E4" w14:textId="77777777" w:rsidR="00785717" w:rsidRDefault="000F6D00" w:rsidP="00785717">
    <w:pPr>
      <w:pStyle w:val="Footer"/>
    </w:pPr>
    <w:r>
      <w:rPr>
        <w:noProof/>
      </w:rPr>
      <w:drawing>
        <wp:anchor distT="0" distB="0" distL="114300" distR="114300" simplePos="0" relativeHeight="251659264" behindDoc="0" locked="0" layoutInCell="1" allowOverlap="1" wp14:anchorId="5F1A3A08" wp14:editId="0C311E39">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536137F7" wp14:editId="53ACCE9A">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FA95"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9052D" w14:textId="77777777" w:rsidR="00B9756A" w:rsidRDefault="00B9756A" w:rsidP="00785717">
      <w:pPr>
        <w:spacing w:line="240" w:lineRule="auto"/>
      </w:pPr>
      <w:r>
        <w:separator/>
      </w:r>
    </w:p>
  </w:footnote>
  <w:footnote w:type="continuationSeparator" w:id="0">
    <w:p w14:paraId="300AB71D" w14:textId="77777777" w:rsidR="00B9756A" w:rsidRDefault="00B9756A"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E0BA"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D583" w14:textId="77777777" w:rsidR="000F6D00" w:rsidRDefault="002766D9">
    <w:pPr>
      <w:pStyle w:val="Header"/>
    </w:pPr>
    <w:r>
      <w:rPr>
        <w:noProof/>
      </w:rPr>
      <w:drawing>
        <wp:anchor distT="0" distB="0" distL="114300" distR="114300" simplePos="0" relativeHeight="251661312" behindDoc="0" locked="0" layoutInCell="1" allowOverlap="1" wp14:anchorId="652D8042" wp14:editId="1D9E5B1D">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E02A" w14:textId="77777777" w:rsidR="00EC1C5A" w:rsidRDefault="00EC1C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4E7"/>
    <w:multiLevelType w:val="hybridMultilevel"/>
    <w:tmpl w:val="7D884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E35C6D"/>
    <w:multiLevelType w:val="hybridMultilevel"/>
    <w:tmpl w:val="3594D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A60E99"/>
    <w:multiLevelType w:val="hybridMultilevel"/>
    <w:tmpl w:val="52DAC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6367333">
    <w:abstractNumId w:val="0"/>
  </w:num>
  <w:num w:numId="2" w16cid:durableId="44304865">
    <w:abstractNumId w:val="1"/>
  </w:num>
  <w:num w:numId="3" w16cid:durableId="1796555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4D"/>
    <w:rsid w:val="0002201E"/>
    <w:rsid w:val="000F6D00"/>
    <w:rsid w:val="00113106"/>
    <w:rsid w:val="001D743C"/>
    <w:rsid w:val="002766D9"/>
    <w:rsid w:val="002C3337"/>
    <w:rsid w:val="00326B32"/>
    <w:rsid w:val="00372E92"/>
    <w:rsid w:val="003B2143"/>
    <w:rsid w:val="005272B1"/>
    <w:rsid w:val="005524DB"/>
    <w:rsid w:val="005741C7"/>
    <w:rsid w:val="0060122E"/>
    <w:rsid w:val="00647055"/>
    <w:rsid w:val="00660F46"/>
    <w:rsid w:val="00682566"/>
    <w:rsid w:val="00785717"/>
    <w:rsid w:val="008220B7"/>
    <w:rsid w:val="00823B77"/>
    <w:rsid w:val="008916A8"/>
    <w:rsid w:val="008B6461"/>
    <w:rsid w:val="008E7573"/>
    <w:rsid w:val="008F3E38"/>
    <w:rsid w:val="008F74D8"/>
    <w:rsid w:val="00931996"/>
    <w:rsid w:val="00943A95"/>
    <w:rsid w:val="009A1716"/>
    <w:rsid w:val="009A1DEC"/>
    <w:rsid w:val="009D6280"/>
    <w:rsid w:val="009E564D"/>
    <w:rsid w:val="00A34918"/>
    <w:rsid w:val="00AB11DA"/>
    <w:rsid w:val="00B23C3C"/>
    <w:rsid w:val="00B546C5"/>
    <w:rsid w:val="00B9756A"/>
    <w:rsid w:val="00BC7C15"/>
    <w:rsid w:val="00C063FE"/>
    <w:rsid w:val="00C44603"/>
    <w:rsid w:val="00C541FE"/>
    <w:rsid w:val="00CF1AD5"/>
    <w:rsid w:val="00E03029"/>
    <w:rsid w:val="00EC1C5A"/>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75E0C"/>
  <w15:chartTrackingRefBased/>
  <w15:docId w15:val="{C5FE791E-4976-45BD-8795-31D7E3D9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 w:type="paragraph" w:styleId="ListParagraph">
    <w:name w:val="List Paragraph"/>
    <w:basedOn w:val="Normal"/>
    <w:uiPriority w:val="34"/>
    <w:qFormat/>
    <w:rsid w:val="003B2143"/>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CommentReference">
    <w:name w:val="annotation reference"/>
    <w:basedOn w:val="DefaultParagraphFont"/>
    <w:uiPriority w:val="99"/>
    <w:semiHidden/>
    <w:unhideWhenUsed/>
    <w:rsid w:val="003B2143"/>
    <w:rPr>
      <w:sz w:val="16"/>
      <w:szCs w:val="16"/>
    </w:rPr>
  </w:style>
  <w:style w:type="paragraph" w:styleId="CommentText">
    <w:name w:val="annotation text"/>
    <w:basedOn w:val="Normal"/>
    <w:link w:val="CommentTextChar"/>
    <w:uiPriority w:val="99"/>
    <w:unhideWhenUsed/>
    <w:rsid w:val="003B2143"/>
    <w:pPr>
      <w:spacing w:after="160" w:line="240" w:lineRule="auto"/>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3B2143"/>
    <w:rPr>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mino-printing.com/pt-pt/company/corporate-social-responsibility?utm_medium=non-paid&amp;utm_source=onlinepublication&amp;utm_content=csr-report-2025-pr-pt&amp;utm_campaign=2026-int-pt-global-pr-cm-fy26-q2"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omino-printing.com/pt-pt/news-and-events/news.aspx?utm_medium=non-paid&amp;utm_source=onlinepublication&amp;utm_content=csr-report-2025-pr-pt&amp;utm_campaign=2026-int-pt-global-pr-cm-fy26-q2"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niela.Ribeiro@domino-portugal.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Jade.Taylor-Salazar@domino-uk.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domino-printing.pt"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_Taylor-Salazar\AppData\Roaming\Microsoft\Templates\header%20and%20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header and footer</Template>
  <TotalTime>2</TotalTime>
  <Pages>5</Pages>
  <Words>1584</Words>
  <Characters>9032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Taylor-Salazar</dc:creator>
  <cp:keywords/>
  <dc:description/>
  <cp:lastModifiedBy>Rachael Cooper</cp:lastModifiedBy>
  <cp:revision>2</cp:revision>
  <dcterms:created xsi:type="dcterms:W3CDTF">2026-09-02T14:54:00Z</dcterms:created>
  <dcterms:modified xsi:type="dcterms:W3CDTF">2026-09-02T14:54:00Z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8c460ca5-f23d-4821-b40e-ba4a1f2458c0</vt:lpwstr>
  </property>
</Properties>
</file>