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7AADD" w14:textId="77777777" w:rsidR="002D6822" w:rsidRPr="002D6822" w:rsidRDefault="002D6822" w:rsidP="002D6822">
      <w:pPr>
        <w:spacing w:before="120" w:after="120" w:line="240" w:lineRule="auto"/>
        <w:rPr>
          <w:rFonts w:ascii="Noto Sans" w:eastAsia="Times New Roman" w:hAnsi="Noto Sans" w:cs="Noto Sans"/>
          <w:sz w:val="28"/>
          <w:szCs w:val="28"/>
        </w:rPr>
      </w:pPr>
      <w:r w:rsidRPr="002D6822">
        <w:rPr>
          <w:rFonts w:ascii="Noto Sans" w:eastAsia="Times New Roman" w:hAnsi="Noto Sans" w:cs="Noto Sans"/>
          <w:sz w:val="28"/>
          <w:szCs w:val="28"/>
          <w:lang w:val="es-ES"/>
        </w:rPr>
        <w:t xml:space="preserve">Domino avanza en su camino hacia las cero emisiones netas en el informe de RSC de 2025 </w:t>
      </w:r>
    </w:p>
    <w:p w14:paraId="711739E8" w14:textId="262657FF" w:rsidR="002D6822" w:rsidRPr="002D6822" w:rsidRDefault="002D6822" w:rsidP="002D6822">
      <w:pPr>
        <w:spacing w:before="120" w:after="120" w:line="240" w:lineRule="auto"/>
        <w:rPr>
          <w:rFonts w:ascii="Noto Sans" w:eastAsia="Times New Roman" w:hAnsi="Noto Sans" w:cs="Noto Sans"/>
          <w:b/>
          <w:bCs/>
          <w:sz w:val="22"/>
        </w:rPr>
      </w:pPr>
      <w:r w:rsidRPr="002D6822">
        <w:rPr>
          <w:rFonts w:ascii="Noto Sans" w:eastAsia="Times New Roman" w:hAnsi="Noto Sans" w:cs="Noto Sans"/>
          <w:b/>
          <w:bCs/>
          <w:sz w:val="22"/>
          <w:lang w:val="es-ES"/>
        </w:rPr>
        <w:t>El último informe de RSC de Domino destaca los avances en áreas clave, como el rendimiento medioambiental, las personas, la sociedad y los clientes.</w:t>
      </w:r>
    </w:p>
    <w:p w14:paraId="23157E48" w14:textId="7A33483D" w:rsidR="002D6822" w:rsidRPr="002D6822" w:rsidRDefault="002D6822" w:rsidP="002D6822">
      <w:pPr>
        <w:spacing w:before="120" w:after="120" w:line="240" w:lineRule="auto"/>
        <w:rPr>
          <w:rFonts w:ascii="Noto Sans" w:eastAsia="Times New Roman" w:hAnsi="Noto Sans" w:cs="Noto Sans"/>
          <w:sz w:val="22"/>
        </w:rPr>
      </w:pPr>
      <w:hyperlink r:id="rId7" w:history="1">
        <w:r w:rsidRPr="002D6822">
          <w:rPr>
            <w:rStyle w:val="Hyperlink"/>
            <w:rFonts w:ascii="Noto Sans" w:eastAsia="Times New Roman" w:hAnsi="Noto Sans" w:cs="Noto Sans"/>
            <w:sz w:val="22"/>
            <w:lang w:val="es-ES"/>
          </w:rPr>
          <w:t xml:space="preserve">Domino Printing </w:t>
        </w:r>
        <w:proofErr w:type="spellStart"/>
        <w:r w:rsidRPr="002D6822">
          <w:rPr>
            <w:rStyle w:val="Hyperlink"/>
            <w:rFonts w:ascii="Noto Sans" w:eastAsia="Times New Roman" w:hAnsi="Noto Sans" w:cs="Noto Sans"/>
            <w:sz w:val="22"/>
            <w:lang w:val="es-ES"/>
          </w:rPr>
          <w:t>Sciences</w:t>
        </w:r>
        <w:proofErr w:type="spellEnd"/>
        <w:r w:rsidRPr="002D6822">
          <w:rPr>
            <w:rStyle w:val="Hyperlink"/>
            <w:rFonts w:ascii="Noto Sans" w:eastAsia="Times New Roman" w:hAnsi="Noto Sans" w:cs="Noto Sans"/>
            <w:sz w:val="22"/>
            <w:lang w:val="es-ES"/>
          </w:rPr>
          <w:t xml:space="preserve"> (Domino)</w:t>
        </w:r>
      </w:hyperlink>
      <w:r w:rsidRPr="002D6822">
        <w:rPr>
          <w:rFonts w:ascii="Noto Sans" w:eastAsia="Times New Roman" w:hAnsi="Noto Sans" w:cs="Noto Sans"/>
          <w:sz w:val="22"/>
          <w:lang w:val="es-ES"/>
        </w:rPr>
        <w:t xml:space="preserve"> ha publicado su informe de responsabilidad social corporativa (RSC) del ejercicio contable 2025, en el que destaca avances medibles en rendimiento medioambiental, prácticas empresariales responsables, desarrollo de las personas y atención al cliente. El informe demuestra cómo Domino está integrando la sostenibilidad en todas sus operaciones, al tiempo que ayuda a sus clientes a alcanzar sus propios objetivos medioambientales y empresariales. </w:t>
      </w:r>
    </w:p>
    <w:p w14:paraId="0A9A5385"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El informe detalla los avances en cuatro áreas fundamentales:</w:t>
      </w:r>
    </w:p>
    <w:p w14:paraId="5D82D41B" w14:textId="77777777" w:rsidR="002D6822" w:rsidRPr="002D6822" w:rsidRDefault="002D6822" w:rsidP="002D6822">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Medioambiental: reducción de emisiones, aumento del uso de energías renovables y mejora de la circularidad.</w:t>
      </w:r>
    </w:p>
    <w:p w14:paraId="7F0FF1E3" w14:textId="77777777" w:rsidR="002D6822" w:rsidRPr="002D6822" w:rsidRDefault="002D6822" w:rsidP="002D6822">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Personas: creación de una cultura inclusiva que desarrolla el talento, apoya el bienestar e invierte en los líderes del futuro.</w:t>
      </w:r>
    </w:p>
    <w:p w14:paraId="21BF88C1" w14:textId="77777777" w:rsidR="002D6822" w:rsidRPr="002D6822" w:rsidRDefault="002D6822" w:rsidP="002D6822">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Sociedad: apoyo a las comunidades locales y generación de un impacto social positivo.</w:t>
      </w:r>
    </w:p>
    <w:p w14:paraId="4BEE0E2F" w14:textId="77777777" w:rsidR="002D6822" w:rsidRPr="002D6822" w:rsidRDefault="002D6822" w:rsidP="002D6822">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Clientes: ayuda a las organizaciones a cumplir sus objetivos de productividad y sostenibilidad mediante innovadoras soluciones de codificación y marcaje e impresión digital. </w:t>
      </w:r>
    </w:p>
    <w:p w14:paraId="06A2F227"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 xml:space="preserve">El informe expone cómo Domino sigue desarrollando soluciones más sostenibles que ayudan a los clientes a reducir los residuos, mejorar la eficiencia de la fabricación, minimizar el consumo de materiales y respaldar sus propios objetivos de sostenibilidad. </w:t>
      </w:r>
    </w:p>
    <w:p w14:paraId="343063D0"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 xml:space="preserve">"La sostenibilidad se está convirtiendo cada vez más en un requisito empresarial para los fabricantes de todo el mundo. Nuestros resultados del ejercicio contable 2025 demuestran que un progreso medioambiental y social significativo y un sólido rendimiento empresarial pueden ir de la mano", afirma Jessica Büttner, Group CSR </w:t>
      </w:r>
      <w:proofErr w:type="gramStart"/>
      <w:r w:rsidRPr="002D6822">
        <w:rPr>
          <w:rFonts w:ascii="Noto Sans" w:eastAsia="Times New Roman" w:hAnsi="Noto Sans" w:cs="Noto Sans"/>
          <w:sz w:val="22"/>
          <w:lang w:val="es-ES"/>
        </w:rPr>
        <w:t>Director</w:t>
      </w:r>
      <w:proofErr w:type="gramEnd"/>
      <w:r w:rsidRPr="002D6822">
        <w:rPr>
          <w:rFonts w:ascii="Noto Sans" w:eastAsia="Times New Roman" w:hAnsi="Noto Sans" w:cs="Noto Sans"/>
          <w:sz w:val="22"/>
          <w:lang w:val="es-ES"/>
        </w:rPr>
        <w:t xml:space="preserve"> de Domino. "Nos comprometemos a lograr avances medibles año tras año: reduciendo las emisiones, mejorando la circularidad, reforzando el abastecimiento responsable y ayudando a los clientes a alcanzar sus propios objetivos de sostenibilidad. Como empresa, seguimos centrados en ofrecer soluciones sostenibles que apoyen a nuestros clientes, respeten el medio ambiente y las comunidades en las que operamos, y creen un lugar de trabajo en el que las personas puedan desarrollarse y contribuir a nuestro éxito a largo plazo".</w:t>
      </w:r>
    </w:p>
    <w:p w14:paraId="3F71EB65"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lastRenderedPageBreak/>
        <w:t xml:space="preserve">El informe de responsabilidad corporativa (RSC) de Domino destaca los avances logrados por la empresa en áreas clave, como el desempeño medioambiental, las personas, la sociedad y los clientes. </w:t>
      </w:r>
    </w:p>
    <w:p w14:paraId="10604A73"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 xml:space="preserve">Los aspectos más destacados del informe del ejercicio contable 2025 incluyen: </w:t>
      </w:r>
    </w:p>
    <w:p w14:paraId="5914DF90" w14:textId="77777777" w:rsidR="002D6822" w:rsidRPr="002D6822" w:rsidRDefault="002D6822" w:rsidP="002D6822">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Se aumentó la generación de energía solar hasta el 70%, ya que más instalaciones de Domino pasaron a utilizar electricidad 100% renovable. </w:t>
      </w:r>
    </w:p>
    <w:p w14:paraId="10D18396" w14:textId="77777777" w:rsidR="002D6822" w:rsidRPr="002D6822" w:rsidRDefault="002D6822" w:rsidP="002D6822">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Se alcanzó una tasa interna de reciclaje del 95,3%, minimizando los residuos y maximizando la recuperación de recursos.</w:t>
      </w:r>
    </w:p>
    <w:p w14:paraId="50B1D706" w14:textId="77777777" w:rsidR="002D6822" w:rsidRPr="002D6822" w:rsidRDefault="002D6822" w:rsidP="002D6822">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Se mejoró la sostenibilidad de los envases: el 96% de los envases para clientes ya es reciclable e incorpora hasta un 75% de materiales reciclados.</w:t>
      </w:r>
    </w:p>
    <w:p w14:paraId="5192F099"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Estos logros respaldan el objetivo de Domino de alcanzar la neutralidad de carbono en las emisiones de alcance 1 y 2 para 2030 y las emisiones netas cero para 2050.</w:t>
      </w:r>
    </w:p>
    <w:p w14:paraId="0D24FB3F"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Más allá de sus logros medioambientales, el informe de Domino destaca los avances en sus objetivos de RSC relacionados con las personas, la sociedad y los clientes.</w:t>
      </w:r>
    </w:p>
    <w:p w14:paraId="5EC7554F" w14:textId="77777777" w:rsidR="002D6822" w:rsidRPr="002D6822" w:rsidRDefault="002D6822" w:rsidP="002D6822">
      <w:pPr>
        <w:pStyle w:val="ListParagraph"/>
        <w:numPr>
          <w:ilvl w:val="0"/>
          <w:numId w:val="3"/>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Se aumentó la representación femenina en el lugar de trabajo: las mujeres representaron un 10% más de las nuevas contrataciones y ocuparon un 2% más de puestos de alta dirección. </w:t>
      </w:r>
    </w:p>
    <w:p w14:paraId="2020A519" w14:textId="77777777" w:rsidR="002D6822" w:rsidRPr="002D6822" w:rsidRDefault="002D6822" w:rsidP="002D6822">
      <w:pPr>
        <w:pStyle w:val="ListParagraph"/>
        <w:numPr>
          <w:ilvl w:val="0"/>
          <w:numId w:val="3"/>
        </w:numPr>
        <w:spacing w:before="120" w:after="120" w:line="240" w:lineRule="auto"/>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Se redujo la brecha salarial de género en Reino Unido en un 5,6%.  </w:t>
      </w:r>
    </w:p>
    <w:p w14:paraId="1F6A6B0E" w14:textId="77777777" w:rsidR="002D6822" w:rsidRPr="002D6822" w:rsidRDefault="002D6822" w:rsidP="002D6822">
      <w:pPr>
        <w:pStyle w:val="ListParagraph"/>
        <w:numPr>
          <w:ilvl w:val="0"/>
          <w:numId w:val="3"/>
        </w:numPr>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Se reforzaron las prácticas empresariales responsables: el 95% del gasto en inventario está cubierto por proveedores que cumplen plenamente los requisitos. </w:t>
      </w:r>
    </w:p>
    <w:p w14:paraId="5099A9B0" w14:textId="77777777" w:rsidR="002D6822" w:rsidRPr="002D6822" w:rsidRDefault="002D6822" w:rsidP="002D6822">
      <w:pPr>
        <w:pStyle w:val="ListParagraph"/>
        <w:numPr>
          <w:ilvl w:val="0"/>
          <w:numId w:val="3"/>
        </w:numPr>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Se ampliaron las capacidades de compras sostenibles: el 85% de los empleados del equipo global de cadena de suministro completó la formación en compras sostenibles.</w:t>
      </w:r>
    </w:p>
    <w:p w14:paraId="320FA838" w14:textId="77777777" w:rsidR="002D6822" w:rsidRPr="002D6822" w:rsidRDefault="002D6822" w:rsidP="002D6822">
      <w:pPr>
        <w:pStyle w:val="ListParagraph"/>
        <w:numPr>
          <w:ilvl w:val="0"/>
          <w:numId w:val="3"/>
        </w:numPr>
        <w:spacing w:after="0" w:line="300" w:lineRule="atLeast"/>
        <w:rPr>
          <w:rFonts w:ascii="Noto Sans" w:eastAsia="Times New Roman" w:hAnsi="Noto Sans" w:cs="Noto Sans"/>
          <w:kern w:val="0"/>
          <w:sz w:val="22"/>
          <w:szCs w:val="22"/>
          <w14:ligatures w14:val="none"/>
        </w:rPr>
      </w:pPr>
      <w:r w:rsidRPr="002D6822">
        <w:rPr>
          <w:rFonts w:ascii="Noto Sans" w:eastAsia="Times New Roman" w:hAnsi="Noto Sans" w:cs="Noto Sans"/>
          <w:kern w:val="0"/>
          <w:sz w:val="22"/>
          <w:szCs w:val="22"/>
          <w:lang w:val="es-ES"/>
          <w14:ligatures w14:val="none"/>
        </w:rPr>
        <w:t xml:space="preserve">Se aumentó el Net </w:t>
      </w:r>
      <w:proofErr w:type="spellStart"/>
      <w:r w:rsidRPr="002D6822">
        <w:rPr>
          <w:rFonts w:ascii="Noto Sans" w:eastAsia="Times New Roman" w:hAnsi="Noto Sans" w:cs="Noto Sans"/>
          <w:kern w:val="0"/>
          <w:sz w:val="22"/>
          <w:szCs w:val="22"/>
          <w:lang w:val="es-ES"/>
          <w14:ligatures w14:val="none"/>
        </w:rPr>
        <w:t>Promoter</w:t>
      </w:r>
      <w:proofErr w:type="spellEnd"/>
      <w:r w:rsidRPr="002D6822">
        <w:rPr>
          <w:rFonts w:ascii="Noto Sans" w:eastAsia="Times New Roman" w:hAnsi="Noto Sans" w:cs="Noto Sans"/>
          <w:kern w:val="0"/>
          <w:sz w:val="22"/>
          <w:szCs w:val="22"/>
          <w:lang w:val="es-ES"/>
          <w14:ligatures w14:val="none"/>
        </w:rPr>
        <w:t xml:space="preserve"> Score global de 82 a 85 y se mantuvo un alto indicador de utilidad para el cliente de 4,6 sobre 5. </w:t>
      </w:r>
    </w:p>
    <w:p w14:paraId="1DB539AC"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Büttner añadió: "Los informes transparentes de RSC nos permiten mantener conversaciones sinceras con nuestros clientes, no solo sobre el impacto positivo que estamos generando, sino también sobre el trabajo que aún nos queda por hacer. También nos ayudan a respaldar a los clientes para que alcancen sus propias ambiciones de sostenibilidad. Los resultados de este año muestran avances positivos hacia nuestros objetivos actuales, mientras que nuestras altas puntuaciones de satisfacción del cliente demuestran que seguimos aportando valor y que sigue siendo fácil hacer negocios con nosotros".</w:t>
      </w:r>
    </w:p>
    <w:p w14:paraId="4C724058"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 xml:space="preserve">"La sostenibilidad sigue siendo una parte integral de nuestra forma de operar como empresa y de crear valor para nuestros clientes", afirma Robert Pulford, CEO de Domino. "Los avances destacados en este informe reflejan nuestro compromiso con </w:t>
      </w:r>
      <w:r w:rsidRPr="002D6822">
        <w:rPr>
          <w:rFonts w:ascii="Noto Sans" w:eastAsia="Times New Roman" w:hAnsi="Noto Sans" w:cs="Noto Sans"/>
          <w:sz w:val="22"/>
          <w:lang w:val="es-ES"/>
        </w:rPr>
        <w:lastRenderedPageBreak/>
        <w:t>nuestra red global de expertos y demuestran que el éxito empresarial a largo plazo y una gestión medioambiental responsable van de la mano. Los avances destacados en este informe reflejan el compromiso de nuestro personal en todo el mundo y el trabajo que hemos realizado para crear una organización inclusiva y de alto rendimiento, capaz de respaldar un crecimiento sostenible tanto para los clientes como para las comunidades".</w:t>
      </w:r>
    </w:p>
    <w:p w14:paraId="561B4709"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 xml:space="preserve">El informe de responsabilidad corporativa (RSC) de Domino sigue los estándares de la Global </w:t>
      </w:r>
      <w:proofErr w:type="spellStart"/>
      <w:r w:rsidRPr="002D6822">
        <w:rPr>
          <w:rFonts w:ascii="Noto Sans" w:eastAsia="Times New Roman" w:hAnsi="Noto Sans" w:cs="Noto Sans"/>
          <w:sz w:val="22"/>
          <w:lang w:val="es-ES"/>
        </w:rPr>
        <w:t>Reporting</w:t>
      </w:r>
      <w:proofErr w:type="spellEnd"/>
      <w:r w:rsidRPr="002D6822">
        <w:rPr>
          <w:rFonts w:ascii="Noto Sans" w:eastAsia="Times New Roman" w:hAnsi="Noto Sans" w:cs="Noto Sans"/>
          <w:sz w:val="22"/>
          <w:lang w:val="es-ES"/>
        </w:rPr>
        <w:t xml:space="preserve"> </w:t>
      </w:r>
      <w:proofErr w:type="spellStart"/>
      <w:r w:rsidRPr="002D6822">
        <w:rPr>
          <w:rFonts w:ascii="Noto Sans" w:eastAsia="Times New Roman" w:hAnsi="Noto Sans" w:cs="Noto Sans"/>
          <w:sz w:val="22"/>
          <w:lang w:val="es-ES"/>
        </w:rPr>
        <w:t>Initiative</w:t>
      </w:r>
      <w:proofErr w:type="spellEnd"/>
      <w:r w:rsidRPr="002D6822">
        <w:rPr>
          <w:rFonts w:ascii="Noto Sans" w:eastAsia="Times New Roman" w:hAnsi="Noto Sans" w:cs="Noto Sans"/>
          <w:sz w:val="22"/>
          <w:lang w:val="es-ES"/>
        </w:rPr>
        <w:t xml:space="preserve"> (GRI), un marco reconocido internacionalmente que ayuda a los clientes a comprender cómo se compara el desempeño medioambiental de Domino con el de otras empresas del sector. El informe ofrece información sobre cómo Domino está reduciendo su impacto medioambiental y ayudando a los clientes a reducir su huella de carbono.</w:t>
      </w:r>
    </w:p>
    <w:p w14:paraId="6F8100A7" w14:textId="77777777" w:rsidR="002D6822" w:rsidRPr="002D6822" w:rsidRDefault="002D6822" w:rsidP="002D6822">
      <w:pPr>
        <w:spacing w:before="120" w:after="120" w:line="240" w:lineRule="auto"/>
        <w:rPr>
          <w:rFonts w:ascii="Noto Sans" w:eastAsia="Times New Roman" w:hAnsi="Noto Sans" w:cs="Noto Sans"/>
          <w:sz w:val="22"/>
        </w:rPr>
      </w:pPr>
      <w:r w:rsidRPr="002D6822">
        <w:rPr>
          <w:rFonts w:ascii="Noto Sans" w:eastAsia="Times New Roman" w:hAnsi="Noto Sans" w:cs="Noto Sans"/>
          <w:sz w:val="22"/>
          <w:lang w:val="es-ES"/>
        </w:rPr>
        <w:t>De cara al futuro, Domino seguirá avanzando en su hoja de ruta para reducir las emisiones de carbono, ampliando el uso de energías renovables, reforzando sus iniciativas de economía circular para productos y envases, y colaborando estrechamente con proveedores y clientes para reducir las emisiones en toda la cadena de valor.</w:t>
      </w:r>
    </w:p>
    <w:p w14:paraId="43030572" w14:textId="704693AF" w:rsidR="002D6822" w:rsidRDefault="002D6822" w:rsidP="002D6822">
      <w:pPr>
        <w:spacing w:before="120" w:after="120" w:line="240" w:lineRule="auto"/>
        <w:rPr>
          <w:rFonts w:ascii="Noto Sans" w:eastAsia="Times New Roman" w:hAnsi="Noto Sans" w:cs="Noto Sans"/>
          <w:sz w:val="22"/>
          <w:lang w:val="es-ES"/>
        </w:rPr>
      </w:pPr>
      <w:r w:rsidRPr="002D6822">
        <w:rPr>
          <w:rFonts w:ascii="Noto Sans" w:eastAsia="Times New Roman" w:hAnsi="Noto Sans" w:cs="Noto Sans"/>
          <w:sz w:val="22"/>
          <w:lang w:val="es-ES"/>
        </w:rPr>
        <w:t xml:space="preserve">El informe completo de responsabilidad corporativa (RSC) del ejercicio contable 2025 está disponible en las </w:t>
      </w:r>
      <w:hyperlink r:id="rId8" w:history="1">
        <w:r w:rsidRPr="002D6822">
          <w:rPr>
            <w:rStyle w:val="Hyperlink"/>
            <w:rFonts w:ascii="Noto Sans" w:eastAsia="Times New Roman" w:hAnsi="Noto Sans" w:cs="Noto Sans"/>
            <w:sz w:val="22"/>
            <w:lang w:val="es-ES"/>
          </w:rPr>
          <w:t>páginas web de responsabilidad social corporativa</w:t>
        </w:r>
      </w:hyperlink>
      <w:r w:rsidRPr="002D6822">
        <w:rPr>
          <w:rFonts w:ascii="Noto Sans" w:eastAsia="Times New Roman" w:hAnsi="Noto Sans" w:cs="Noto Sans"/>
          <w:sz w:val="22"/>
          <w:lang w:val="es-ES"/>
        </w:rPr>
        <w:t xml:space="preserve"> de Domino y proporciona datos detallados sobre el desempeño, objetivos y ejemplos que ilustran cómo Domino trabaja para reducir su impacto medioambiental, al tiempo que apoya a clientes, empleados y comunidades de todo el mundo.</w:t>
      </w:r>
    </w:p>
    <w:p w14:paraId="281B3B53" w14:textId="77777777" w:rsidR="002D6822" w:rsidRDefault="002D6822" w:rsidP="002D6822">
      <w:pPr>
        <w:spacing w:before="120" w:after="120" w:line="240" w:lineRule="auto"/>
        <w:rPr>
          <w:rFonts w:ascii="Noto Sans" w:eastAsia="Times New Roman" w:hAnsi="Noto Sans" w:cs="Noto Sans"/>
          <w:sz w:val="22"/>
          <w:lang w:val="es-ES"/>
        </w:rPr>
      </w:pPr>
    </w:p>
    <w:p w14:paraId="0ED34F77" w14:textId="5BFD866F" w:rsidR="002D6822" w:rsidRDefault="002D6822" w:rsidP="002D6822">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&lt;</w:t>
      </w:r>
      <w:r w:rsidRPr="002D6822">
        <w:rPr>
          <w:rFonts w:ascii="Noto Sans" w:eastAsia="Times New Roman" w:hAnsi="Noto Sans" w:cs="Noto Sans"/>
          <w:b/>
          <w:bCs/>
          <w:sz w:val="22"/>
          <w:lang w:val="es-ES"/>
        </w:rPr>
        <w:t>FIN</w:t>
      </w:r>
      <w:r>
        <w:rPr>
          <w:rFonts w:ascii="Noto Sans" w:eastAsia="Times New Roman" w:hAnsi="Noto Sans" w:cs="Noto Sans"/>
          <w:sz w:val="22"/>
          <w:lang w:val="es-ES"/>
        </w:rPr>
        <w:t>&gt;</w:t>
      </w:r>
    </w:p>
    <w:p w14:paraId="524C80FF" w14:textId="77777777" w:rsidR="002D6822" w:rsidRDefault="002D6822" w:rsidP="002D6822">
      <w:pPr>
        <w:spacing w:line="240" w:lineRule="auto"/>
        <w:rPr>
          <w:rFonts w:ascii="Noto Sans" w:hAnsi="Noto Sans" w:cs="Noto Sans"/>
          <w:b/>
          <w:bCs/>
          <w:sz w:val="20"/>
          <w:szCs w:val="20"/>
          <w:lang w:val="es"/>
        </w:rPr>
      </w:pPr>
      <w:bookmarkStart w:id="0" w:name="_Hlk531088985"/>
    </w:p>
    <w:p w14:paraId="5DE1F1C1" w14:textId="4647F9F2" w:rsidR="002D6822" w:rsidRDefault="002D6822" w:rsidP="002D6822">
      <w:pPr>
        <w:spacing w:line="240" w:lineRule="auto"/>
        <w:rPr>
          <w:rFonts w:ascii="Noto Sans" w:hAnsi="Noto Sans" w:cs="Noto Sans"/>
          <w:b/>
          <w:bCs/>
          <w:sz w:val="20"/>
          <w:szCs w:val="20"/>
          <w:lang w:val="es"/>
        </w:rPr>
      </w:pPr>
      <w:r>
        <w:rPr>
          <w:rFonts w:ascii="Noto Sans" w:hAnsi="Noto Sans" w:cs="Noto Sans"/>
          <w:b/>
          <w:bCs/>
          <w:sz w:val="20"/>
          <w:szCs w:val="20"/>
          <w:lang w:val="es"/>
        </w:rPr>
        <w:t>Descargo de responsabilidad</w:t>
      </w:r>
      <w:bookmarkEnd w:id="0"/>
      <w:r>
        <w:rPr>
          <w:rFonts w:ascii="Noto Sans" w:hAnsi="Noto Sans" w:cs="Noto Sans"/>
          <w:b/>
          <w:bCs/>
          <w:sz w:val="20"/>
          <w:szCs w:val="20"/>
          <w:lang w:val="es"/>
        </w:rPr>
        <w:br/>
      </w:r>
      <w:r>
        <w:rPr>
          <w:rFonts w:ascii="Noto Sans" w:hAnsi="Noto Sans" w:cs="Noto Sans"/>
          <w:b/>
          <w:bCs/>
          <w:sz w:val="20"/>
          <w:szCs w:val="20"/>
          <w:lang w:val="es"/>
        </w:rPr>
        <w:br/>
        <w:t>Tintas</w:t>
      </w:r>
      <w:r>
        <w:rPr>
          <w:rFonts w:ascii="Noto Sans" w:hAnsi="Noto Sans" w:cs="Noto Sans"/>
          <w:sz w:val="20"/>
          <w:szCs w:val="20"/>
          <w:lang w:val="es"/>
        </w:rPr>
        <w:br/>
      </w:r>
      <w:r w:rsidRPr="008123AF">
        <w:rPr>
          <w:rFonts w:ascii="Noto Sans" w:hAnsi="Noto Sans" w:cs="Noto Sans"/>
          <w:sz w:val="20"/>
          <w:szCs w:val="20"/>
          <w:lang w:val="es"/>
        </w:rPr>
        <w:t xml:space="preserve">La información contenida en este documento no pretende sustituir la realización de las pruebas correspondientes a su uso y circunstancias específicas. Ni Domino UK </w:t>
      </w:r>
      <w:proofErr w:type="spellStart"/>
      <w:r w:rsidRPr="008123AF">
        <w:rPr>
          <w:rFonts w:ascii="Noto Sans" w:hAnsi="Noto Sans" w:cs="Noto Sans"/>
          <w:sz w:val="20"/>
          <w:szCs w:val="20"/>
          <w:lang w:val="es"/>
        </w:rPr>
        <w:t>Limited</w:t>
      </w:r>
      <w:proofErr w:type="spellEnd"/>
      <w:r w:rsidRPr="008123AF">
        <w:rPr>
          <w:rFonts w:ascii="Noto Sans" w:hAnsi="Noto Sans" w:cs="Noto Sans"/>
          <w:sz w:val="20"/>
          <w:szCs w:val="20"/>
          <w:lang w:val="es"/>
        </w:rPr>
        <w:t xml:space="preserve"> ni ninguna de las empresas del grupo Domino es responsable en ninguna medida del hecho de que usted pueda 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r>
        <w:rPr>
          <w:rFonts w:ascii="Noto Sans" w:hAnsi="Noto Sans" w:cs="Noto Sans"/>
          <w:sz w:val="20"/>
          <w:szCs w:val="20"/>
          <w:lang w:val="es"/>
        </w:rPr>
        <w:br/>
      </w:r>
      <w:r>
        <w:rPr>
          <w:rFonts w:ascii="Noto Sans" w:hAnsi="Noto Sans" w:cs="Noto Sans"/>
          <w:sz w:val="20"/>
          <w:szCs w:val="20"/>
          <w:lang w:val="es-ES"/>
        </w:rPr>
        <w:br/>
      </w:r>
      <w:r>
        <w:rPr>
          <w:rFonts w:ascii="Noto Sans" w:hAnsi="Noto Sans" w:cs="Noto Sans"/>
          <w:b/>
          <w:bCs/>
          <w:sz w:val="20"/>
          <w:szCs w:val="20"/>
          <w:lang w:val="es"/>
        </w:rPr>
        <w:t>Información general</w:t>
      </w:r>
      <w:r>
        <w:rPr>
          <w:rFonts w:ascii="Noto Sans" w:hAnsi="Noto Sans" w:cs="Noto Sans"/>
          <w:sz w:val="20"/>
          <w:szCs w:val="20"/>
          <w:lang w:val="es"/>
        </w:rPr>
        <w:br/>
        <w:t xml:space="preserve">La información contenida en este comunicado de prensa se considera verdadera y correcta en la fecha de publicación de Domino; los cambios en las circunstancias tras el momento de </w:t>
      </w:r>
      <w:r>
        <w:rPr>
          <w:rFonts w:ascii="Noto Sans" w:hAnsi="Noto Sans" w:cs="Noto Sans"/>
          <w:sz w:val="20"/>
          <w:szCs w:val="20"/>
          <w:lang w:val="es"/>
        </w:rPr>
        <w:lastRenderedPageBreak/>
        <w:t xml:space="preserve">publicación pueden afectar a la precisión de </w:t>
      </w:r>
      <w:proofErr w:type="gramStart"/>
      <w:r>
        <w:rPr>
          <w:rFonts w:ascii="Noto Sans" w:hAnsi="Noto Sans" w:cs="Noto Sans"/>
          <w:sz w:val="20"/>
          <w:szCs w:val="20"/>
          <w:lang w:val="es"/>
        </w:rPr>
        <w:t>la misma</w:t>
      </w:r>
      <w:proofErr w:type="gramEnd"/>
      <w:r>
        <w:rPr>
          <w:rFonts w:ascii="Noto Sans" w:hAnsi="Noto Sans" w:cs="Noto Sans"/>
          <w:sz w:val="20"/>
          <w:szCs w:val="20"/>
          <w:lang w:val="es"/>
        </w:rPr>
        <w:t xml:space="preserve">. </w:t>
      </w:r>
      <w:r w:rsidRPr="008123AF">
        <w:rPr>
          <w:rFonts w:ascii="Noto Sans" w:hAnsi="Noto Sans" w:cs="Noto Sans"/>
          <w:sz w:val="20"/>
          <w:szCs w:val="20"/>
          <w:lang w:val="es"/>
        </w:rPr>
        <w:t>Todas las cifras y alegaciones de rendimiento que constan en este documento han sido obtenidas en condiciones específicas y solo pueden ser reproducidas en circunstancias similares. Deberá ponerse en contacto con su asesor de ventas de Domino para más información sobre productos concretos. Este documento no forma parte de ningún escrito de términos y condiciones entre usted y Domino.</w:t>
      </w:r>
      <w:r>
        <w:rPr>
          <w:rFonts w:ascii="Noto Sans" w:hAnsi="Noto Sans" w:cs="Noto Sans"/>
          <w:sz w:val="20"/>
          <w:szCs w:val="20"/>
          <w:lang w:val="es"/>
        </w:rPr>
        <w:br/>
      </w:r>
    </w:p>
    <w:p w14:paraId="400460E4" w14:textId="77777777" w:rsidR="002D6822" w:rsidRPr="005B2ACC" w:rsidRDefault="002D6822" w:rsidP="002D6822">
      <w:pPr>
        <w:spacing w:line="240" w:lineRule="auto"/>
        <w:rPr>
          <w:rFonts w:ascii="Noto Sans" w:hAnsi="Noto Sans" w:cs="Noto Sans"/>
          <w:sz w:val="20"/>
          <w:szCs w:val="20"/>
        </w:rPr>
      </w:pP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r>
        <w:rPr>
          <w:rFonts w:ascii="Noto Sans" w:hAnsi="Noto Sans" w:cs="Noto Sans"/>
          <w:sz w:val="20"/>
          <w:szCs w:val="20"/>
          <w:lang w:val="es"/>
        </w:rPr>
        <w:br/>
      </w:r>
      <w:bookmarkStart w:id="1" w:name="_Hlk61949672"/>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Acerca de Domino</w:t>
      </w:r>
      <w:r>
        <w:rPr>
          <w:rFonts w:ascii="Noto Sans" w:hAnsi="Noto Sans" w:cs="Noto Sans"/>
          <w:sz w:val="20"/>
          <w:szCs w:val="20"/>
          <w:lang w:val="es"/>
        </w:rPr>
        <w:br/>
      </w:r>
      <w:proofErr w:type="spellStart"/>
      <w:r>
        <w:rPr>
          <w:rFonts w:ascii="Noto Sans" w:hAnsi="Noto Sans" w:cs="Noto Sans"/>
          <w:sz w:val="20"/>
          <w:szCs w:val="20"/>
          <w:lang w:val="es"/>
        </w:rPr>
        <w:t>Domino</w:t>
      </w:r>
      <w:proofErr w:type="spellEnd"/>
      <w:r>
        <w:rPr>
          <w:rFonts w:ascii="Noto Sans" w:hAnsi="Noto Sans" w:cs="Noto Sans"/>
          <w:sz w:val="20"/>
          <w:szCs w:val="20"/>
          <w:lang w:val="es"/>
        </w:rPr>
        <w:t xml:space="preserve">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cumplimiento y de productividad de los fabricantes en numerosos sectores, entre los que destacan la industria de alimentos y bebidas, el sector farmacéutico y el industrial. Entre las tecnologías principales de la empresa se encuentran innovadores sistemas </w:t>
      </w:r>
      <w:proofErr w:type="spellStart"/>
      <w:r>
        <w:rPr>
          <w:rFonts w:ascii="Noto Sans" w:hAnsi="Noto Sans" w:cs="Noto Sans"/>
          <w:sz w:val="20"/>
          <w:szCs w:val="20"/>
          <w:lang w:val="es"/>
        </w:rPr>
        <w:t>inkjet</w:t>
      </w:r>
      <w:proofErr w:type="spellEnd"/>
      <w:r>
        <w:rPr>
          <w:rFonts w:ascii="Noto Sans" w:hAnsi="Noto Sans" w:cs="Noto Sans"/>
          <w:sz w:val="20"/>
          <w:szCs w:val="20"/>
          <w:lang w:val="es"/>
        </w:rPr>
        <w:t xml:space="preserve">,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Domino cuenta con más de 3000 colaboradores en todo el mundo y vende a más de 120 países a través de una red global de 29 filiales y más de 200 distribuidores. Domino posee fábricas en 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9"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lastRenderedPageBreak/>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w:t>
      </w:r>
      <w:r>
        <w:rPr>
          <w:rFonts w:ascii="Noto Sans" w:hAnsi="Noto Sans" w:cs="Noto Sans"/>
          <w:sz w:val="20"/>
          <w:szCs w:val="20"/>
          <w:lang w:val="es"/>
        </w:rPr>
        <w:br/>
        <w:t>Tel.: +44 1954 778 780</w:t>
      </w:r>
      <w:r>
        <w:rPr>
          <w:rFonts w:ascii="Noto Sans" w:hAnsi="Noto Sans" w:cs="Noto Sans"/>
          <w:sz w:val="20"/>
          <w:szCs w:val="20"/>
          <w:lang w:val="es"/>
        </w:rPr>
        <w:br/>
      </w:r>
      <w:hyperlink r:id="rId10"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t xml:space="preserve">Dafne Petracca </w:t>
      </w:r>
      <w:r w:rsidRPr="005B2ACC">
        <w:rPr>
          <w:rFonts w:ascii="Noto Sans" w:hAnsi="Noto Sans" w:cs="Noto Sans"/>
          <w:sz w:val="20"/>
          <w:szCs w:val="20"/>
        </w:rPr>
        <w:t>Rodríguez</w:t>
      </w:r>
    </w:p>
    <w:p w14:paraId="5C62574E" w14:textId="0305D443" w:rsidR="002D6822" w:rsidRDefault="002D6822" w:rsidP="002D6822">
      <w:pPr>
        <w:spacing w:before="120" w:after="120" w:line="240" w:lineRule="auto"/>
        <w:rPr>
          <w:rFonts w:ascii="Noto Sans" w:eastAsia="Times New Roman" w:hAnsi="Noto Sans" w:cs="Noto Sans"/>
          <w:sz w:val="22"/>
          <w:lang w:val="es-ES"/>
        </w:rPr>
      </w:pPr>
      <w:r>
        <w:rPr>
          <w:rFonts w:ascii="Noto Sans" w:hAnsi="Noto Sans" w:cs="Noto Sans"/>
          <w:sz w:val="20"/>
          <w:szCs w:val="20"/>
          <w:lang w:val="es"/>
        </w:rPr>
        <w:t>Coordinadora de marketing</w:t>
      </w:r>
      <w:r>
        <w:rPr>
          <w:rFonts w:ascii="Noto Sans" w:hAnsi="Noto Sans" w:cs="Noto Sans"/>
          <w:sz w:val="20"/>
          <w:szCs w:val="20"/>
          <w:lang w:val="es"/>
        </w:rPr>
        <w:br/>
        <w:t>Domino España</w:t>
      </w:r>
      <w:r>
        <w:rPr>
          <w:rFonts w:ascii="Noto Sans" w:hAnsi="Noto Sans" w:cs="Noto Sans"/>
          <w:sz w:val="20"/>
          <w:szCs w:val="20"/>
          <w:lang w:val="es"/>
        </w:rPr>
        <w:br/>
        <w:t>Tel.: +34 616 074 252</w:t>
      </w:r>
      <w:r>
        <w:rPr>
          <w:rFonts w:ascii="Noto Sans" w:hAnsi="Noto Sans" w:cs="Noto Sans"/>
          <w:sz w:val="20"/>
          <w:szCs w:val="20"/>
          <w:lang w:val="es"/>
        </w:rPr>
        <w:br/>
      </w:r>
      <w:hyperlink r:id="rId11" w:history="1">
        <w:r>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p>
    <w:p w14:paraId="14D652FB" w14:textId="63AD057F" w:rsidR="002D6822" w:rsidRPr="002D6822" w:rsidRDefault="002D6822" w:rsidP="002D6822">
      <w:pPr>
        <w:spacing w:before="120" w:after="120" w:line="240" w:lineRule="auto"/>
        <w:rPr>
          <w:rFonts w:ascii="Noto Sans" w:hAnsi="Noto Sans" w:cs="Noto Sans"/>
          <w:sz w:val="22"/>
        </w:rPr>
      </w:pPr>
    </w:p>
    <w:p w14:paraId="53EB7C38" w14:textId="77777777" w:rsidR="005524DB" w:rsidRPr="002D6822" w:rsidRDefault="005524DB" w:rsidP="008E7573">
      <w:pPr>
        <w:rPr>
          <w:rFonts w:ascii="Noto Sans" w:hAnsi="Noto Sans" w:cs="Noto Sans"/>
          <w:sz w:val="22"/>
        </w:rPr>
      </w:pPr>
    </w:p>
    <w:sectPr w:rsidR="005524DB" w:rsidRPr="002D6822"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C0CC" w14:textId="77777777" w:rsidR="00E21190" w:rsidRDefault="00E21190" w:rsidP="00785717">
      <w:pPr>
        <w:spacing w:line="240" w:lineRule="auto"/>
      </w:pPr>
      <w:r>
        <w:separator/>
      </w:r>
    </w:p>
  </w:endnote>
  <w:endnote w:type="continuationSeparator" w:id="0">
    <w:p w14:paraId="0A407C94" w14:textId="77777777" w:rsidR="00E21190" w:rsidRDefault="00E21190"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4935" w14:textId="77777777" w:rsidR="00E21190" w:rsidRDefault="00E21190" w:rsidP="00785717">
      <w:pPr>
        <w:spacing w:line="240" w:lineRule="auto"/>
      </w:pPr>
      <w:r>
        <w:separator/>
      </w:r>
    </w:p>
  </w:footnote>
  <w:footnote w:type="continuationSeparator" w:id="0">
    <w:p w14:paraId="5559FA20" w14:textId="77777777" w:rsidR="00E21190" w:rsidRDefault="00E21190"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4E7"/>
    <w:multiLevelType w:val="hybridMultilevel"/>
    <w:tmpl w:val="7D88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E35C6D"/>
    <w:multiLevelType w:val="hybridMultilevel"/>
    <w:tmpl w:val="3594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60E99"/>
    <w:multiLevelType w:val="hybridMultilevel"/>
    <w:tmpl w:val="52DA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367333">
    <w:abstractNumId w:val="0"/>
  </w:num>
  <w:num w:numId="2" w16cid:durableId="44304865">
    <w:abstractNumId w:val="1"/>
  </w:num>
  <w:num w:numId="3" w16cid:durableId="1796555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2D6822"/>
    <w:rsid w:val="00372E92"/>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681B"/>
    <w:rsid w:val="00BC7C15"/>
    <w:rsid w:val="00C063FE"/>
    <w:rsid w:val="00C44603"/>
    <w:rsid w:val="00C541FE"/>
    <w:rsid w:val="00CF1AD5"/>
    <w:rsid w:val="00E03029"/>
    <w:rsid w:val="00E21190"/>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ListParagraph">
    <w:name w:val="List Paragraph"/>
    <w:basedOn w:val="Normal"/>
    <w:uiPriority w:val="34"/>
    <w:qFormat/>
    <w:rsid w:val="002D682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CommentReference">
    <w:name w:val="annotation reference"/>
    <w:basedOn w:val="DefaultParagraphFont"/>
    <w:uiPriority w:val="99"/>
    <w:semiHidden/>
    <w:unhideWhenUsed/>
    <w:rsid w:val="002D6822"/>
    <w:rPr>
      <w:sz w:val="16"/>
      <w:szCs w:val="16"/>
    </w:rPr>
  </w:style>
  <w:style w:type="paragraph" w:styleId="CommentText">
    <w:name w:val="annotation text"/>
    <w:basedOn w:val="Normal"/>
    <w:link w:val="CommentTextChar"/>
    <w:uiPriority w:val="99"/>
    <w:unhideWhenUsed/>
    <w:rsid w:val="002D6822"/>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2D6822"/>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s-es/company/corporate-social-responsibility?utm_medium=non-paid&amp;utm_source=onlinepublication&amp;utm_content=csr-report-2025-pr-es&amp;utm_campaign=2026-int-es-global-pr-cm-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mino-printing.com/es-es/news-and-events/news.aspx?utm_medium=non-paid&amp;utm_source=onlinepublication&amp;utm_content=csr-report-2025-pr-es&amp;utm_campaign=2026-int-es-global-pr-cm-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fne.petracca@domino-spain.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ps.local\Group\Domino\Marketing\Group_Marketing\Brand_Content_&amp;_PR_Marketing\PR\Press%20Releases\1%20PR%20info\Regional%20disclaimer%20and%20boilerplate\www.domino-spai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TotalTime>
  <Pages>5</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2026-08-27T11:23:00Z</dcterms:created>
  <dcterms:modified xsi:type="dcterms:W3CDTF">2026-08-27T11:23:00Z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