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0"/>
      </w:tblGrid>
      <w:tr w:rsidR="00E332AD" w:rsidRPr="00E332AD" w14:paraId="2123EBBA" w14:textId="77777777" w:rsidTr="00E332AD">
        <w:trPr>
          <w:trHeight w:val="285"/>
        </w:trPr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F3E84F" w14:textId="7C0C3F26" w:rsidR="00E332AD" w:rsidRPr="00E332AD" w:rsidRDefault="001A19D2" w:rsidP="00E332AD">
            <w:pPr>
              <w:pStyle w:val="Intitul"/>
              <w:rPr>
                <w:lang w:val="pl-PL"/>
              </w:rPr>
            </w:pPr>
            <w:r>
              <w:rPr>
                <w:lang w:val="en-GB"/>
              </w:rPr>
              <w:t xml:space="preserve">Informacja prasowa </w:t>
            </w:r>
            <w:r w:rsidR="00E332AD" w:rsidRPr="00E332AD">
              <w:rPr>
                <w:lang w:val="pl-PL"/>
              </w:rPr>
              <w:t> </w:t>
            </w:r>
          </w:p>
        </w:tc>
      </w:tr>
      <w:tr w:rsidR="00E332AD" w:rsidRPr="00E332AD" w14:paraId="617DD7EC" w14:textId="77777777" w:rsidTr="00E332AD">
        <w:trPr>
          <w:trHeight w:val="285"/>
        </w:trPr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170DEB" w14:textId="2930565E" w:rsidR="00E332AD" w:rsidRPr="00E332AD" w:rsidRDefault="001A19D2" w:rsidP="00E332AD">
            <w:pPr>
              <w:pStyle w:val="Intitul"/>
              <w:rPr>
                <w:lang w:val="pl-PL"/>
              </w:rPr>
            </w:pPr>
            <w:r>
              <w:rPr>
                <w:lang w:val="en-GB"/>
              </w:rPr>
              <w:t>4 września</w:t>
            </w:r>
            <w:r w:rsidR="00E332AD" w:rsidRPr="00E332AD">
              <w:rPr>
                <w:lang w:val="en-GB"/>
              </w:rPr>
              <w:t>, 2026</w:t>
            </w:r>
            <w:r w:rsidR="00E332AD" w:rsidRPr="00E332AD">
              <w:rPr>
                <w:lang w:val="pl-PL"/>
              </w:rPr>
              <w:t> </w:t>
            </w:r>
          </w:p>
        </w:tc>
      </w:tr>
    </w:tbl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8C0B76" w:rsidRPr="005D2323" w14:paraId="394AEAF4" w14:textId="77777777" w:rsidTr="00F47D26">
        <w:trPr>
          <w:trHeight w:hRule="exact" w:val="851"/>
        </w:trPr>
        <w:tc>
          <w:tcPr>
            <w:tcW w:w="8504" w:type="dxa"/>
          </w:tcPr>
          <w:p w14:paraId="3AE9E033" w14:textId="77777777" w:rsidR="008C0B76" w:rsidRPr="005D2323" w:rsidRDefault="008C0B76" w:rsidP="008C0B76">
            <w:pPr>
              <w:jc w:val="right"/>
              <w:rPr>
                <w:color w:val="auto"/>
                <w:sz w:val="28"/>
                <w:szCs w:val="28"/>
                <w:lang w:val="en-GB"/>
              </w:rPr>
            </w:pPr>
          </w:p>
        </w:tc>
      </w:tr>
    </w:tbl>
    <w:p w14:paraId="5A683833" w14:textId="47A28E7B" w:rsidR="00AC3FFF" w:rsidRPr="00DA399C" w:rsidRDefault="00AC3FFF" w:rsidP="00BD5506">
      <w:pPr>
        <w:pStyle w:val="Textedesaisie"/>
        <w:jc w:val="center"/>
        <w:rPr>
          <w:rFonts w:asciiTheme="majorHAnsi" w:eastAsiaTheme="majorEastAsia" w:hAnsiTheme="majorHAnsi" w:cstheme="majorBidi"/>
          <w:b/>
          <w:color w:val="1D8CBC" w:themeColor="accent5"/>
          <w:sz w:val="36"/>
          <w:szCs w:val="36"/>
          <w:lang w:val="pl-PL"/>
        </w:rPr>
      </w:pPr>
      <w:r w:rsidRPr="00DA399C">
        <w:rPr>
          <w:rFonts w:asciiTheme="majorHAnsi" w:eastAsiaTheme="majorEastAsia" w:hAnsiTheme="majorHAnsi" w:cstheme="majorBidi"/>
          <w:b/>
          <w:color w:val="1D8CBC" w:themeColor="accent5"/>
          <w:sz w:val="36"/>
          <w:szCs w:val="36"/>
          <w:lang w:val="pl-PL"/>
        </w:rPr>
        <w:t xml:space="preserve">ENGIE </w:t>
      </w:r>
      <w:r w:rsidR="00DA399C" w:rsidRPr="00DA399C">
        <w:rPr>
          <w:rFonts w:asciiTheme="majorHAnsi" w:eastAsiaTheme="majorEastAsia" w:hAnsiTheme="majorHAnsi" w:cstheme="majorBidi"/>
          <w:b/>
          <w:color w:val="1D8CBC" w:themeColor="accent5"/>
          <w:sz w:val="36"/>
          <w:szCs w:val="36"/>
          <w:lang w:val="pl-PL"/>
        </w:rPr>
        <w:t>z kolejną strategiczna i</w:t>
      </w:r>
      <w:r w:rsidR="00DA399C">
        <w:rPr>
          <w:rFonts w:asciiTheme="majorHAnsi" w:eastAsiaTheme="majorEastAsia" w:hAnsiTheme="majorHAnsi" w:cstheme="majorBidi"/>
          <w:b/>
          <w:color w:val="1D8CBC" w:themeColor="accent5"/>
          <w:sz w:val="36"/>
          <w:szCs w:val="36"/>
          <w:lang w:val="pl-PL"/>
        </w:rPr>
        <w:t>nwestycją</w:t>
      </w:r>
      <w:r w:rsidR="0080121D">
        <w:rPr>
          <w:rFonts w:asciiTheme="majorHAnsi" w:eastAsiaTheme="majorEastAsia" w:hAnsiTheme="majorHAnsi" w:cstheme="majorBidi"/>
          <w:b/>
          <w:color w:val="1D8CBC" w:themeColor="accent5"/>
          <w:sz w:val="36"/>
          <w:szCs w:val="36"/>
          <w:lang w:val="pl-PL"/>
        </w:rPr>
        <w:t>. W centralnej Polsce powstanie wielkoskalowy magazyn energii o mocy 438 MW</w:t>
      </w:r>
    </w:p>
    <w:p w14:paraId="627C4B3E" w14:textId="77777777" w:rsidR="00E375F1" w:rsidRPr="00DA399C" w:rsidRDefault="00E375F1" w:rsidP="00275C3C">
      <w:pPr>
        <w:pStyle w:val="Textedesaisie"/>
        <w:jc w:val="center"/>
        <w:rPr>
          <w:rFonts w:asciiTheme="majorHAnsi" w:eastAsiaTheme="majorEastAsia" w:hAnsiTheme="majorHAnsi" w:cstheme="majorBidi"/>
          <w:b/>
          <w:color w:val="1D8CBC" w:themeColor="accent5"/>
          <w:sz w:val="36"/>
          <w:szCs w:val="36"/>
          <w:lang w:val="pl-PL"/>
        </w:rPr>
      </w:pPr>
    </w:p>
    <w:p w14:paraId="6E7F8BFE" w14:textId="0A8CD405" w:rsidR="00B30092" w:rsidRPr="0046745E" w:rsidRDefault="00B30092" w:rsidP="00B30092">
      <w:pPr>
        <w:pStyle w:val="Textedesaisie"/>
        <w:rPr>
          <w:b/>
          <w:sz w:val="22"/>
          <w:lang w:val="pl-PL"/>
        </w:rPr>
      </w:pPr>
      <w:r w:rsidRPr="0046745E">
        <w:rPr>
          <w:b/>
          <w:sz w:val="22"/>
          <w:lang w:val="pl-PL"/>
        </w:rPr>
        <w:t>ENGIE Zielona Energia sfinalizowała transakcję nabycia spółki celowej</w:t>
      </w:r>
      <w:r>
        <w:rPr>
          <w:b/>
          <w:sz w:val="22"/>
          <w:lang w:val="pl-PL"/>
        </w:rPr>
        <w:t xml:space="preserve"> (SPV)</w:t>
      </w:r>
      <w:r w:rsidRPr="0046745E">
        <w:rPr>
          <w:b/>
          <w:sz w:val="22"/>
          <w:lang w:val="pl-PL"/>
        </w:rPr>
        <w:t xml:space="preserve"> odpowiedzialnej za rozwój wielkoskalowego magazynu energii</w:t>
      </w:r>
      <w:r w:rsidR="00D03B56">
        <w:rPr>
          <w:b/>
          <w:sz w:val="22"/>
          <w:lang w:val="pl-PL"/>
        </w:rPr>
        <w:t xml:space="preserve"> (BESS)</w:t>
      </w:r>
      <w:r w:rsidRPr="0046745E">
        <w:rPr>
          <w:b/>
          <w:sz w:val="22"/>
          <w:lang w:val="pl-PL"/>
        </w:rPr>
        <w:t xml:space="preserve"> zlokalizowanego w Trębaczewie, w województwie łódzkim. Bateryjna instalacja o planowanej mocy</w:t>
      </w:r>
      <w:r w:rsidR="002117DE">
        <w:rPr>
          <w:b/>
          <w:sz w:val="22"/>
          <w:lang w:val="pl-PL"/>
        </w:rPr>
        <w:t xml:space="preserve"> / pojemności</w:t>
      </w:r>
      <w:r w:rsidRPr="0046745E">
        <w:rPr>
          <w:b/>
          <w:sz w:val="22"/>
          <w:lang w:val="pl-PL"/>
        </w:rPr>
        <w:t xml:space="preserve"> 438 MW</w:t>
      </w:r>
      <w:r w:rsidR="00133EB8">
        <w:rPr>
          <w:b/>
          <w:sz w:val="22"/>
          <w:lang w:val="pl-PL"/>
        </w:rPr>
        <w:t xml:space="preserve"> / 876 MWh</w:t>
      </w:r>
      <w:r w:rsidRPr="0046745E">
        <w:rPr>
          <w:b/>
          <w:sz w:val="22"/>
          <w:lang w:val="pl-PL"/>
        </w:rPr>
        <w:t xml:space="preserve"> stanowi kolejny, po niedawno ogłoszonej inwestycji w Tursku Wielkim,</w:t>
      </w:r>
      <w:r>
        <w:rPr>
          <w:b/>
          <w:sz w:val="22"/>
          <w:lang w:val="pl-PL"/>
        </w:rPr>
        <w:t xml:space="preserve"> </w:t>
      </w:r>
      <w:r w:rsidRPr="0046745E">
        <w:rPr>
          <w:b/>
          <w:sz w:val="22"/>
          <w:lang w:val="pl-PL"/>
        </w:rPr>
        <w:t>kluczowy krok Grupy na drodze do budowy solidnego portfela aktywów wspierających stabilność polskiego miksu energetycznego. Transakcja ta potwierdza długoterminowe zaangażowanie ENGIE w transformację krajowego sektora elektroenergetycznego, a nowo nabyte aktywo pozwoli na efektywniejsze zarządzanie rosnącą ilością energii ze źródeł odnawialnych w centralnej Polsce.</w:t>
      </w:r>
    </w:p>
    <w:p w14:paraId="219589D0" w14:textId="77777777" w:rsidR="00EB00CE" w:rsidRPr="00B30092" w:rsidRDefault="00EB00CE" w:rsidP="00EB00CE">
      <w:pPr>
        <w:pStyle w:val="Textedesaisie"/>
        <w:rPr>
          <w:lang w:val="pl-PL"/>
        </w:rPr>
      </w:pPr>
    </w:p>
    <w:p w14:paraId="4FD324D6" w14:textId="678CA9DB" w:rsidR="005D6D7A" w:rsidRPr="0046745E" w:rsidRDefault="005D6D7A" w:rsidP="005D6D7A">
      <w:pPr>
        <w:pStyle w:val="Textedesaisie"/>
        <w:rPr>
          <w:lang w:val="pl-PL"/>
        </w:rPr>
      </w:pPr>
      <w:r w:rsidRPr="0046745E">
        <w:rPr>
          <w:lang w:val="pl-PL"/>
        </w:rPr>
        <w:t xml:space="preserve">Projekt w gminie Działoszyn, który w początkowych fazach był rozwijany przez firmy </w:t>
      </w:r>
      <w:r w:rsidR="009C6945" w:rsidRPr="009C6945">
        <w:rPr>
          <w:lang w:val="pl-PL"/>
        </w:rPr>
        <w:t xml:space="preserve">Mithra </w:t>
      </w:r>
      <w:r w:rsidR="0012623F">
        <w:rPr>
          <w:lang w:val="pl-PL"/>
        </w:rPr>
        <w:t>Energy</w:t>
      </w:r>
      <w:r w:rsidR="009C6945" w:rsidRPr="009C6945">
        <w:rPr>
          <w:lang w:val="pl-PL"/>
        </w:rPr>
        <w:t xml:space="preserve"> </w:t>
      </w:r>
      <w:r w:rsidRPr="0046745E">
        <w:rPr>
          <w:lang w:val="pl-PL"/>
        </w:rPr>
        <w:t xml:space="preserve">oraz </w:t>
      </w:r>
      <w:r w:rsidR="00B4275B" w:rsidRPr="00B4275B">
        <w:rPr>
          <w:lang w:val="pl-PL"/>
        </w:rPr>
        <w:t xml:space="preserve">Futureal Investment Partners, </w:t>
      </w:r>
      <w:r w:rsidR="00B4275B">
        <w:rPr>
          <w:lang w:val="pl-PL"/>
        </w:rPr>
        <w:t>człon</w:t>
      </w:r>
      <w:r w:rsidR="00822F8B">
        <w:rPr>
          <w:lang w:val="pl-PL"/>
        </w:rPr>
        <w:t>ka</w:t>
      </w:r>
      <w:r w:rsidR="00B4275B">
        <w:rPr>
          <w:lang w:val="pl-PL"/>
        </w:rPr>
        <w:t xml:space="preserve"> </w:t>
      </w:r>
      <w:r w:rsidR="00B4275B" w:rsidRPr="00B4275B">
        <w:rPr>
          <w:lang w:val="pl-PL"/>
        </w:rPr>
        <w:t>Futureal Group</w:t>
      </w:r>
      <w:r w:rsidRPr="0046745E">
        <w:rPr>
          <w:lang w:val="pl-PL"/>
        </w:rPr>
        <w:t xml:space="preserve">, ma zgodnie z przyjętym harmonogramem prac osiągnąć status gotowości do budowy (ready-to-build) </w:t>
      </w:r>
      <w:r>
        <w:rPr>
          <w:lang w:val="pl-PL"/>
        </w:rPr>
        <w:t>w czwartym kwartale 2026</w:t>
      </w:r>
      <w:r w:rsidRPr="0046745E">
        <w:rPr>
          <w:lang w:val="pl-PL"/>
        </w:rPr>
        <w:t xml:space="preserve"> roku. Oddanie inwestycji do eksploatacji zaplanowano natomiast na pierwszy kwartał 2029 roku. O strategicznym potencjale tego przedsięwzięcia decyduje w dużej mierze jego infrastrukturalne otoczenie, ponieważ magazyn zostanie bezpośrednio podłączony do stacji elektroenergetycznej Trębaczew. Umiejscowienie wielkoskalowego systemu bateryjnego w tak newralgicznym punkcie ułatwi wyprowadzenie mocy, znacząco odciąży lokalną infrastrukturę przesyłową i zwiększy ogólną pewność zasilania w całym regionie.</w:t>
      </w:r>
    </w:p>
    <w:p w14:paraId="679F7081" w14:textId="77777777" w:rsidR="007D4B3C" w:rsidRPr="005D6D7A" w:rsidRDefault="007D4B3C" w:rsidP="00FF7578">
      <w:pPr>
        <w:pStyle w:val="Textedesaisie"/>
        <w:rPr>
          <w:lang w:val="pl-PL"/>
        </w:rPr>
      </w:pPr>
    </w:p>
    <w:p w14:paraId="629F0539" w14:textId="5C5928DF" w:rsidR="007D4B3C" w:rsidRPr="00DF494C" w:rsidRDefault="007D4B3C" w:rsidP="007D4B3C">
      <w:pPr>
        <w:pStyle w:val="Textedesaisie"/>
        <w:rPr>
          <w:b/>
          <w:bCs/>
          <w:lang w:val="pl-PL"/>
        </w:rPr>
      </w:pPr>
      <w:r w:rsidRPr="00C015B5">
        <w:rPr>
          <w:i/>
          <w:iCs/>
          <w:lang w:val="pl-PL"/>
        </w:rPr>
        <w:t>"</w:t>
      </w:r>
      <w:r w:rsidR="00C015B5" w:rsidRPr="0046745E">
        <w:rPr>
          <w:i/>
          <w:iCs/>
          <w:lang w:val="pl-PL"/>
        </w:rPr>
        <w:t>Rozbudowa portfela wielkoskalowych magazynów energii to dla nas priorytetowy kierunek, ponieważ instalacje te stanowią niezbędny fundament dla nowoczesnej, opartej na odnawialnych źródłach gospodarki. Inwestycja w Trębaczewie, podobnie jak nasz wcześniej ogłoszony projekt w województwie świętokrzyskim, to realizacja strategii, w której elastyczność i niezawodność sieci traktujemy jako kluczowe wyzwanie. Zabezpieczenie tak znaczących mocy operacyjnych pozwala optymalizować zarządzanie wyprodukowaną energią i wymiernie wzmacnia rynkową pozycję ENGIE w kraju</w:t>
      </w:r>
      <w:r w:rsidR="00C015B5">
        <w:rPr>
          <w:i/>
          <w:iCs/>
          <w:lang w:val="pl-PL"/>
        </w:rPr>
        <w:t>.</w:t>
      </w:r>
      <w:r w:rsidRPr="00C015B5">
        <w:rPr>
          <w:i/>
          <w:iCs/>
          <w:lang w:val="pl-PL"/>
        </w:rPr>
        <w:t>"</w:t>
      </w:r>
      <w:r w:rsidRPr="00C015B5">
        <w:rPr>
          <w:lang w:val="pl-PL"/>
        </w:rPr>
        <w:t xml:space="preserve"> </w:t>
      </w:r>
      <w:r w:rsidR="00DF494C">
        <w:rPr>
          <w:lang w:val="pl-PL"/>
        </w:rPr>
        <w:t xml:space="preserve">- </w:t>
      </w:r>
      <w:r w:rsidR="00DF494C" w:rsidRPr="0046745E">
        <w:rPr>
          <w:lang w:val="pl-PL"/>
        </w:rPr>
        <w:t xml:space="preserve">podkreśla </w:t>
      </w:r>
      <w:r w:rsidR="00DF494C" w:rsidRPr="00DF494C">
        <w:rPr>
          <w:b/>
          <w:bCs/>
          <w:lang w:val="pl-PL"/>
        </w:rPr>
        <w:t>Piotr Rogóż, Country Manager ENGIE Polska.</w:t>
      </w:r>
    </w:p>
    <w:p w14:paraId="43B18EDE" w14:textId="77777777" w:rsidR="00D93BDF" w:rsidRPr="00C015B5" w:rsidRDefault="00D93BDF" w:rsidP="007D4B3C">
      <w:pPr>
        <w:pStyle w:val="Textedesaisie"/>
        <w:rPr>
          <w:lang w:val="pl-PL"/>
        </w:rPr>
      </w:pPr>
    </w:p>
    <w:p w14:paraId="0B043CE6" w14:textId="6C5F9482" w:rsidR="00D93BDF" w:rsidRDefault="00D33D7B" w:rsidP="00F27B14">
      <w:pPr>
        <w:pStyle w:val="Textedesaisie"/>
        <w:rPr>
          <w:lang w:val="pl-PL"/>
        </w:rPr>
      </w:pPr>
      <w:r w:rsidRPr="0046745E">
        <w:rPr>
          <w:lang w:val="pl-PL"/>
        </w:rPr>
        <w:t xml:space="preserve">Rozwój wielkoskalowych magazynów energii to obecnie jeden z najbardziej wyrazistych trendów w światowej transformacji, co znajduje bezpośrednie odzwierciedlenie w najnowszych danych rynkowych. Zgodnie z opublikowanym </w:t>
      </w:r>
      <w:r>
        <w:rPr>
          <w:lang w:val="pl-PL"/>
        </w:rPr>
        <w:t xml:space="preserve">w lipcu 2026 </w:t>
      </w:r>
      <w:r w:rsidRPr="0046745E">
        <w:rPr>
          <w:lang w:val="pl-PL"/>
        </w:rPr>
        <w:t xml:space="preserve">raportem „Energy Storage Outlook H1 2026”, przygotowanym przez analityków Bloomberg New Energy Finance (BNEF), ubiegły rok zamknął </w:t>
      </w:r>
      <w:r w:rsidRPr="0046745E">
        <w:rPr>
          <w:lang w:val="pl-PL"/>
        </w:rPr>
        <w:lastRenderedPageBreak/>
        <w:t>się globalnie rekordowym wolumenem nowych instalacji o mocy 112 GW (307 GWh)</w:t>
      </w:r>
      <w:r>
        <w:rPr>
          <w:rStyle w:val="FootnoteReference"/>
        </w:rPr>
        <w:footnoteReference w:id="1"/>
      </w:r>
      <w:r w:rsidRPr="0046745E">
        <w:rPr>
          <w:lang w:val="pl-PL"/>
        </w:rPr>
        <w:t xml:space="preserve">. Co więcej, prognozy na 2026 rok zakładają dalszy gwałtowny wzrost i oddanie do użytku systemów o łącznej mocy 158 GW (459 GWh). </w:t>
      </w:r>
      <w:r w:rsidR="00F27B14" w:rsidRPr="00F27B14">
        <w:rPr>
          <w:lang w:val="pl-PL"/>
        </w:rPr>
        <w:t>Choć dane te obejmują wszystkie segmenty rynku magazynowania energii, to właśnie wielkoskalowe systemy bateryjne pozostają głównym motorem tego wzrostu, stając się dojrzałą technologią i niezbędnym elementem nowoczesnych systemów elektroenergetycznych.</w:t>
      </w:r>
    </w:p>
    <w:p w14:paraId="56BE2748" w14:textId="77777777" w:rsidR="00F27B14" w:rsidRPr="00D33D7B" w:rsidRDefault="00F27B14" w:rsidP="00F27B14">
      <w:pPr>
        <w:pStyle w:val="Textedesaisie"/>
        <w:rPr>
          <w:lang w:val="pl-PL"/>
        </w:rPr>
      </w:pPr>
    </w:p>
    <w:p w14:paraId="0FB9ADEF" w14:textId="77777777" w:rsidR="00320F43" w:rsidRPr="00320F43" w:rsidRDefault="00320F43" w:rsidP="00320F43">
      <w:pPr>
        <w:pStyle w:val="Textedesaisie"/>
        <w:rPr>
          <w:color w:val="auto"/>
          <w:lang w:val="pl-PL"/>
        </w:rPr>
      </w:pPr>
      <w:r w:rsidRPr="00320F43">
        <w:rPr>
          <w:color w:val="auto"/>
          <w:lang w:val="pl-PL"/>
        </w:rPr>
        <w:t>Wykorzystując swoje globalne doświadczenie oraz lokalne kompetencje, ENGIE przenosi ten światowy trend na polski rynek poprzez realizację przełomowych projektów w Tursku Wielkim i Trębaczewie.</w:t>
      </w:r>
    </w:p>
    <w:p w14:paraId="609003C7" w14:textId="77777777" w:rsidR="00880B0D" w:rsidRPr="00320F43" w:rsidRDefault="00880B0D" w:rsidP="008A6545">
      <w:pPr>
        <w:pStyle w:val="Textedesaisie"/>
        <w:rPr>
          <w:color w:val="auto"/>
          <w:lang w:val="pl-PL"/>
        </w:rPr>
      </w:pPr>
    </w:p>
    <w:p w14:paraId="5B0FE3D2" w14:textId="42E11543" w:rsidR="00015962" w:rsidRPr="00015962" w:rsidRDefault="00015962" w:rsidP="00015962">
      <w:pPr>
        <w:pStyle w:val="Textedesaisie"/>
        <w:rPr>
          <w:color w:val="auto"/>
          <w:lang w:val="pl-PL"/>
        </w:rPr>
      </w:pPr>
      <w:r w:rsidRPr="00015962">
        <w:rPr>
          <w:b/>
          <w:bCs/>
          <w:color w:val="auto"/>
          <w:lang w:val="pl-PL"/>
        </w:rPr>
        <w:t>Dysponując 10,7 GW</w:t>
      </w:r>
      <w:r w:rsidR="00BC35B1">
        <w:rPr>
          <w:rStyle w:val="FootnoteReference"/>
          <w:b/>
          <w:bCs/>
          <w:color w:val="auto"/>
          <w:lang w:val="pl-PL"/>
        </w:rPr>
        <w:footnoteReference w:id="2"/>
      </w:r>
      <w:r w:rsidR="00083680">
        <w:rPr>
          <w:b/>
          <w:bCs/>
          <w:color w:val="auto"/>
          <w:lang w:val="pl-PL"/>
        </w:rPr>
        <w:t xml:space="preserve"> </w:t>
      </w:r>
      <w:r w:rsidRPr="00015962">
        <w:rPr>
          <w:b/>
          <w:bCs/>
          <w:color w:val="auto"/>
          <w:lang w:val="pl-PL"/>
        </w:rPr>
        <w:t>mocy magazynowania energii, które są już eksploatowane lub znajdują się w budowie na całym świecie</w:t>
      </w:r>
      <w:r w:rsidRPr="00015962">
        <w:rPr>
          <w:color w:val="auto"/>
          <w:lang w:val="pl-PL"/>
        </w:rPr>
        <w:t>, ENGIE potwierdza swoją pozycję jednego z liderów w zakresie zapewniania elastyczności systemów energetycznych. Tylko w lipcu i sierpniu Grupa znacząco rozszerzyła swoje europejskie portfolio magazynów energii poprzez szereg strategicznych przejęć, rozpoczęcie budowy oraz uruchomienie projektów w Polsce, Belgii,</w:t>
      </w:r>
      <w:r w:rsidR="001B3B85">
        <w:rPr>
          <w:color w:val="auto"/>
          <w:lang w:val="pl-PL"/>
        </w:rPr>
        <w:t xml:space="preserve"> Hiszpani</w:t>
      </w:r>
      <w:r w:rsidR="00FC6895">
        <w:rPr>
          <w:color w:val="auto"/>
          <w:lang w:val="pl-PL"/>
        </w:rPr>
        <w:t>i</w:t>
      </w:r>
      <w:r w:rsidR="001B3B85">
        <w:rPr>
          <w:color w:val="auto"/>
          <w:lang w:val="pl-PL"/>
        </w:rPr>
        <w:t>,</w:t>
      </w:r>
      <w:r w:rsidRPr="00015962">
        <w:rPr>
          <w:color w:val="auto"/>
          <w:lang w:val="pl-PL"/>
        </w:rPr>
        <w:t xml:space="preserve"> Rumunii, Portugalii, Niderlandach i Wielkiej Brytanii, o łącznej mocy 1</w:t>
      </w:r>
      <w:r w:rsidR="004C6A01">
        <w:rPr>
          <w:color w:val="auto"/>
          <w:lang w:val="pl-PL"/>
        </w:rPr>
        <w:t>,1</w:t>
      </w:r>
      <w:r w:rsidRPr="00015962">
        <w:rPr>
          <w:color w:val="auto"/>
          <w:lang w:val="pl-PL"/>
        </w:rPr>
        <w:t xml:space="preserve"> GW / </w:t>
      </w:r>
      <w:r w:rsidR="00824BE9">
        <w:rPr>
          <w:color w:val="auto"/>
          <w:lang w:val="pl-PL"/>
        </w:rPr>
        <w:t>3</w:t>
      </w:r>
      <w:r w:rsidR="004C6A01">
        <w:rPr>
          <w:color w:val="auto"/>
          <w:lang w:val="pl-PL"/>
        </w:rPr>
        <w:t>,3</w:t>
      </w:r>
      <w:r w:rsidRPr="00015962">
        <w:rPr>
          <w:color w:val="auto"/>
          <w:lang w:val="pl-PL"/>
        </w:rPr>
        <w:t xml:space="preserve"> GWh. Działania te stanowią istotny krok w realizacji ambicji Grupy, jaką jest rozwój zdywersyfikowanego portfela aktywów wytwórczych opartych na odnawialnych źródłach energii oraz magazynach energii o łącznej mocy zainstalowanej </w:t>
      </w:r>
      <w:r w:rsidRPr="00015962">
        <w:rPr>
          <w:b/>
          <w:bCs/>
          <w:color w:val="auto"/>
          <w:lang w:val="pl-PL"/>
        </w:rPr>
        <w:t>95 GW do 2030 roku</w:t>
      </w:r>
      <w:r w:rsidRPr="00015962">
        <w:rPr>
          <w:color w:val="auto"/>
          <w:lang w:val="pl-PL"/>
        </w:rPr>
        <w:t>. W efekcie wzmacniają one pozycję ENGIE jako lidera transformacji energetycznej poprzez zwiększanie stabilności sieci elektroenergetycznych, bezpieczeństwa dostaw energii oraz przyspieszanie dalszego rozwoju odnawialnych źródeł energii zarówno w Polsce, jak i na świecie.</w:t>
      </w:r>
    </w:p>
    <w:p w14:paraId="0229A431" w14:textId="77777777" w:rsidR="001A7124" w:rsidRPr="00015962" w:rsidRDefault="001A7124" w:rsidP="00275C3C">
      <w:pPr>
        <w:pStyle w:val="Textedesaisie"/>
        <w:rPr>
          <w:color w:val="auto"/>
          <w:sz w:val="18"/>
          <w:szCs w:val="18"/>
          <w:lang w:val="pl-PL"/>
        </w:rPr>
      </w:pPr>
    </w:p>
    <w:p w14:paraId="186D471C" w14:textId="2254A6B1" w:rsidR="004F2DFC" w:rsidRPr="0046745E" w:rsidRDefault="004F2DFC" w:rsidP="004F2DFC">
      <w:pPr>
        <w:pStyle w:val="Textedesaisie"/>
        <w:rPr>
          <w:rStyle w:val="Bold"/>
          <w:color w:val="auto"/>
          <w:sz w:val="18"/>
          <w:szCs w:val="18"/>
          <w:lang w:val="pl-PL"/>
        </w:rPr>
      </w:pPr>
      <w:r w:rsidRPr="0046745E">
        <w:rPr>
          <w:rStyle w:val="Bold"/>
          <w:color w:val="auto"/>
          <w:sz w:val="18"/>
          <w:szCs w:val="18"/>
          <w:lang w:val="pl-PL"/>
        </w:rPr>
        <w:t xml:space="preserve">O ENGIE </w:t>
      </w:r>
    </w:p>
    <w:p w14:paraId="334DBA51" w14:textId="77777777" w:rsidR="004F2DFC" w:rsidRPr="00B23431" w:rsidRDefault="004F2DFC" w:rsidP="004F2DFC">
      <w:pPr>
        <w:pStyle w:val="Texteapropos"/>
        <w:rPr>
          <w:lang w:val="pl-PL"/>
        </w:rPr>
      </w:pPr>
    </w:p>
    <w:p w14:paraId="47F17CCB" w14:textId="77777777" w:rsidR="004F2DFC" w:rsidRPr="0046745E" w:rsidRDefault="004F2DFC" w:rsidP="004F2DFC">
      <w:pPr>
        <w:pStyle w:val="Textedesaisie"/>
        <w:rPr>
          <w:color w:val="auto"/>
          <w:sz w:val="18"/>
          <w:szCs w:val="18"/>
          <w:lang w:val="pl-PL"/>
        </w:rPr>
      </w:pPr>
      <w:r w:rsidRPr="0046745E">
        <w:rPr>
          <w:color w:val="auto"/>
          <w:sz w:val="18"/>
          <w:szCs w:val="18"/>
          <w:lang w:val="pl-PL"/>
        </w:rPr>
        <w:t>ENGIE jest kluczowym graczem w transformacji energetycznej, której celem jest przyspieszenie przejścia na gospodarkę neutralną pod względem emisji dwutlenku węgla. Zatrudniając ponad 90 000 pracowników w 30 krajach, Grupa obejmuje cały łańcuch wartości energii, od produkcji po infrastrukturę i sprzedaż. ENGIE łączy działania uzupełniające się: produkcję energii odnawialnej i ekologicznego gazu, aktywa elastyczności (zwłaszcza baterie), sieci przesyłu i dystrybucji gazu i energii elektrycznej, lokalną infrastrukturę energetyczną (sieci grzewcze i chłodnicze) oraz dostawy energii do osób prywatnych, władz lokalnych i przedsiębiorstw. Każdego roku ENGIE inwestuje średnio 12 mld euro, aby przyspieszyć transformację energetyczną i osiągnąć cel zerowej emisji dwutlenku węgla netto do 2045 r. Obroty w 2025 r.: 71,9 mld euro. Grupa jest notowana na giełdach w Paryżu i Brukseli (ENGI) i jest reprezentowana w głównych indeksach finansowych (CAC 40, Euronext 100, FTSE Euro 100, MSCI Europe) oraz indeksach niefinansowych (DJSI World, Euronext Vigeo Eiris - Europe 120 / France 20, MSCI EMU ESG screened, MSCI EUROPE ESG Universal Select, Stoxx Europe 600 ESG-X).</w:t>
      </w:r>
    </w:p>
    <w:p w14:paraId="34C1FB42" w14:textId="77777777" w:rsidR="001A7124" w:rsidRPr="004F2DFC" w:rsidRDefault="001A7124" w:rsidP="00275C3C">
      <w:pPr>
        <w:pStyle w:val="Textedesaisie"/>
        <w:rPr>
          <w:color w:val="auto"/>
          <w:sz w:val="18"/>
          <w:szCs w:val="18"/>
          <w:lang w:val="pl-PL"/>
        </w:rPr>
      </w:pPr>
    </w:p>
    <w:p w14:paraId="44AA03E0" w14:textId="77777777" w:rsidR="00275C3C" w:rsidRPr="004F2DFC" w:rsidRDefault="00275C3C" w:rsidP="00275C3C">
      <w:pPr>
        <w:pStyle w:val="Textedesaisie"/>
        <w:rPr>
          <w:rFonts w:ascii="Calibri" w:hAnsi="Calibri" w:cs="Calibri"/>
          <w:color w:val="auto"/>
          <w:lang w:val="pl-PL"/>
        </w:rPr>
      </w:pPr>
    </w:p>
    <w:tbl>
      <w:tblPr>
        <w:tblStyle w:val="TableGrid"/>
        <w:tblW w:w="25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</w:tblGrid>
      <w:tr w:rsidR="00275C3C" w:rsidRPr="002C5082" w14:paraId="4B558338" w14:textId="77777777" w:rsidTr="00FF7578">
        <w:tc>
          <w:tcPr>
            <w:tcW w:w="4252" w:type="dxa"/>
          </w:tcPr>
          <w:p w14:paraId="49637C5F" w14:textId="2682478D" w:rsidR="00275C3C" w:rsidRPr="00FC6895" w:rsidRDefault="001A7124" w:rsidP="00FF7578">
            <w:pPr>
              <w:pStyle w:val="Textecontact"/>
              <w:rPr>
                <w:rStyle w:val="Bold"/>
                <w:rFonts w:ascii="Calibri" w:hAnsi="Calibri" w:cs="Calibri"/>
              </w:rPr>
            </w:pPr>
            <w:r w:rsidRPr="00FC6895">
              <w:rPr>
                <w:rStyle w:val="Bold"/>
                <w:rFonts w:ascii="Calibri" w:hAnsi="Calibri" w:cs="Calibri"/>
              </w:rPr>
              <w:t>Contact</w:t>
            </w:r>
            <w:r w:rsidR="00275C3C" w:rsidRPr="00FC6895">
              <w:rPr>
                <w:rStyle w:val="Bold"/>
                <w:rFonts w:ascii="Calibri" w:hAnsi="Calibri" w:cs="Calibri"/>
              </w:rPr>
              <w:t>:</w:t>
            </w:r>
          </w:p>
          <w:p w14:paraId="08A713BE" w14:textId="77777777" w:rsidR="00275C3C" w:rsidRPr="00FC6895" w:rsidRDefault="00275C3C" w:rsidP="00FF7578">
            <w:pPr>
              <w:pStyle w:val="Textecontact"/>
              <w:rPr>
                <w:rFonts w:ascii="Calibri" w:hAnsi="Calibri" w:cs="Calibri"/>
                <w:lang w:val="en-US"/>
              </w:rPr>
            </w:pPr>
            <w:r w:rsidRPr="00FC6895">
              <w:rPr>
                <w:rFonts w:ascii="Calibri" w:hAnsi="Calibri" w:cs="Calibri"/>
                <w:bCs/>
                <w:lang w:val="en-US"/>
              </w:rPr>
              <w:t>Magdalena Jaromińska</w:t>
            </w:r>
          </w:p>
          <w:p w14:paraId="0CAD2197" w14:textId="6EFFAE3B" w:rsidR="00275C3C" w:rsidRPr="00FC6895" w:rsidRDefault="00275C3C" w:rsidP="00FF7578">
            <w:pPr>
              <w:pStyle w:val="Textecontact"/>
              <w:rPr>
                <w:rFonts w:ascii="Calibri" w:hAnsi="Calibri" w:cs="Calibri"/>
                <w:lang w:val="en-US"/>
              </w:rPr>
            </w:pPr>
            <w:r w:rsidRPr="00FC6895">
              <w:rPr>
                <w:rFonts w:ascii="Calibri" w:hAnsi="Calibri" w:cs="Calibri"/>
                <w:lang w:val="en-US"/>
              </w:rPr>
              <w:t>Chief Communications Officer</w:t>
            </w:r>
          </w:p>
          <w:p w14:paraId="68EE4EDB" w14:textId="77777777" w:rsidR="00275C3C" w:rsidRPr="00486946" w:rsidRDefault="00275C3C" w:rsidP="00FF7578">
            <w:pPr>
              <w:pStyle w:val="Textecontact"/>
              <w:rPr>
                <w:rFonts w:ascii="Calibri" w:hAnsi="Calibri" w:cs="Calibri"/>
                <w:lang w:val="pl-PL"/>
              </w:rPr>
            </w:pPr>
            <w:r w:rsidRPr="00486946">
              <w:rPr>
                <w:rFonts w:ascii="Calibri" w:hAnsi="Calibri" w:cs="Calibri"/>
                <w:lang w:val="pl-PL"/>
              </w:rPr>
              <w:t>M: +48 604 299 672</w:t>
            </w:r>
            <w:r w:rsidRPr="00486946">
              <w:rPr>
                <w:rFonts w:ascii="Calibri" w:hAnsi="Calibri" w:cs="Calibri"/>
                <w:lang w:val="pl-PL"/>
              </w:rPr>
              <w:br/>
            </w:r>
            <w:hyperlink r:id="rId12" w:tgtFrame="_blank" w:history="1">
              <w:r w:rsidRPr="00486946">
                <w:rPr>
                  <w:rStyle w:val="Hyperlink"/>
                  <w:rFonts w:ascii="Calibri" w:hAnsi="Calibri" w:cs="Calibri"/>
                  <w:lang w:val="pl-PL"/>
                </w:rPr>
                <w:t>magdalena.jarominska@engie.com</w:t>
              </w:r>
            </w:hyperlink>
          </w:p>
          <w:p w14:paraId="19541FD2" w14:textId="77777777" w:rsidR="00275C3C" w:rsidRPr="002C5082" w:rsidRDefault="00275C3C" w:rsidP="00FF7578">
            <w:pPr>
              <w:pStyle w:val="Textecontact"/>
              <w:rPr>
                <w:rFonts w:ascii="Calibri" w:hAnsi="Calibri" w:cs="Calibri"/>
                <w:lang w:val="pl-PL"/>
              </w:rPr>
            </w:pPr>
          </w:p>
        </w:tc>
      </w:tr>
    </w:tbl>
    <w:p w14:paraId="1FA3F492" w14:textId="77777777" w:rsidR="00F92ECA" w:rsidRPr="002C5082" w:rsidRDefault="00F92ECA" w:rsidP="00562B4F">
      <w:pPr>
        <w:pStyle w:val="Textedesaisie"/>
        <w:rPr>
          <w:color w:val="auto"/>
          <w:lang w:val="pl-PL"/>
        </w:rPr>
      </w:pPr>
    </w:p>
    <w:p w14:paraId="23CD0856" w14:textId="77777777" w:rsidR="00F92ECA" w:rsidRPr="002C5082" w:rsidRDefault="00F92ECA" w:rsidP="00562B4F">
      <w:pPr>
        <w:pStyle w:val="Textedesaisie"/>
        <w:rPr>
          <w:color w:val="auto"/>
          <w:lang w:val="pl-PL"/>
        </w:rPr>
      </w:pPr>
    </w:p>
    <w:sectPr w:rsidR="00F92ECA" w:rsidRPr="002C5082" w:rsidSect="00BA662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851" w:right="1701" w:bottom="851" w:left="170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8B9FD" w14:textId="77777777" w:rsidR="008F0BBA" w:rsidRDefault="008F0BBA" w:rsidP="003865B7">
      <w:r>
        <w:separator/>
      </w:r>
    </w:p>
  </w:endnote>
  <w:endnote w:type="continuationSeparator" w:id="0">
    <w:p w14:paraId="5C2D0882" w14:textId="77777777" w:rsidR="008F0BBA" w:rsidRDefault="008F0BBA" w:rsidP="0038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lack">
    <w:charset w:val="00"/>
    <w:family w:val="auto"/>
    <w:pitch w:val="variable"/>
    <w:sig w:usb0="A10000FF" w:usb1="5000005B" w:usb2="00000000" w:usb3="00000000" w:csb0="0000019B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46BF" w14:textId="77777777" w:rsidR="00FF7578" w:rsidRDefault="00FF75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200"/>
      <w:gridCol w:w="180"/>
      <w:gridCol w:w="540"/>
      <w:gridCol w:w="584"/>
    </w:tblGrid>
    <w:tr w:rsidR="00FF7578" w:rsidRPr="005D2323" w14:paraId="0BC63E36" w14:textId="77777777" w:rsidTr="00D20A74">
      <w:trPr>
        <w:trHeight w:hRule="exact" w:val="142"/>
      </w:trPr>
      <w:tc>
        <w:tcPr>
          <w:tcW w:w="7920" w:type="dxa"/>
          <w:gridSpan w:val="3"/>
          <w:tcBorders>
            <w:top w:val="single" w:sz="4" w:space="0" w:color="00817D" w:themeColor="accent3"/>
          </w:tcBorders>
          <w:vAlign w:val="bottom"/>
        </w:tcPr>
        <w:p w14:paraId="30581B72" w14:textId="77777777" w:rsidR="00FF7578" w:rsidRPr="005D2323" w:rsidRDefault="00FF7578" w:rsidP="00585399">
          <w:pPr>
            <w:pStyle w:val="Footer"/>
            <w:jc w:val="right"/>
            <w:rPr>
              <w:sz w:val="18"/>
              <w:szCs w:val="18"/>
              <w:lang w:val="en-GB"/>
            </w:rPr>
          </w:pPr>
        </w:p>
      </w:tc>
      <w:tc>
        <w:tcPr>
          <w:tcW w:w="584" w:type="dxa"/>
          <w:vAlign w:val="bottom"/>
        </w:tcPr>
        <w:p w14:paraId="3F21B915" w14:textId="77777777" w:rsidR="00FF7578" w:rsidRPr="005D2323" w:rsidRDefault="00FF7578" w:rsidP="00585399">
          <w:pPr>
            <w:pStyle w:val="Footer"/>
            <w:jc w:val="right"/>
            <w:rPr>
              <w:sz w:val="18"/>
              <w:szCs w:val="18"/>
              <w:lang w:val="en-GB"/>
            </w:rPr>
          </w:pPr>
        </w:p>
      </w:tc>
    </w:tr>
    <w:tr w:rsidR="00FF7578" w:rsidRPr="0098330C" w14:paraId="3FB41BEA" w14:textId="77777777" w:rsidTr="0046543F">
      <w:tc>
        <w:tcPr>
          <w:tcW w:w="7200" w:type="dxa"/>
          <w:vAlign w:val="bottom"/>
        </w:tcPr>
        <w:p w14:paraId="4F4D6074" w14:textId="77777777" w:rsidR="00FF7578" w:rsidRPr="002E26D9" w:rsidRDefault="00FF7578" w:rsidP="003D120D">
          <w:pPr>
            <w:pStyle w:val="Adressepieddepage"/>
            <w:rPr>
              <w:rStyle w:val="Bold"/>
              <w:color w:val="A6A6A6" w:themeColor="background1" w:themeShade="A6"/>
              <w:lang w:val="fr-FR"/>
            </w:rPr>
          </w:pPr>
          <w:r w:rsidRPr="002E26D9">
            <w:rPr>
              <w:rStyle w:val="Bold"/>
              <w:color w:val="A6A6A6" w:themeColor="background1" w:themeShade="A6"/>
              <w:lang w:val="fr-FR"/>
            </w:rPr>
            <w:t>ENGIE CORPORATE HEADQUARTERS</w:t>
          </w:r>
        </w:p>
        <w:p w14:paraId="667A1CE0" w14:textId="6E517D6D" w:rsidR="00FF7578" w:rsidRPr="002E26D9" w:rsidRDefault="00FF7578" w:rsidP="003D120D">
          <w:pPr>
            <w:pStyle w:val="Adressepieddepage"/>
            <w:rPr>
              <w:color w:val="A6A6A6" w:themeColor="background1" w:themeShade="A6"/>
              <w:lang w:val="fr-FR"/>
            </w:rPr>
          </w:pPr>
          <w:r w:rsidRPr="002E26D9">
            <w:rPr>
              <w:color w:val="A6A6A6" w:themeColor="background1" w:themeShade="A6"/>
              <w:lang w:val="fr-FR"/>
            </w:rPr>
            <w:t>CAMPUS ENGIE – 67 rue Jule Ferry – 92250 La Garenne-Colombes - France</w:t>
          </w:r>
        </w:p>
        <w:p w14:paraId="75B2BC4D" w14:textId="702313F3" w:rsidR="00FF7578" w:rsidRPr="003D120D" w:rsidRDefault="00FF7578" w:rsidP="003D120D">
          <w:pPr>
            <w:pStyle w:val="Adressepieddepage"/>
          </w:pPr>
          <w:r w:rsidRPr="002E26D9">
            <w:rPr>
              <w:color w:val="A6A6A6" w:themeColor="background1" w:themeShade="A6"/>
            </w:rPr>
            <w:t>ENGIE – French limited liability company with capital of 2 542 427 868 EUROS – listed on the NANTERRE register of trades and companies under number 542 107 651 – Tel: +33 (0)1 44 22 00 00</w:t>
          </w:r>
        </w:p>
      </w:tc>
      <w:tc>
        <w:tcPr>
          <w:tcW w:w="180" w:type="dxa"/>
          <w:vMerge w:val="restart"/>
        </w:tcPr>
        <w:p w14:paraId="64EECAA2" w14:textId="77777777" w:rsidR="00FF7578" w:rsidRPr="005D2323" w:rsidRDefault="00FF7578" w:rsidP="00585399">
          <w:pPr>
            <w:pStyle w:val="Footer"/>
            <w:rPr>
              <w:lang w:val="en-GB"/>
            </w:rPr>
          </w:pPr>
        </w:p>
      </w:tc>
      <w:tc>
        <w:tcPr>
          <w:tcW w:w="1124" w:type="dxa"/>
          <w:gridSpan w:val="2"/>
          <w:vMerge w:val="restart"/>
          <w:vAlign w:val="bottom"/>
        </w:tcPr>
        <w:p w14:paraId="37E0A203" w14:textId="71860CEF" w:rsidR="00FF7578" w:rsidRPr="0098330C" w:rsidRDefault="00FF7578" w:rsidP="008D1132">
          <w:pPr>
            <w:pStyle w:val="Texteadresseinternet"/>
            <w:rPr>
              <w:color w:val="007BC5"/>
              <w:lang w:val="en-GB"/>
            </w:rPr>
          </w:pPr>
          <w:r w:rsidRPr="0098330C">
            <w:rPr>
              <w:color w:val="007BC5"/>
              <w:lang w:val="en-GB"/>
            </w:rPr>
            <w:t>engie.com</w:t>
          </w:r>
        </w:p>
      </w:tc>
    </w:tr>
    <w:tr w:rsidR="00FF7578" w:rsidRPr="0098330C" w14:paraId="74762DC2" w14:textId="77777777" w:rsidTr="0046543F">
      <w:trPr>
        <w:trHeight w:hRule="exact" w:val="85"/>
      </w:trPr>
      <w:tc>
        <w:tcPr>
          <w:tcW w:w="7200" w:type="dxa"/>
          <w:vAlign w:val="bottom"/>
        </w:tcPr>
        <w:p w14:paraId="7B9FBD24" w14:textId="77777777" w:rsidR="00FF7578" w:rsidRPr="003D120D" w:rsidRDefault="00FF7578" w:rsidP="00585399">
          <w:pPr>
            <w:pStyle w:val="Footer"/>
            <w:spacing w:line="180" w:lineRule="atLeast"/>
            <w:rPr>
              <w:color w:val="84A0AF"/>
              <w:sz w:val="14"/>
              <w:szCs w:val="14"/>
              <w:lang w:val="en-GB"/>
            </w:rPr>
          </w:pPr>
        </w:p>
      </w:tc>
      <w:tc>
        <w:tcPr>
          <w:tcW w:w="180" w:type="dxa"/>
          <w:vMerge/>
        </w:tcPr>
        <w:p w14:paraId="3A2805D0" w14:textId="77777777" w:rsidR="00FF7578" w:rsidRPr="005D2323" w:rsidRDefault="00FF7578" w:rsidP="00585399">
          <w:pPr>
            <w:pStyle w:val="Footer"/>
            <w:rPr>
              <w:lang w:val="en-GB"/>
            </w:rPr>
          </w:pPr>
        </w:p>
      </w:tc>
      <w:tc>
        <w:tcPr>
          <w:tcW w:w="1124" w:type="dxa"/>
          <w:gridSpan w:val="2"/>
          <w:vMerge/>
          <w:vAlign w:val="bottom"/>
        </w:tcPr>
        <w:p w14:paraId="2C73E072" w14:textId="77777777" w:rsidR="00FF7578" w:rsidRPr="0098330C" w:rsidRDefault="00FF7578" w:rsidP="00585399">
          <w:pPr>
            <w:pStyle w:val="Footer"/>
            <w:jc w:val="right"/>
            <w:rPr>
              <w:color w:val="007BC5"/>
              <w:sz w:val="18"/>
              <w:szCs w:val="18"/>
              <w:lang w:val="en-GB"/>
            </w:rPr>
          </w:pPr>
        </w:p>
      </w:tc>
    </w:tr>
  </w:tbl>
  <w:p w14:paraId="74C65C17" w14:textId="77777777" w:rsidR="00FF7578" w:rsidRPr="005D2323" w:rsidRDefault="00FF7578" w:rsidP="00585399">
    <w:pPr>
      <w:pStyle w:val="Foo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1A08E" w14:textId="77777777" w:rsidR="00FF7578" w:rsidRDefault="00FF75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0D6C7" w14:textId="77777777" w:rsidR="008F0BBA" w:rsidRDefault="008F0BBA" w:rsidP="003865B7">
      <w:r>
        <w:separator/>
      </w:r>
    </w:p>
  </w:footnote>
  <w:footnote w:type="continuationSeparator" w:id="0">
    <w:p w14:paraId="216781B2" w14:textId="77777777" w:rsidR="008F0BBA" w:rsidRDefault="008F0BBA" w:rsidP="003865B7">
      <w:r>
        <w:continuationSeparator/>
      </w:r>
    </w:p>
  </w:footnote>
  <w:footnote w:id="1">
    <w:p w14:paraId="6DEEE188" w14:textId="77777777" w:rsidR="00D33D7B" w:rsidRPr="0046745E" w:rsidRDefault="00D33D7B" w:rsidP="00D33D7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46745E">
        <w:rPr>
          <w:lang w:val="en-US"/>
        </w:rPr>
        <w:t xml:space="preserve"> </w:t>
      </w:r>
      <w:hyperlink r:id="rId1" w:history="1">
        <w:r w:rsidRPr="0046745E">
          <w:rPr>
            <w:rStyle w:val="Hyperlink"/>
            <w:lang w:val="en-US"/>
          </w:rPr>
          <w:t>Energy Storage Enters the 100-Gigawatt Era: Three Things to Know | BloombergNEF</w:t>
        </w:r>
      </w:hyperlink>
    </w:p>
  </w:footnote>
  <w:footnote w:id="2">
    <w:p w14:paraId="23AB5530" w14:textId="6AFCD970" w:rsidR="00BC35B1" w:rsidRPr="00BC35B1" w:rsidRDefault="00BC35B1" w:rsidP="003D0935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CD156A">
        <w:rPr>
          <w:lang w:val="pl-PL"/>
        </w:rPr>
        <w:t xml:space="preserve"> </w:t>
      </w:r>
      <w:r w:rsidR="003D0935" w:rsidRPr="003D0935">
        <w:rPr>
          <w:lang w:val="pl-PL"/>
        </w:rPr>
        <w:t>Obejmuje magazyny energii bateryjnej (BESS) oraz elektrownie szczytowo-pompowe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6721A" w14:textId="77777777" w:rsidR="00FF7578" w:rsidRDefault="00FF75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1C6C" w14:textId="3D43F8AA" w:rsidR="00FF7578" w:rsidRPr="005D2323" w:rsidRDefault="00FF7578" w:rsidP="003C7C34">
    <w:pPr>
      <w:pStyle w:val="Header"/>
      <w:rPr>
        <w:lang w:val="en-GB"/>
      </w:rPr>
    </w:pPr>
    <w:r w:rsidRPr="005D2323"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132F7754" wp14:editId="4C5BFF1A">
          <wp:simplePos x="0" y="0"/>
          <wp:positionH relativeFrom="page">
            <wp:posOffset>2877185</wp:posOffset>
          </wp:positionH>
          <wp:positionV relativeFrom="page">
            <wp:posOffset>247650</wp:posOffset>
          </wp:positionV>
          <wp:extent cx="1803400" cy="94361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943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3926C3" w14:textId="77777777" w:rsidR="00FF7578" w:rsidRPr="005D2323" w:rsidRDefault="00FF7578" w:rsidP="00A47F4D">
    <w:pPr>
      <w:pStyle w:val="Header"/>
      <w:rPr>
        <w:lang w:val="en-GB"/>
      </w:rPr>
    </w:pPr>
  </w:p>
  <w:p w14:paraId="1A90E447" w14:textId="77777777" w:rsidR="00FF7578" w:rsidRPr="005D2323" w:rsidRDefault="00FF7578" w:rsidP="00A47F4D">
    <w:pPr>
      <w:pStyle w:val="Header"/>
      <w:rPr>
        <w:lang w:val="en-GB"/>
      </w:rPr>
    </w:pPr>
  </w:p>
  <w:p w14:paraId="43923EAD" w14:textId="5926B6E9" w:rsidR="00FF7578" w:rsidRPr="005D2323" w:rsidRDefault="00FF7578" w:rsidP="00A47F4D">
    <w:pPr>
      <w:pStyle w:val="Header"/>
      <w:rPr>
        <w:lang w:val="en-GB"/>
      </w:rPr>
    </w:pPr>
  </w:p>
  <w:p w14:paraId="5C7B463E" w14:textId="77777777" w:rsidR="00FF7578" w:rsidRPr="005D2323" w:rsidRDefault="00FF7578" w:rsidP="00A47F4D">
    <w:pPr>
      <w:pStyle w:val="Header"/>
      <w:rPr>
        <w:lang w:val="en-GB"/>
      </w:rPr>
    </w:pPr>
  </w:p>
  <w:p w14:paraId="004298BC" w14:textId="77777777" w:rsidR="00FF7578" w:rsidRPr="005D2323" w:rsidRDefault="00FF7578" w:rsidP="00A47F4D">
    <w:pPr>
      <w:pStyle w:val="Header"/>
      <w:rPr>
        <w:lang w:val="en-GB"/>
      </w:rPr>
    </w:pPr>
  </w:p>
  <w:p w14:paraId="15EA2078" w14:textId="77777777" w:rsidR="00FF7578" w:rsidRPr="005D2323" w:rsidRDefault="00FF7578" w:rsidP="00A47F4D">
    <w:pPr>
      <w:pStyle w:val="Header"/>
      <w:rPr>
        <w:lang w:val="en-GB"/>
      </w:rPr>
    </w:pPr>
  </w:p>
  <w:p w14:paraId="51EC499A" w14:textId="77777777" w:rsidR="00FF7578" w:rsidRPr="005D2323" w:rsidRDefault="00FF7578" w:rsidP="00FA024F">
    <w:pPr>
      <w:pStyle w:val="Header"/>
      <w:spacing w:line="270" w:lineRule="exact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652E" w14:textId="77777777" w:rsidR="00FF7578" w:rsidRDefault="00FF7578">
    <w:pPr>
      <w:pStyle w:val="Header"/>
    </w:pPr>
  </w:p>
  <w:p w14:paraId="4ADF65A9" w14:textId="77777777" w:rsidR="00FF7578" w:rsidRDefault="00FF7578">
    <w:pPr>
      <w:pStyle w:val="Header"/>
    </w:pPr>
  </w:p>
  <w:p w14:paraId="774BD6F6" w14:textId="77777777" w:rsidR="00FF7578" w:rsidRDefault="00FF7578">
    <w:pPr>
      <w:pStyle w:val="Header"/>
    </w:pPr>
  </w:p>
  <w:p w14:paraId="3382A204" w14:textId="77777777" w:rsidR="00FF7578" w:rsidRDefault="00FF7578">
    <w:pPr>
      <w:pStyle w:val="Header"/>
    </w:pPr>
  </w:p>
  <w:p w14:paraId="358E36AA" w14:textId="77777777" w:rsidR="00FF7578" w:rsidRDefault="00FF7578">
    <w:pPr>
      <w:pStyle w:val="Header"/>
    </w:pPr>
  </w:p>
  <w:p w14:paraId="2BD3EEFA" w14:textId="77777777" w:rsidR="00FF7578" w:rsidRDefault="00FF7578">
    <w:pPr>
      <w:pStyle w:val="Header"/>
    </w:pPr>
  </w:p>
  <w:p w14:paraId="7C83B0C7" w14:textId="77777777" w:rsidR="00FF7578" w:rsidRDefault="00FF7578">
    <w:pPr>
      <w:pStyle w:val="Header"/>
    </w:pPr>
  </w:p>
  <w:p w14:paraId="6321B8D4" w14:textId="77777777" w:rsidR="00FF7578" w:rsidRPr="00F7646B" w:rsidRDefault="00FF7578" w:rsidP="00DB38D1">
    <w:pPr>
      <w:pStyle w:val="Header"/>
      <w:spacing w:line="27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9B2772"/>
    <w:multiLevelType w:val="hybridMultilevel"/>
    <w:tmpl w:val="28D03430"/>
    <w:lvl w:ilvl="0" w:tplc="5290E598">
      <w:start w:val="1"/>
      <w:numFmt w:val="bullet"/>
      <w:pStyle w:val="Textepuce"/>
      <w:lvlText w:val="–"/>
      <w:lvlJc w:val="left"/>
      <w:pPr>
        <w:ind w:left="70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8BD2"/>
        <w:sz w:val="28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D4A9F"/>
    <w:multiLevelType w:val="hybridMultilevel"/>
    <w:tmpl w:val="F280B2FE"/>
    <w:lvl w:ilvl="0" w:tplc="237226DC">
      <w:start w:val="1"/>
      <w:numFmt w:val="bullet"/>
      <w:lvlText w:val="–"/>
      <w:lvlJc w:val="left"/>
      <w:pPr>
        <w:ind w:left="720" w:hanging="360"/>
      </w:pPr>
      <w:rPr>
        <w:rFonts w:ascii="Gotham Black" w:hAnsi="Gotham Black" w:hint="default"/>
        <w:caps w:val="0"/>
        <w:strike w:val="0"/>
        <w:dstrike w:val="0"/>
        <w:vanish w:val="0"/>
        <w:sz w:val="4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C366D"/>
    <w:multiLevelType w:val="hybridMultilevel"/>
    <w:tmpl w:val="A08C9E06"/>
    <w:lvl w:ilvl="0" w:tplc="9DC629C2">
      <w:start w:val="1"/>
      <w:numFmt w:val="bullet"/>
      <w:lvlText w:val="–"/>
      <w:lvlJc w:val="left"/>
      <w:pPr>
        <w:ind w:left="720" w:hanging="360"/>
      </w:pPr>
      <w:rPr>
        <w:rFonts w:asciiTheme="majorHAnsi" w:hAnsiTheme="majorHAnsi" w:hint="default"/>
        <w:caps w:val="0"/>
        <w:strike w:val="0"/>
        <w:dstrike w:val="0"/>
        <w:vanish w:val="0"/>
        <w:sz w:val="28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B5EF3"/>
    <w:multiLevelType w:val="hybridMultilevel"/>
    <w:tmpl w:val="D4DA5AFE"/>
    <w:lvl w:ilvl="0" w:tplc="7B62D2AC">
      <w:start w:val="1"/>
      <w:numFmt w:val="bullet"/>
      <w:lvlText w:val="–"/>
      <w:lvlJc w:val="left"/>
      <w:pPr>
        <w:ind w:left="720" w:hanging="360"/>
      </w:pPr>
      <w:rPr>
        <w:rFonts w:ascii="Gotham Black" w:hAnsi="Gotham Black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B1460F"/>
    <w:multiLevelType w:val="hybridMultilevel"/>
    <w:tmpl w:val="D0F28BBC"/>
    <w:lvl w:ilvl="0" w:tplc="9FC28624">
      <w:start w:val="1"/>
      <w:numFmt w:val="bullet"/>
      <w:lvlText w:val="–"/>
      <w:lvlJc w:val="left"/>
      <w:pPr>
        <w:ind w:left="720" w:hanging="360"/>
      </w:pPr>
      <w:rPr>
        <w:rFonts w:ascii="Gotham Black" w:hAnsi="Gotham Black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94287"/>
    <w:multiLevelType w:val="hybridMultilevel"/>
    <w:tmpl w:val="5B4604DA"/>
    <w:lvl w:ilvl="0" w:tplc="33CC7510">
      <w:start w:val="1"/>
      <w:numFmt w:val="bullet"/>
      <w:lvlText w:val="–"/>
      <w:lvlJc w:val="left"/>
      <w:pPr>
        <w:ind w:left="700" w:hanging="360"/>
      </w:pPr>
      <w:rPr>
        <w:rFonts w:asciiTheme="majorHAnsi" w:hAnsiTheme="majorHAnsi" w:cs="Times New Roman" w:hint="default"/>
        <w:caps w:val="0"/>
        <w:strike w:val="0"/>
        <w:dstrike w:val="0"/>
        <w:vanish w:val="0"/>
        <w:color w:val="00AAFF" w:themeColor="accent2"/>
        <w:sz w:val="28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859539">
    <w:abstractNumId w:val="8"/>
  </w:num>
  <w:num w:numId="2" w16cid:durableId="898900151">
    <w:abstractNumId w:val="3"/>
  </w:num>
  <w:num w:numId="3" w16cid:durableId="2142846980">
    <w:abstractNumId w:val="2"/>
  </w:num>
  <w:num w:numId="4" w16cid:durableId="1146239826">
    <w:abstractNumId w:val="1"/>
  </w:num>
  <w:num w:numId="5" w16cid:durableId="1789857212">
    <w:abstractNumId w:val="0"/>
  </w:num>
  <w:num w:numId="6" w16cid:durableId="840773487">
    <w:abstractNumId w:val="9"/>
  </w:num>
  <w:num w:numId="7" w16cid:durableId="745952332">
    <w:abstractNumId w:val="7"/>
  </w:num>
  <w:num w:numId="8" w16cid:durableId="592587906">
    <w:abstractNumId w:val="6"/>
  </w:num>
  <w:num w:numId="9" w16cid:durableId="621227679">
    <w:abstractNumId w:val="5"/>
  </w:num>
  <w:num w:numId="10" w16cid:durableId="387847412">
    <w:abstractNumId w:val="4"/>
  </w:num>
  <w:num w:numId="11" w16cid:durableId="1984460703">
    <w:abstractNumId w:val="14"/>
  </w:num>
  <w:num w:numId="12" w16cid:durableId="1674408219">
    <w:abstractNumId w:val="13"/>
  </w:num>
  <w:num w:numId="13" w16cid:durableId="2027906091">
    <w:abstractNumId w:val="11"/>
  </w:num>
  <w:num w:numId="14" w16cid:durableId="114518759">
    <w:abstractNumId w:val="12"/>
  </w:num>
  <w:num w:numId="15" w16cid:durableId="1407845408">
    <w:abstractNumId w:val="15"/>
  </w:num>
  <w:num w:numId="16" w16cid:durableId="550650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72"/>
    <w:rsid w:val="00004D5E"/>
    <w:rsid w:val="00011291"/>
    <w:rsid w:val="0001488D"/>
    <w:rsid w:val="00015962"/>
    <w:rsid w:val="000325C9"/>
    <w:rsid w:val="00040852"/>
    <w:rsid w:val="00042391"/>
    <w:rsid w:val="00045F37"/>
    <w:rsid w:val="00064654"/>
    <w:rsid w:val="000646D6"/>
    <w:rsid w:val="00072515"/>
    <w:rsid w:val="00076BFF"/>
    <w:rsid w:val="00081A29"/>
    <w:rsid w:val="00083680"/>
    <w:rsid w:val="00085B9D"/>
    <w:rsid w:val="000A0FF1"/>
    <w:rsid w:val="000A1580"/>
    <w:rsid w:val="000B34E3"/>
    <w:rsid w:val="000C2302"/>
    <w:rsid w:val="000C617D"/>
    <w:rsid w:val="000C711B"/>
    <w:rsid w:val="000F02A0"/>
    <w:rsid w:val="000F265A"/>
    <w:rsid w:val="000F62E3"/>
    <w:rsid w:val="00105E6C"/>
    <w:rsid w:val="001064AF"/>
    <w:rsid w:val="0011457A"/>
    <w:rsid w:val="001213BB"/>
    <w:rsid w:val="00123369"/>
    <w:rsid w:val="0012623F"/>
    <w:rsid w:val="00133EB8"/>
    <w:rsid w:val="00155C01"/>
    <w:rsid w:val="00157605"/>
    <w:rsid w:val="00194359"/>
    <w:rsid w:val="001A19D2"/>
    <w:rsid w:val="001A5541"/>
    <w:rsid w:val="001A6853"/>
    <w:rsid w:val="001A7124"/>
    <w:rsid w:val="001B3B85"/>
    <w:rsid w:val="001D4886"/>
    <w:rsid w:val="001E78D4"/>
    <w:rsid w:val="001F12FD"/>
    <w:rsid w:val="001F5ED4"/>
    <w:rsid w:val="001F6A24"/>
    <w:rsid w:val="002019AB"/>
    <w:rsid w:val="002117DE"/>
    <w:rsid w:val="002151CC"/>
    <w:rsid w:val="00220D2E"/>
    <w:rsid w:val="00233B5F"/>
    <w:rsid w:val="002472C2"/>
    <w:rsid w:val="002574FE"/>
    <w:rsid w:val="0026514A"/>
    <w:rsid w:val="00275C3C"/>
    <w:rsid w:val="002777B1"/>
    <w:rsid w:val="002821D7"/>
    <w:rsid w:val="0029043E"/>
    <w:rsid w:val="002B27DA"/>
    <w:rsid w:val="002C5082"/>
    <w:rsid w:val="002D0309"/>
    <w:rsid w:val="002D2268"/>
    <w:rsid w:val="002E26D9"/>
    <w:rsid w:val="002E6FCE"/>
    <w:rsid w:val="002F5B82"/>
    <w:rsid w:val="003076F7"/>
    <w:rsid w:val="00317240"/>
    <w:rsid w:val="00320F43"/>
    <w:rsid w:val="003351D0"/>
    <w:rsid w:val="00353E47"/>
    <w:rsid w:val="00354FC0"/>
    <w:rsid w:val="003641F2"/>
    <w:rsid w:val="00385F78"/>
    <w:rsid w:val="00386092"/>
    <w:rsid w:val="003865B7"/>
    <w:rsid w:val="00396690"/>
    <w:rsid w:val="003A709D"/>
    <w:rsid w:val="003C0608"/>
    <w:rsid w:val="003C4C41"/>
    <w:rsid w:val="003C7C34"/>
    <w:rsid w:val="003D0935"/>
    <w:rsid w:val="003D120D"/>
    <w:rsid w:val="003D2432"/>
    <w:rsid w:val="003D2F27"/>
    <w:rsid w:val="003E64E4"/>
    <w:rsid w:val="00400AEF"/>
    <w:rsid w:val="00401670"/>
    <w:rsid w:val="00431277"/>
    <w:rsid w:val="00431287"/>
    <w:rsid w:val="00431335"/>
    <w:rsid w:val="00432CCE"/>
    <w:rsid w:val="00441F75"/>
    <w:rsid w:val="00443A3A"/>
    <w:rsid w:val="0046543F"/>
    <w:rsid w:val="00482D36"/>
    <w:rsid w:val="00490957"/>
    <w:rsid w:val="00490E9A"/>
    <w:rsid w:val="004A1BE4"/>
    <w:rsid w:val="004A7BF5"/>
    <w:rsid w:val="004B466E"/>
    <w:rsid w:val="004C4F9B"/>
    <w:rsid w:val="004C6A01"/>
    <w:rsid w:val="004C73DE"/>
    <w:rsid w:val="004E2A72"/>
    <w:rsid w:val="004E3136"/>
    <w:rsid w:val="004E5A20"/>
    <w:rsid w:val="004E5EE3"/>
    <w:rsid w:val="004F135C"/>
    <w:rsid w:val="004F2DFC"/>
    <w:rsid w:val="004F7D5C"/>
    <w:rsid w:val="005109A9"/>
    <w:rsid w:val="00511997"/>
    <w:rsid w:val="00522B78"/>
    <w:rsid w:val="00522C50"/>
    <w:rsid w:val="005232F9"/>
    <w:rsid w:val="005279FD"/>
    <w:rsid w:val="005301CA"/>
    <w:rsid w:val="00533325"/>
    <w:rsid w:val="00547435"/>
    <w:rsid w:val="00550AF2"/>
    <w:rsid w:val="00562B4F"/>
    <w:rsid w:val="005848A8"/>
    <w:rsid w:val="00584D0A"/>
    <w:rsid w:val="00585399"/>
    <w:rsid w:val="005A5673"/>
    <w:rsid w:val="005D1CF5"/>
    <w:rsid w:val="005D2323"/>
    <w:rsid w:val="005D6D7A"/>
    <w:rsid w:val="005F22FB"/>
    <w:rsid w:val="0061619B"/>
    <w:rsid w:val="00633F2B"/>
    <w:rsid w:val="00657D3E"/>
    <w:rsid w:val="006709ED"/>
    <w:rsid w:val="006725C8"/>
    <w:rsid w:val="00690A0A"/>
    <w:rsid w:val="00695236"/>
    <w:rsid w:val="006C1C54"/>
    <w:rsid w:val="006C6E7B"/>
    <w:rsid w:val="00702726"/>
    <w:rsid w:val="007072B3"/>
    <w:rsid w:val="007148DA"/>
    <w:rsid w:val="00714945"/>
    <w:rsid w:val="00715C88"/>
    <w:rsid w:val="007310D3"/>
    <w:rsid w:val="00747F71"/>
    <w:rsid w:val="00764990"/>
    <w:rsid w:val="007812B1"/>
    <w:rsid w:val="0078427B"/>
    <w:rsid w:val="00787D49"/>
    <w:rsid w:val="007A7762"/>
    <w:rsid w:val="007B1BFC"/>
    <w:rsid w:val="007C4C11"/>
    <w:rsid w:val="007D4B3C"/>
    <w:rsid w:val="007E1161"/>
    <w:rsid w:val="007E2003"/>
    <w:rsid w:val="007F6607"/>
    <w:rsid w:val="0080121D"/>
    <w:rsid w:val="00804EE8"/>
    <w:rsid w:val="00814DE8"/>
    <w:rsid w:val="00822F8B"/>
    <w:rsid w:val="00824BE9"/>
    <w:rsid w:val="00835694"/>
    <w:rsid w:val="00840603"/>
    <w:rsid w:val="0084231F"/>
    <w:rsid w:val="00851EAB"/>
    <w:rsid w:val="00856B37"/>
    <w:rsid w:val="00867FC9"/>
    <w:rsid w:val="008761E8"/>
    <w:rsid w:val="00880B0D"/>
    <w:rsid w:val="008A2249"/>
    <w:rsid w:val="008A6545"/>
    <w:rsid w:val="008C0B76"/>
    <w:rsid w:val="008C4E17"/>
    <w:rsid w:val="008D1132"/>
    <w:rsid w:val="008D3B3B"/>
    <w:rsid w:val="008D3B60"/>
    <w:rsid w:val="008E025C"/>
    <w:rsid w:val="008F09B8"/>
    <w:rsid w:val="008F0BBA"/>
    <w:rsid w:val="00902E94"/>
    <w:rsid w:val="00905A6D"/>
    <w:rsid w:val="00905D6A"/>
    <w:rsid w:val="0090796F"/>
    <w:rsid w:val="00912DAB"/>
    <w:rsid w:val="00926547"/>
    <w:rsid w:val="0093080F"/>
    <w:rsid w:val="00933189"/>
    <w:rsid w:val="0093548D"/>
    <w:rsid w:val="00944A3C"/>
    <w:rsid w:val="0094790F"/>
    <w:rsid w:val="00963CB6"/>
    <w:rsid w:val="009705F1"/>
    <w:rsid w:val="00971591"/>
    <w:rsid w:val="009764FA"/>
    <w:rsid w:val="00976F1C"/>
    <w:rsid w:val="0098330C"/>
    <w:rsid w:val="009865EB"/>
    <w:rsid w:val="00994E3C"/>
    <w:rsid w:val="009951CF"/>
    <w:rsid w:val="009A089E"/>
    <w:rsid w:val="009A1CA3"/>
    <w:rsid w:val="009C3B39"/>
    <w:rsid w:val="009C6945"/>
    <w:rsid w:val="009D2C10"/>
    <w:rsid w:val="009D7AC8"/>
    <w:rsid w:val="009E1F5D"/>
    <w:rsid w:val="009E439A"/>
    <w:rsid w:val="009E456E"/>
    <w:rsid w:val="009F09AB"/>
    <w:rsid w:val="009F6A86"/>
    <w:rsid w:val="00A0024F"/>
    <w:rsid w:val="00A02F71"/>
    <w:rsid w:val="00A16E83"/>
    <w:rsid w:val="00A17125"/>
    <w:rsid w:val="00A224C5"/>
    <w:rsid w:val="00A41370"/>
    <w:rsid w:val="00A42069"/>
    <w:rsid w:val="00A42546"/>
    <w:rsid w:val="00A42B57"/>
    <w:rsid w:val="00A47F4D"/>
    <w:rsid w:val="00A61C35"/>
    <w:rsid w:val="00A62C86"/>
    <w:rsid w:val="00A667DE"/>
    <w:rsid w:val="00A70313"/>
    <w:rsid w:val="00A757B9"/>
    <w:rsid w:val="00A80E77"/>
    <w:rsid w:val="00AA4687"/>
    <w:rsid w:val="00AA7958"/>
    <w:rsid w:val="00AB60C9"/>
    <w:rsid w:val="00AC1066"/>
    <w:rsid w:val="00AC3FFF"/>
    <w:rsid w:val="00AC5D41"/>
    <w:rsid w:val="00AE500F"/>
    <w:rsid w:val="00AF6211"/>
    <w:rsid w:val="00B0752E"/>
    <w:rsid w:val="00B1426D"/>
    <w:rsid w:val="00B16762"/>
    <w:rsid w:val="00B16936"/>
    <w:rsid w:val="00B30092"/>
    <w:rsid w:val="00B35759"/>
    <w:rsid w:val="00B4186D"/>
    <w:rsid w:val="00B4275B"/>
    <w:rsid w:val="00B635BB"/>
    <w:rsid w:val="00B67FE1"/>
    <w:rsid w:val="00B75B31"/>
    <w:rsid w:val="00B77598"/>
    <w:rsid w:val="00BA2C87"/>
    <w:rsid w:val="00BA6623"/>
    <w:rsid w:val="00BA6E38"/>
    <w:rsid w:val="00BB3742"/>
    <w:rsid w:val="00BB4A5A"/>
    <w:rsid w:val="00BC35B1"/>
    <w:rsid w:val="00BD2ABF"/>
    <w:rsid w:val="00BD5506"/>
    <w:rsid w:val="00BE3F6C"/>
    <w:rsid w:val="00C015B5"/>
    <w:rsid w:val="00C27241"/>
    <w:rsid w:val="00C46099"/>
    <w:rsid w:val="00C5716E"/>
    <w:rsid w:val="00C613CA"/>
    <w:rsid w:val="00C74AE0"/>
    <w:rsid w:val="00C86EEF"/>
    <w:rsid w:val="00C93D1F"/>
    <w:rsid w:val="00CA3EB7"/>
    <w:rsid w:val="00CB1DF0"/>
    <w:rsid w:val="00CB4F93"/>
    <w:rsid w:val="00CB615F"/>
    <w:rsid w:val="00CD156A"/>
    <w:rsid w:val="00CE44B4"/>
    <w:rsid w:val="00CE6DF5"/>
    <w:rsid w:val="00CF0E86"/>
    <w:rsid w:val="00D03B56"/>
    <w:rsid w:val="00D12413"/>
    <w:rsid w:val="00D20A74"/>
    <w:rsid w:val="00D2643A"/>
    <w:rsid w:val="00D33D7B"/>
    <w:rsid w:val="00D36C9E"/>
    <w:rsid w:val="00D375E0"/>
    <w:rsid w:val="00D43FBB"/>
    <w:rsid w:val="00D5245C"/>
    <w:rsid w:val="00D741F3"/>
    <w:rsid w:val="00D742FC"/>
    <w:rsid w:val="00D757D7"/>
    <w:rsid w:val="00D819B8"/>
    <w:rsid w:val="00D93BDF"/>
    <w:rsid w:val="00DA399C"/>
    <w:rsid w:val="00DB38D1"/>
    <w:rsid w:val="00DB4E8F"/>
    <w:rsid w:val="00DC29DB"/>
    <w:rsid w:val="00DE1589"/>
    <w:rsid w:val="00DE49E5"/>
    <w:rsid w:val="00DF494C"/>
    <w:rsid w:val="00DF4A65"/>
    <w:rsid w:val="00DF4C32"/>
    <w:rsid w:val="00E0376E"/>
    <w:rsid w:val="00E17D62"/>
    <w:rsid w:val="00E21827"/>
    <w:rsid w:val="00E25D70"/>
    <w:rsid w:val="00E332AD"/>
    <w:rsid w:val="00E34CFC"/>
    <w:rsid w:val="00E34F13"/>
    <w:rsid w:val="00E375F1"/>
    <w:rsid w:val="00E52521"/>
    <w:rsid w:val="00E67540"/>
    <w:rsid w:val="00E867E6"/>
    <w:rsid w:val="00E96193"/>
    <w:rsid w:val="00EA1253"/>
    <w:rsid w:val="00EA3DC9"/>
    <w:rsid w:val="00EA75A7"/>
    <w:rsid w:val="00EB00CE"/>
    <w:rsid w:val="00EB4579"/>
    <w:rsid w:val="00EB73C0"/>
    <w:rsid w:val="00F20799"/>
    <w:rsid w:val="00F27B14"/>
    <w:rsid w:val="00F45E8D"/>
    <w:rsid w:val="00F47D26"/>
    <w:rsid w:val="00F51D4C"/>
    <w:rsid w:val="00F7451A"/>
    <w:rsid w:val="00F7646B"/>
    <w:rsid w:val="00F80A72"/>
    <w:rsid w:val="00F848AB"/>
    <w:rsid w:val="00F92ECA"/>
    <w:rsid w:val="00FA024F"/>
    <w:rsid w:val="00FB0BFF"/>
    <w:rsid w:val="00FC6895"/>
    <w:rsid w:val="00FC7F39"/>
    <w:rsid w:val="00FE4FDE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8AAC8"/>
  <w15:docId w15:val="{7892B04B-2E9E-480E-B331-F6DBDCEC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ECA"/>
    <w:pPr>
      <w:spacing w:after="0" w:line="240" w:lineRule="atLeast"/>
    </w:pPr>
    <w:rPr>
      <w:color w:val="67AE6E" w:themeColor="background2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132"/>
    <w:pPr>
      <w:keepNext/>
      <w:keepLines/>
      <w:spacing w:line="432" w:lineRule="exact"/>
      <w:jc w:val="center"/>
      <w:outlineLvl w:val="0"/>
    </w:pPr>
    <w:rPr>
      <w:rFonts w:asciiTheme="majorHAnsi" w:eastAsiaTheme="majorEastAsia" w:hAnsiTheme="majorHAnsi" w:cstheme="majorBidi"/>
      <w:bCs/>
      <w:color w:val="00AAFF" w:themeColor="accent2"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7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B122F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2724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22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2019AB"/>
    <w:pPr>
      <w:spacing w:after="0" w:line="240" w:lineRule="exac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019AB"/>
    <w:rPr>
      <w:sz w:val="20"/>
    </w:rPr>
  </w:style>
  <w:style w:type="paragraph" w:styleId="Footer">
    <w:name w:val="footer"/>
    <w:link w:val="FooterChar"/>
    <w:uiPriority w:val="99"/>
    <w:unhideWhenUsed/>
    <w:rsid w:val="003C7C34"/>
    <w:pPr>
      <w:spacing w:after="0" w:line="240" w:lineRule="exac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C7C3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6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69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D1132"/>
    <w:rPr>
      <w:rFonts w:asciiTheme="majorHAnsi" w:eastAsiaTheme="majorEastAsia" w:hAnsiTheme="majorHAnsi" w:cstheme="majorBidi"/>
      <w:bCs/>
      <w:color w:val="00AAFF" w:themeColor="accent2"/>
      <w:sz w:val="36"/>
      <w:szCs w:val="36"/>
      <w:lang w:val="en-US"/>
    </w:rPr>
  </w:style>
  <w:style w:type="table" w:styleId="TableGrid">
    <w:name w:val="Table Grid"/>
    <w:basedOn w:val="TableNormal"/>
    <w:uiPriority w:val="59"/>
    <w:rsid w:val="000C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postale">
    <w:name w:val="Adresse postale"/>
    <w:basedOn w:val="Normal"/>
    <w:semiHidden/>
    <w:rsid w:val="00317240"/>
    <w:pPr>
      <w:spacing w:line="200" w:lineRule="atLeast"/>
    </w:pPr>
    <w:rPr>
      <w:color w:val="F4C867" w:themeColor="text2"/>
      <w:sz w:val="16"/>
      <w:szCs w:val="17"/>
    </w:rPr>
  </w:style>
  <w:style w:type="paragraph" w:customStyle="1" w:styleId="Adresseinternet">
    <w:name w:val="Adresse internet"/>
    <w:basedOn w:val="Adressepostale"/>
    <w:semiHidden/>
    <w:rsid w:val="00317240"/>
    <w:pPr>
      <w:framePr w:hSpace="142" w:wrap="around" w:hAnchor="margin" w:yAlign="bottom"/>
      <w:suppressOverlap/>
      <w:jc w:val="right"/>
    </w:pPr>
    <w:rPr>
      <w:color w:val="17255F" w:themeColor="accent1"/>
      <w:sz w:val="17"/>
    </w:rPr>
  </w:style>
  <w:style w:type="paragraph" w:customStyle="1" w:styleId="Adressesocit">
    <w:name w:val="Adresse société"/>
    <w:basedOn w:val="Adressepostale"/>
    <w:semiHidden/>
    <w:rsid w:val="00317240"/>
    <w:pPr>
      <w:framePr w:hSpace="142" w:wrap="around" w:hAnchor="margin" w:yAlign="bottom"/>
      <w:suppressOverlap/>
    </w:pPr>
    <w:rPr>
      <w:sz w:val="17"/>
    </w:rPr>
  </w:style>
  <w:style w:type="paragraph" w:customStyle="1" w:styleId="Numrodetlphone">
    <w:name w:val="Numéro de téléphone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CapitalRCS">
    <w:name w:val="Capital RCS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Intitul">
    <w:name w:val="Intitulé"/>
    <w:basedOn w:val="Normal"/>
    <w:qFormat/>
    <w:rsid w:val="008D1132"/>
    <w:pPr>
      <w:jc w:val="right"/>
    </w:pPr>
    <w:rPr>
      <w:color w:val="17255F" w:themeColor="accent1"/>
      <w:sz w:val="28"/>
      <w:szCs w:val="28"/>
    </w:rPr>
  </w:style>
  <w:style w:type="paragraph" w:customStyle="1" w:styleId="Textepuce">
    <w:name w:val="Texte puce"/>
    <w:basedOn w:val="Textedesaisie"/>
    <w:qFormat/>
    <w:rsid w:val="00714945"/>
    <w:pPr>
      <w:numPr>
        <w:numId w:val="16"/>
      </w:numPr>
    </w:pPr>
  </w:style>
  <w:style w:type="paragraph" w:customStyle="1" w:styleId="Texteadresseinternet">
    <w:name w:val="Texte adresse internet"/>
    <w:basedOn w:val="Footer"/>
    <w:qFormat/>
    <w:rsid w:val="008D1132"/>
    <w:pPr>
      <w:jc w:val="right"/>
    </w:pPr>
    <w:rPr>
      <w:color w:val="007E96"/>
      <w:sz w:val="18"/>
      <w:szCs w:val="18"/>
    </w:rPr>
  </w:style>
  <w:style w:type="paragraph" w:customStyle="1" w:styleId="Adressepieddepage">
    <w:name w:val="Adresse pied de page"/>
    <w:basedOn w:val="Footer"/>
    <w:qFormat/>
    <w:rsid w:val="003D120D"/>
    <w:pPr>
      <w:spacing w:line="180" w:lineRule="atLeast"/>
    </w:pPr>
    <w:rPr>
      <w:color w:val="84A0AF"/>
      <w:sz w:val="14"/>
      <w:szCs w:val="14"/>
      <w:lang w:val="en-GB"/>
    </w:rPr>
  </w:style>
  <w:style w:type="character" w:customStyle="1" w:styleId="Bold">
    <w:name w:val="Bold"/>
    <w:basedOn w:val="DefaultParagraphFont"/>
    <w:uiPriority w:val="1"/>
    <w:qFormat/>
    <w:rsid w:val="0078427B"/>
    <w:rPr>
      <w:rFonts w:cs="Times New Roman"/>
      <w:b/>
      <w:lang w:val="en-US" w:eastAsia="x-none"/>
    </w:rPr>
  </w:style>
  <w:style w:type="paragraph" w:customStyle="1" w:styleId="Textedesaisie">
    <w:name w:val="Texte de saisie"/>
    <w:basedOn w:val="Normal"/>
    <w:qFormat/>
    <w:rsid w:val="00562B4F"/>
    <w:pPr>
      <w:jc w:val="both"/>
    </w:pPr>
    <w:rPr>
      <w:color w:val="000000" w:themeColor="text1"/>
    </w:rPr>
  </w:style>
  <w:style w:type="paragraph" w:customStyle="1" w:styleId="Texteintroduction">
    <w:name w:val="Texte introduction"/>
    <w:basedOn w:val="Textedesaisie"/>
    <w:qFormat/>
    <w:rsid w:val="008C0B76"/>
    <w:rPr>
      <w:b/>
      <w:sz w:val="22"/>
    </w:rPr>
  </w:style>
  <w:style w:type="paragraph" w:customStyle="1" w:styleId="Datedudocument">
    <w:name w:val="Date du document"/>
    <w:basedOn w:val="Normal"/>
    <w:qFormat/>
    <w:rsid w:val="008D1132"/>
    <w:pPr>
      <w:jc w:val="right"/>
    </w:pPr>
    <w:rPr>
      <w:color w:val="17255F" w:themeColor="accent1"/>
      <w:sz w:val="28"/>
      <w:szCs w:val="28"/>
    </w:rPr>
  </w:style>
  <w:style w:type="character" w:styleId="Hyperlink">
    <w:name w:val="Hyperlink"/>
    <w:basedOn w:val="DefaultParagraphFont"/>
    <w:uiPriority w:val="99"/>
    <w:rsid w:val="008D1132"/>
    <w:rPr>
      <w:color w:val="00AAFF" w:themeColor="accent2"/>
      <w:u w:val="single"/>
    </w:rPr>
  </w:style>
  <w:style w:type="paragraph" w:customStyle="1" w:styleId="Texteapropos">
    <w:name w:val="Texte a propos"/>
    <w:basedOn w:val="Textedesaisie"/>
    <w:qFormat/>
    <w:rsid w:val="00F92ECA"/>
    <w:pPr>
      <w:spacing w:line="216" w:lineRule="atLeast"/>
    </w:pPr>
    <w:rPr>
      <w:color w:val="auto"/>
      <w:sz w:val="18"/>
      <w:szCs w:val="18"/>
    </w:rPr>
  </w:style>
  <w:style w:type="paragraph" w:customStyle="1" w:styleId="Textecontact">
    <w:name w:val="Texte contact"/>
    <w:basedOn w:val="Textedesaisie"/>
    <w:qFormat/>
    <w:rsid w:val="00F92ECA"/>
    <w:pPr>
      <w:spacing w:line="216" w:lineRule="atLeast"/>
      <w:jc w:val="left"/>
    </w:pPr>
    <w:rPr>
      <w:color w:val="auto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12FD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12FD"/>
    <w:rPr>
      <w:color w:val="67AE6E" w:themeColor="background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12FD"/>
    <w:rPr>
      <w:vertAlign w:val="superscript"/>
    </w:rPr>
  </w:style>
  <w:style w:type="paragraph" w:styleId="Revision">
    <w:name w:val="Revision"/>
    <w:hidden/>
    <w:uiPriority w:val="99"/>
    <w:semiHidden/>
    <w:rsid w:val="00E96193"/>
    <w:pPr>
      <w:spacing w:after="0" w:line="240" w:lineRule="auto"/>
    </w:pPr>
    <w:rPr>
      <w:color w:val="67AE6E" w:themeColor="background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241"/>
    <w:rPr>
      <w:rFonts w:asciiTheme="majorHAnsi" w:eastAsiaTheme="majorEastAsia" w:hAnsiTheme="majorHAnsi" w:cstheme="majorBidi"/>
      <w:color w:val="0B122F" w:themeColor="accent1" w:themeShade="7F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21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21D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21D7"/>
    <w:rPr>
      <w:color w:val="67AE6E" w:themeColor="background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1D7"/>
    <w:rPr>
      <w:b/>
      <w:bCs/>
      <w:color w:val="67AE6E" w:themeColor="background2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124"/>
    <w:rPr>
      <w:rFonts w:asciiTheme="majorHAnsi" w:eastAsiaTheme="majorEastAsia" w:hAnsiTheme="majorHAnsi" w:cstheme="majorBidi"/>
      <w:color w:val="0B122F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F0E86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gdalena.jarominska@engie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bout.bnef.com/insights/clean-energy/energy-storage-enters-the-100-gigawatt-era-three-things-to-know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ENGIE WORD">
      <a:dk1>
        <a:sysClr val="windowText" lastClr="000000"/>
      </a:dk1>
      <a:lt1>
        <a:sysClr val="window" lastClr="FFFFFF"/>
      </a:lt1>
      <a:dk2>
        <a:srgbClr val="F4C867"/>
      </a:dk2>
      <a:lt2>
        <a:srgbClr val="67AE6E"/>
      </a:lt2>
      <a:accent1>
        <a:srgbClr val="17255F"/>
      </a:accent1>
      <a:accent2>
        <a:srgbClr val="00AAFF"/>
      </a:accent2>
      <a:accent3>
        <a:srgbClr val="00817D"/>
      </a:accent3>
      <a:accent4>
        <a:srgbClr val="E18554"/>
      </a:accent4>
      <a:accent5>
        <a:srgbClr val="1D8CBC"/>
      </a:accent5>
      <a:accent6>
        <a:srgbClr val="4BB0B9"/>
      </a:accent6>
      <a:hlink>
        <a:srgbClr val="000000"/>
      </a:hlink>
      <a:folHlink>
        <a:srgbClr val="000000"/>
      </a:folHlink>
    </a:clrScheme>
    <a:fontScheme name="Arial Black - Arial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TaxCatchAll xmlns="87037488-ec5d-4aba-84c2-9b1d22638e8e" xsi:nil="true"/>
    <lcf76f155ced4ddcb4097134ff3c332f xmlns="472ac576-5ff4-4b27-bae3-03808dc2c59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20D120D903043822611437C79D1EF" ma:contentTypeVersion="17" ma:contentTypeDescription="Crée un document." ma:contentTypeScope="" ma:versionID="f47ecb3f01c9c321d875786a6723fa1d">
  <xsd:schema xmlns:xsd="http://www.w3.org/2001/XMLSchema" xmlns:xs="http://www.w3.org/2001/XMLSchema" xmlns:p="http://schemas.microsoft.com/office/2006/metadata/properties" xmlns:ns2="87037488-ec5d-4aba-84c2-9b1d22638e8e" xmlns:ns3="472ac576-5ff4-4b27-bae3-03808dc2c591" xmlns:ns4="b695bf10-b696-445a-a469-6df7b2febfa6" targetNamespace="http://schemas.microsoft.com/office/2006/metadata/properties" ma:root="true" ma:fieldsID="366f67f3f8de4e1e75d12e48669c5bf9" ns2:_="" ns3:_="" ns4:_="">
    <xsd:import namespace="87037488-ec5d-4aba-84c2-9b1d22638e8e"/>
    <xsd:import namespace="472ac576-5ff4-4b27-bae3-03808dc2c591"/>
    <xsd:import namespace="b695bf10-b696-445a-a469-6df7b2febfa6"/>
    <xsd:element name="properties">
      <xsd:complexType>
        <xsd:sequence>
          <xsd:element name="documentManagement">
            <xsd:complexType>
              <xsd:all>
                <xsd:element ref="ns2:b1b820adfd3e4a078472514c1a5cb5ff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cb8bc24-51c5-42f9-9e9f-4fd8864ca313}" ma:internalName="TaxCatchAll" ma:showField="CatchAllData" ma:web="b695bf10-b696-445a-a469-6df7b2febf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cb8bc24-51c5-42f9-9e9f-4fd8864ca313}" ma:internalName="TaxCatchAllLabel" ma:readOnly="true" ma:showField="CatchAllDataLabel" ma:web="b695bf10-b696-445a-a469-6df7b2febf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c576-5ff4-4b27-bae3-03808dc2c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bf472f7-a010-4b5a-bb99-a26ed4c99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5bf10-b696-445a-a469-6df7b2febfa6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4F908E-DD9A-45B4-BF39-5368EECB99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BE8D97-4C21-46A2-9CD5-E1227B746EE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EF2D3B6-5800-4E4A-9210-B88BA43440AC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472ac576-5ff4-4b27-bae3-03808dc2c591"/>
  </ds:schemaRefs>
</ds:datastoreItem>
</file>

<file path=customXml/itemProps4.xml><?xml version="1.0" encoding="utf-8"?>
<ds:datastoreItem xmlns:ds="http://schemas.openxmlformats.org/officeDocument/2006/customXml" ds:itemID="{B2A9C052-6AD2-4D5F-AF1B-AA3E4AE21C3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131C863-0BBA-41FC-B658-843F28DB5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472ac576-5ff4-4b27-bae3-03808dc2c591"/>
    <ds:schemaRef ds:uri="b695bf10-b696-445a-a469-6df7b2feb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a9b9e15-83d2-4075-9282-a04e05c6580a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4873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ENGIE</vt:lpstr>
      <vt:lpstr>ENGIE</vt:lpstr>
    </vt:vector>
  </TitlesOfParts>
  <Manager>ENGIE</Manager>
  <Company>ENGIE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ENGIE</dc:title>
  <dc:subject>ENGIE</dc:subject>
  <dc:creator>Lenain</dc:creator>
  <cp:keywords/>
  <cp:lastModifiedBy>Klaudia Klimek</cp:lastModifiedBy>
  <cp:revision>17</cp:revision>
  <dcterms:created xsi:type="dcterms:W3CDTF">2026-08-18T06:49:00Z</dcterms:created>
  <dcterms:modified xsi:type="dcterms:W3CDTF">2026-09-04T06:25:00Z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0x0101004AF20D120D903043822611437C79D1EF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Security Classification">
    <vt:lpwstr/>
  </property>
  <property fmtid="{D5CDD505-2E9C-101B-9397-08002B2CF9AE}" pid="6" name="Security_x0020_Classification">
    <vt:lpwstr/>
  </property>
</Properties>
</file>