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3F010" w14:textId="77777777" w:rsidR="003E6ED5" w:rsidRPr="003E6ED5" w:rsidRDefault="003E6ED5" w:rsidP="003E6ED5">
      <w:pPr>
        <w:spacing w:before="120" w:after="120" w:line="240" w:lineRule="auto"/>
        <w:rPr>
          <w:rFonts w:ascii="Noto Sans" w:eastAsia="Times New Roman" w:hAnsi="Noto Sans" w:cs="Noto Sans"/>
          <w:b/>
          <w:bCs/>
          <w:sz w:val="28"/>
          <w:szCs w:val="28"/>
        </w:rPr>
      </w:pPr>
      <w:bookmarkStart w:id="0" w:name="_Hlk46133219"/>
      <w:r w:rsidRPr="003E6ED5">
        <w:rPr>
          <w:rFonts w:ascii="Noto Sans" w:eastAsia="Times New Roman" w:hAnsi="Noto Sans" w:cs="Noto Sans"/>
          <w:b/>
          <w:bCs/>
          <w:sz w:val="28"/>
          <w:szCs w:val="28"/>
        </w:rPr>
        <w:t>Packaging EPR: From Packaging Supplier to Strategic Brand Partner</w:t>
      </w:r>
    </w:p>
    <w:p w14:paraId="1C9D7ABE" w14:textId="77777777" w:rsidR="003E6ED5" w:rsidRPr="003E6ED5" w:rsidRDefault="003E6ED5" w:rsidP="003E6ED5">
      <w:pPr>
        <w:spacing w:before="120" w:after="120" w:line="240" w:lineRule="auto"/>
        <w:rPr>
          <w:rFonts w:ascii="Noto Sans" w:eastAsia="Times New Roman" w:hAnsi="Noto Sans" w:cs="Noto Sans"/>
          <w:i/>
          <w:iCs/>
          <w:sz w:val="22"/>
        </w:rPr>
      </w:pPr>
      <w:r w:rsidRPr="003E6ED5">
        <w:rPr>
          <w:rFonts w:ascii="Noto Sans" w:eastAsia="Times New Roman" w:hAnsi="Noto Sans" w:cs="Noto Sans"/>
          <w:i/>
          <w:iCs/>
          <w:sz w:val="22"/>
        </w:rPr>
        <w:t xml:space="preserve">Global sustainability regulations are reshaping brands’ packaging strategies. </w:t>
      </w:r>
      <w:hyperlink r:id="rId6" w:history="1">
        <w:r w:rsidRPr="003E6ED5">
          <w:rPr>
            <w:rFonts w:ascii="Noto Sans" w:eastAsia="Times New Roman" w:hAnsi="Noto Sans" w:cs="Noto Sans"/>
            <w:i/>
            <w:iCs/>
            <w:color w:val="0000EE"/>
            <w:sz w:val="22"/>
            <w:u w:val="single" w:color="0000EE"/>
          </w:rPr>
          <w:t>Packaging has evolved</w:t>
        </w:r>
      </w:hyperlink>
      <w:r w:rsidRPr="003E6ED5">
        <w:rPr>
          <w:rFonts w:ascii="Noto Sans" w:eastAsia="Times New Roman" w:hAnsi="Noto Sans" w:cs="Noto Sans"/>
          <w:i/>
          <w:iCs/>
          <w:sz w:val="22"/>
        </w:rPr>
        <w:t xml:space="preserve"> from a simple product protector into a multi-faceted asset that delivers not only product protection and regulatory compliance but also brand communication and customer engagement.</w:t>
      </w:r>
    </w:p>
    <w:p w14:paraId="607A9846" w14:textId="77777777" w:rsidR="003E6ED5" w:rsidRPr="003E6ED5" w:rsidRDefault="003E6ED5" w:rsidP="003E6ED5">
      <w:pPr>
        <w:spacing w:before="120" w:after="120" w:line="240" w:lineRule="auto"/>
        <w:rPr>
          <w:rFonts w:ascii="Noto Sans" w:eastAsia="Times New Roman" w:hAnsi="Noto Sans" w:cs="Noto Sans"/>
          <w:i/>
          <w:iCs/>
          <w:sz w:val="22"/>
        </w:rPr>
      </w:pPr>
      <w:r w:rsidRPr="003E6ED5">
        <w:rPr>
          <w:rFonts w:ascii="Noto Sans" w:eastAsia="Times New Roman" w:hAnsi="Noto Sans" w:cs="Noto Sans"/>
          <w:i/>
          <w:iCs/>
          <w:sz w:val="22"/>
        </w:rPr>
        <w:t>With the introduction of the EU Packaging and Packaging Waste Regulation (PPWR), and local Extended Producer Responsibility for Packaging (EPR) schemes packaging reusability and recyclability have become a key focus for brand owners.</w:t>
      </w:r>
    </w:p>
    <w:p w14:paraId="5A3099AF" w14:textId="15C7C0C7" w:rsidR="003E6ED5" w:rsidRPr="003E6ED5" w:rsidRDefault="00226E7E" w:rsidP="003E6ED5">
      <w:pPr>
        <w:spacing w:before="120" w:after="120" w:line="240" w:lineRule="auto"/>
        <w:rPr>
          <w:rFonts w:ascii="Noto Sans" w:eastAsia="Times New Roman" w:hAnsi="Noto Sans" w:cs="Noto Sans"/>
          <w:i/>
          <w:iCs/>
          <w:sz w:val="22"/>
        </w:rPr>
      </w:pPr>
      <w:r w:rsidRPr="00226E7E">
        <w:rPr>
          <w:rFonts w:ascii="Noto Sans" w:eastAsia="Times New Roman" w:hAnsi="Noto Sans" w:cs="Noto Sans"/>
          <w:i/>
          <w:iCs/>
          <w:sz w:val="22"/>
        </w:rPr>
        <w:t>Mike Barry, Commercial Director, Digital Printing, Domino</w:t>
      </w:r>
      <w:r w:rsidR="003E6ED5" w:rsidRPr="003E6ED5">
        <w:rPr>
          <w:rFonts w:ascii="Noto Sans" w:eastAsia="Times New Roman" w:hAnsi="Noto Sans" w:cs="Noto Sans"/>
          <w:i/>
          <w:iCs/>
          <w:sz w:val="22"/>
        </w:rPr>
        <w:t>, explains how label and packaging converters can support brands’ ‘Design for Recyclability’ initiatives and packaging EPR compliance.</w:t>
      </w:r>
    </w:p>
    <w:p w14:paraId="1584A9C4" w14:textId="77777777" w:rsidR="003E6ED5" w:rsidRPr="003E6ED5" w:rsidRDefault="003E6ED5" w:rsidP="003E6ED5">
      <w:pPr>
        <w:spacing w:before="120" w:after="120" w:line="240" w:lineRule="auto"/>
        <w:rPr>
          <w:rFonts w:ascii="Noto Sans" w:eastAsia="Times New Roman" w:hAnsi="Noto Sans" w:cs="Noto Sans"/>
          <w:sz w:val="22"/>
        </w:rPr>
      </w:pPr>
      <w:r w:rsidRPr="003E6ED5">
        <w:rPr>
          <w:rFonts w:ascii="Noto Sans" w:eastAsia="Times New Roman" w:hAnsi="Noto Sans" w:cs="Noto Sans"/>
          <w:b/>
          <w:bCs/>
          <w:sz w:val="22"/>
        </w:rPr>
        <w:t>Recycling Priority</w:t>
      </w:r>
      <w:r w:rsidRPr="003E6ED5">
        <w:rPr>
          <w:rFonts w:ascii="Noto Sans" w:eastAsia="Times New Roman" w:hAnsi="Noto Sans" w:cs="Noto Sans"/>
          <w:sz w:val="22"/>
        </w:rPr>
        <w:t xml:space="preserve"> </w:t>
      </w:r>
    </w:p>
    <w:p w14:paraId="1D7179DB" w14:textId="77777777" w:rsidR="003E6ED5" w:rsidRPr="003E6ED5" w:rsidRDefault="003E6ED5" w:rsidP="003E6ED5">
      <w:pPr>
        <w:spacing w:before="120" w:after="120" w:line="240" w:lineRule="auto"/>
        <w:rPr>
          <w:rFonts w:ascii="Noto Sans" w:eastAsia="Times New Roman" w:hAnsi="Noto Sans" w:cs="Noto Sans"/>
          <w:sz w:val="22"/>
        </w:rPr>
      </w:pPr>
      <w:r w:rsidRPr="003E6ED5">
        <w:rPr>
          <w:rFonts w:ascii="Noto Sans" w:eastAsia="Times New Roman" w:hAnsi="Noto Sans" w:cs="Noto Sans"/>
          <w:sz w:val="22"/>
        </w:rPr>
        <w:t xml:space="preserve">Over </w:t>
      </w:r>
      <w:hyperlink r:id="rId7" w:history="1">
        <w:r w:rsidRPr="003E6ED5">
          <w:rPr>
            <w:rFonts w:ascii="Noto Sans" w:eastAsia="Times New Roman" w:hAnsi="Noto Sans" w:cs="Noto Sans"/>
            <w:color w:val="0000EE"/>
            <w:sz w:val="22"/>
            <w:u w:val="single" w:color="0000EE"/>
          </w:rPr>
          <w:t>70 countries worldwide</w:t>
        </w:r>
      </w:hyperlink>
      <w:r w:rsidRPr="003E6ED5">
        <w:rPr>
          <w:rFonts w:ascii="Noto Sans" w:eastAsia="Times New Roman" w:hAnsi="Noto Sans" w:cs="Noto Sans"/>
          <w:sz w:val="22"/>
        </w:rPr>
        <w:t xml:space="preserve"> now operate Extended Producer Responsibility for Packaging (EPR) schemes. While the scope of EPR frameworks can vary by region, as standard, the scheme demands brands register as producers, report packaging volumes, and pay EPR fees. </w:t>
      </w:r>
    </w:p>
    <w:p w14:paraId="255C7C22" w14:textId="77777777" w:rsidR="003E6ED5" w:rsidRPr="003E6ED5" w:rsidRDefault="003E6ED5" w:rsidP="003E6ED5">
      <w:pPr>
        <w:spacing w:before="120" w:after="120" w:line="240" w:lineRule="auto"/>
        <w:rPr>
          <w:rFonts w:ascii="Noto Sans" w:eastAsia="Times New Roman" w:hAnsi="Noto Sans" w:cs="Noto Sans"/>
          <w:sz w:val="22"/>
        </w:rPr>
      </w:pPr>
      <w:r w:rsidRPr="003E6ED5">
        <w:rPr>
          <w:rFonts w:ascii="Noto Sans" w:eastAsia="Times New Roman" w:hAnsi="Noto Sans" w:cs="Noto Sans"/>
          <w:sz w:val="22"/>
        </w:rPr>
        <w:t xml:space="preserve">Some EPR frameworks include a mandate to reduce packaging and improve recyclability. Others require clearer, standardised recycling labels to help consumers dispose of packaging correctly, with the aim of eliminating pollution in recycling streams and ensuring all </w:t>
      </w:r>
      <w:proofErr w:type="spellStart"/>
      <w:r w:rsidRPr="003E6ED5">
        <w:rPr>
          <w:rFonts w:ascii="Noto Sans" w:eastAsia="Times New Roman" w:hAnsi="Noto Sans" w:cs="Noto Sans"/>
          <w:sz w:val="22"/>
        </w:rPr>
        <w:t>recyclate</w:t>
      </w:r>
      <w:proofErr w:type="spellEnd"/>
      <w:r w:rsidRPr="003E6ED5">
        <w:rPr>
          <w:rFonts w:ascii="Noto Sans" w:eastAsia="Times New Roman" w:hAnsi="Noto Sans" w:cs="Noto Sans"/>
          <w:sz w:val="22"/>
        </w:rPr>
        <w:t xml:space="preserve"> is suitable for reuse in the circular economy. </w:t>
      </w:r>
    </w:p>
    <w:p w14:paraId="6812F951" w14:textId="77777777" w:rsidR="003E6ED5" w:rsidRPr="003E6ED5" w:rsidRDefault="003E6ED5" w:rsidP="003E6ED5">
      <w:pPr>
        <w:spacing w:before="120" w:after="120" w:line="240" w:lineRule="auto"/>
        <w:rPr>
          <w:rFonts w:ascii="Noto Sans" w:eastAsia="Times New Roman" w:hAnsi="Noto Sans" w:cs="Noto Sans"/>
          <w:sz w:val="22"/>
        </w:rPr>
      </w:pPr>
      <w:r w:rsidRPr="003E6ED5">
        <w:rPr>
          <w:rFonts w:ascii="Noto Sans" w:eastAsia="Times New Roman" w:hAnsi="Noto Sans" w:cs="Noto Sans"/>
          <w:sz w:val="22"/>
        </w:rPr>
        <w:t xml:space="preserve">Every packaging component, including labels, substrates, and printing inks, </w:t>
      </w:r>
      <w:proofErr w:type="gramStart"/>
      <w:r w:rsidRPr="003E6ED5">
        <w:rPr>
          <w:rFonts w:ascii="Noto Sans" w:eastAsia="Times New Roman" w:hAnsi="Noto Sans" w:cs="Noto Sans"/>
          <w:sz w:val="22"/>
        </w:rPr>
        <w:t>is affected</w:t>
      </w:r>
      <w:proofErr w:type="gramEnd"/>
      <w:r w:rsidRPr="003E6ED5">
        <w:rPr>
          <w:rFonts w:ascii="Noto Sans" w:eastAsia="Times New Roman" w:hAnsi="Noto Sans" w:cs="Noto Sans"/>
          <w:sz w:val="22"/>
        </w:rPr>
        <w:t>.</w:t>
      </w:r>
    </w:p>
    <w:p w14:paraId="3AF397E1" w14:textId="77777777" w:rsidR="003E6ED5" w:rsidRPr="003E6ED5" w:rsidRDefault="003E6ED5" w:rsidP="003E6ED5">
      <w:pPr>
        <w:spacing w:before="120" w:after="120" w:line="240" w:lineRule="auto"/>
        <w:rPr>
          <w:rFonts w:ascii="Noto Sans" w:eastAsia="Times New Roman" w:hAnsi="Noto Sans" w:cs="Noto Sans"/>
          <w:b/>
          <w:bCs/>
          <w:sz w:val="22"/>
        </w:rPr>
      </w:pPr>
      <w:r w:rsidRPr="003E6ED5">
        <w:rPr>
          <w:rFonts w:ascii="Noto Sans" w:eastAsia="Times New Roman" w:hAnsi="Noto Sans" w:cs="Noto Sans"/>
          <w:b/>
          <w:bCs/>
          <w:sz w:val="22"/>
        </w:rPr>
        <w:t>Escalating cost implications</w:t>
      </w:r>
    </w:p>
    <w:p w14:paraId="2E166B74" w14:textId="77777777" w:rsidR="003E6ED5" w:rsidRPr="003E6ED5" w:rsidRDefault="003E6ED5" w:rsidP="003E6ED5">
      <w:pPr>
        <w:spacing w:before="120" w:after="120" w:line="240" w:lineRule="auto"/>
        <w:rPr>
          <w:rFonts w:ascii="Noto Sans" w:eastAsia="Times New Roman" w:hAnsi="Noto Sans" w:cs="Noto Sans"/>
          <w:sz w:val="22"/>
        </w:rPr>
      </w:pPr>
      <w:r w:rsidRPr="003E6ED5">
        <w:rPr>
          <w:rFonts w:ascii="Noto Sans" w:eastAsia="Times New Roman" w:hAnsi="Noto Sans" w:cs="Noto Sans"/>
          <w:sz w:val="22"/>
        </w:rPr>
        <w:t xml:space="preserve">EPR fee structures are typically based on the packaging weight or unit count, with calculation methods varying by region. Some countries have established eco-modulated fee structures to reward more sustainable packaging design and material </w:t>
      </w:r>
      <w:proofErr w:type="gramStart"/>
      <w:r w:rsidRPr="003E6ED5">
        <w:rPr>
          <w:rFonts w:ascii="Noto Sans" w:eastAsia="Times New Roman" w:hAnsi="Noto Sans" w:cs="Noto Sans"/>
          <w:sz w:val="22"/>
        </w:rPr>
        <w:t>choices, and</w:t>
      </w:r>
      <w:proofErr w:type="gramEnd"/>
      <w:r w:rsidRPr="003E6ED5">
        <w:rPr>
          <w:rFonts w:ascii="Noto Sans" w:eastAsia="Times New Roman" w:hAnsi="Noto Sans" w:cs="Noto Sans"/>
          <w:sz w:val="22"/>
        </w:rPr>
        <w:t xml:space="preserve"> discourage lightweighting using less environmentally friendly materials. </w:t>
      </w:r>
    </w:p>
    <w:p w14:paraId="2D251D61" w14:textId="77777777" w:rsidR="003E6ED5" w:rsidRPr="003E6ED5" w:rsidRDefault="003E6ED5" w:rsidP="003E6ED5">
      <w:pPr>
        <w:spacing w:before="120" w:after="120" w:line="240" w:lineRule="auto"/>
        <w:rPr>
          <w:rFonts w:ascii="Noto Sans" w:eastAsia="Times New Roman" w:hAnsi="Noto Sans" w:cs="Noto Sans"/>
          <w:sz w:val="22"/>
        </w:rPr>
      </w:pPr>
      <w:r w:rsidRPr="003E6ED5">
        <w:rPr>
          <w:rFonts w:ascii="Noto Sans" w:eastAsia="Times New Roman" w:hAnsi="Noto Sans" w:cs="Noto Sans"/>
          <w:sz w:val="22"/>
        </w:rPr>
        <w:t xml:space="preserve">In the UK, eco-modulation classifies packaging waste within a traffic light system based on the </w:t>
      </w:r>
      <w:hyperlink r:id="rId8" w:history="1">
        <w:r w:rsidRPr="003E6ED5">
          <w:rPr>
            <w:rFonts w:ascii="Noto Sans" w:eastAsia="Times New Roman" w:hAnsi="Noto Sans" w:cs="Noto Sans"/>
            <w:color w:val="0000EE"/>
            <w:sz w:val="22"/>
            <w:u w:val="single" w:color="0000EE"/>
          </w:rPr>
          <w:t>Recyclability Assessment Methodology (RAM)</w:t>
        </w:r>
      </w:hyperlink>
      <w:r w:rsidRPr="003E6ED5">
        <w:rPr>
          <w:rFonts w:ascii="Noto Sans" w:eastAsia="Times New Roman" w:hAnsi="Noto Sans" w:cs="Noto Sans"/>
          <w:sz w:val="22"/>
        </w:rPr>
        <w:t xml:space="preserve">. Materials that are widely recycled benefit from lower fees, while those that are more difficult to recycle incur higher costs. Poor ink or material choices can downgrade otherwise recyclable packaging, resulting in higher fees for brands. </w:t>
      </w:r>
    </w:p>
    <w:p w14:paraId="03E4DCB9" w14:textId="77777777" w:rsidR="003E6ED5" w:rsidRPr="003E6ED5" w:rsidRDefault="003E6ED5" w:rsidP="003E6ED5">
      <w:pPr>
        <w:spacing w:before="120" w:after="120" w:line="240" w:lineRule="auto"/>
        <w:rPr>
          <w:rFonts w:ascii="Noto Sans" w:eastAsia="Times New Roman" w:hAnsi="Noto Sans" w:cs="Noto Sans"/>
          <w:sz w:val="22"/>
        </w:rPr>
      </w:pPr>
      <w:r w:rsidRPr="003E6ED5">
        <w:rPr>
          <w:rFonts w:ascii="Noto Sans" w:eastAsia="Times New Roman" w:hAnsi="Noto Sans" w:cs="Noto Sans"/>
          <w:sz w:val="22"/>
        </w:rPr>
        <w:t xml:space="preserve">By linking packaging design and material choices directly to costs, recyclability performance, and market competitiveness, it’s clear that EPR is more than just a tick-box exercise for brands. </w:t>
      </w:r>
    </w:p>
    <w:p w14:paraId="7DF44772" w14:textId="77777777" w:rsidR="003E6ED5" w:rsidRPr="003E6ED5" w:rsidRDefault="003E6ED5" w:rsidP="003E6ED5">
      <w:pPr>
        <w:spacing w:before="120" w:after="120" w:line="240" w:lineRule="auto"/>
        <w:rPr>
          <w:rFonts w:ascii="Noto Sans" w:eastAsia="Times New Roman" w:hAnsi="Noto Sans" w:cs="Noto Sans"/>
          <w:sz w:val="22"/>
        </w:rPr>
      </w:pPr>
      <w:r w:rsidRPr="003E6ED5">
        <w:rPr>
          <w:rFonts w:ascii="Noto Sans" w:eastAsia="Times New Roman" w:hAnsi="Noto Sans" w:cs="Noto Sans"/>
          <w:b/>
          <w:bCs/>
          <w:sz w:val="22"/>
        </w:rPr>
        <w:lastRenderedPageBreak/>
        <w:t>Driving packaging recyclability and reducing fees</w:t>
      </w:r>
    </w:p>
    <w:p w14:paraId="1F65E0FE" w14:textId="77777777" w:rsidR="003E6ED5" w:rsidRPr="003E6ED5" w:rsidRDefault="003E6ED5" w:rsidP="003E6ED5">
      <w:pPr>
        <w:spacing w:before="120" w:after="120" w:line="240" w:lineRule="auto"/>
        <w:rPr>
          <w:rFonts w:ascii="Noto Sans" w:eastAsia="Times New Roman" w:hAnsi="Noto Sans" w:cs="Noto Sans"/>
          <w:sz w:val="22"/>
        </w:rPr>
      </w:pPr>
      <w:r w:rsidRPr="003E6ED5">
        <w:rPr>
          <w:rFonts w:ascii="Noto Sans" w:eastAsia="Times New Roman" w:hAnsi="Noto Sans" w:cs="Noto Sans"/>
          <w:sz w:val="22"/>
        </w:rPr>
        <w:t xml:space="preserve">Converters play a key role in supporting brand owners’ responses to evolving regulatory demands while also enabling more sustainable, circular packaging solutions. </w:t>
      </w:r>
    </w:p>
    <w:p w14:paraId="22753E6D" w14:textId="77777777" w:rsidR="003E6ED5" w:rsidRPr="003E6ED5" w:rsidRDefault="003E6ED5" w:rsidP="003E6ED5">
      <w:pPr>
        <w:spacing w:before="120" w:after="120" w:line="240" w:lineRule="auto"/>
        <w:rPr>
          <w:rFonts w:ascii="Noto Sans" w:eastAsia="Times New Roman" w:hAnsi="Noto Sans" w:cs="Noto Sans"/>
          <w:sz w:val="22"/>
        </w:rPr>
      </w:pPr>
      <w:r w:rsidRPr="003E6ED5">
        <w:rPr>
          <w:rFonts w:ascii="Noto Sans" w:eastAsia="Times New Roman" w:hAnsi="Noto Sans" w:cs="Noto Sans"/>
          <w:sz w:val="22"/>
        </w:rPr>
        <w:t>Beyond reporting, packaging EPR and PPWR are prompting many brands to redesign packaging according to ‘</w:t>
      </w:r>
      <w:hyperlink r:id="rId9" w:history="1">
        <w:r w:rsidRPr="003E6ED5">
          <w:rPr>
            <w:rFonts w:ascii="Noto Sans" w:eastAsia="Times New Roman" w:hAnsi="Noto Sans" w:cs="Noto Sans"/>
            <w:color w:val="0563C1" w:themeColor="hyperlink"/>
            <w:sz w:val="22"/>
            <w:u w:val="single"/>
          </w:rPr>
          <w:t>Design for Recyclability’</w:t>
        </w:r>
      </w:hyperlink>
      <w:r w:rsidRPr="003E6ED5">
        <w:rPr>
          <w:rFonts w:ascii="Noto Sans" w:eastAsia="Times New Roman" w:hAnsi="Noto Sans" w:cs="Noto Sans"/>
          <w:sz w:val="22"/>
        </w:rPr>
        <w:t xml:space="preserve"> principles. This includes switching to widely recyclable packaging materials, using smaller, easily removable labels, and considering the </w:t>
      </w:r>
      <w:hyperlink r:id="rId10" w:anchor="head3?utm_medium=non-paid&amp;utm_source=onlinepublication&amp;utm_content=pr-dp-EPR&amp;utm_campaign=2026-int-en-Global-PR-DP-FY26-Q2" w:history="1">
        <w:r w:rsidRPr="003E6ED5">
          <w:rPr>
            <w:rFonts w:ascii="Noto Sans" w:eastAsia="Times New Roman" w:hAnsi="Noto Sans" w:cs="Noto Sans"/>
            <w:color w:val="0563C1" w:themeColor="hyperlink"/>
            <w:sz w:val="22"/>
            <w:u w:val="single"/>
          </w:rPr>
          <w:t>impact of inks on recycling processes</w:t>
        </w:r>
      </w:hyperlink>
      <w:r w:rsidRPr="003E6ED5">
        <w:rPr>
          <w:rFonts w:ascii="Noto Sans" w:eastAsia="Times New Roman" w:hAnsi="Noto Sans" w:cs="Noto Sans"/>
          <w:sz w:val="22"/>
        </w:rPr>
        <w:t xml:space="preserve">. </w:t>
      </w:r>
    </w:p>
    <w:p w14:paraId="06E8A063" w14:textId="77777777" w:rsidR="003E6ED5" w:rsidRPr="003E6ED5" w:rsidRDefault="003E6ED5" w:rsidP="003E6ED5">
      <w:pPr>
        <w:spacing w:before="120" w:after="120" w:line="240" w:lineRule="auto"/>
        <w:rPr>
          <w:rFonts w:ascii="Noto Sans" w:eastAsia="Times New Roman" w:hAnsi="Noto Sans" w:cs="Noto Sans"/>
          <w:sz w:val="22"/>
        </w:rPr>
      </w:pPr>
      <w:r w:rsidRPr="003E6ED5">
        <w:rPr>
          <w:rFonts w:ascii="Noto Sans" w:eastAsia="Times New Roman" w:hAnsi="Noto Sans" w:cs="Noto Sans"/>
          <w:sz w:val="22"/>
        </w:rPr>
        <w:t>For converters, there is a compelling opportunity to add value for customers by working closely with brands, packaging designers, and material suppliers throughout the process. A good understanding of local packaging EPR fee structures and PPWR demands, in combination with expertise in printing technology, inks, and substrates offers a chance to differentiate. Converters can help brands create cost-efficient, compliant packaging and labels, while meeting marketing objectives with brand-compliant colours and excellent print quality.</w:t>
      </w:r>
    </w:p>
    <w:p w14:paraId="255D9FB4" w14:textId="77777777" w:rsidR="003E6ED5" w:rsidRPr="003E6ED5" w:rsidRDefault="003E6ED5" w:rsidP="003E6ED5">
      <w:pPr>
        <w:spacing w:before="120" w:after="120" w:line="240" w:lineRule="auto"/>
        <w:rPr>
          <w:rFonts w:ascii="Noto Sans" w:eastAsia="Times New Roman" w:hAnsi="Noto Sans" w:cs="Noto Sans"/>
          <w:sz w:val="22"/>
        </w:rPr>
      </w:pPr>
      <w:r w:rsidRPr="003E6ED5">
        <w:rPr>
          <w:rFonts w:ascii="Noto Sans" w:eastAsia="Times New Roman" w:hAnsi="Noto Sans" w:cs="Noto Sans"/>
          <w:sz w:val="22"/>
        </w:rPr>
        <w:t xml:space="preserve">In a world where packaging now receives the same level of scrutiny as the product itself, access to high-quality information about material composition is becoming a key differentiator for brands when choosing a packaging supplier. </w:t>
      </w:r>
    </w:p>
    <w:p w14:paraId="13C4768A" w14:textId="77777777" w:rsidR="003E6ED5" w:rsidRPr="003E6ED5" w:rsidRDefault="003E6ED5" w:rsidP="003E6ED5">
      <w:pPr>
        <w:spacing w:before="120" w:after="120" w:line="240" w:lineRule="auto"/>
        <w:rPr>
          <w:rFonts w:ascii="Noto Sans" w:eastAsia="Times New Roman" w:hAnsi="Noto Sans" w:cs="Noto Sans"/>
          <w:sz w:val="22"/>
        </w:rPr>
      </w:pPr>
      <w:r w:rsidRPr="003E6ED5">
        <w:rPr>
          <w:rFonts w:ascii="Noto Sans" w:eastAsia="Times New Roman" w:hAnsi="Noto Sans" w:cs="Noto Sans"/>
          <w:sz w:val="22"/>
        </w:rPr>
        <w:t xml:space="preserve">Seamless access to information, including material declarations on composition and weight, as well as compliance documentation for inks and adhesives, can transform brands’ EPR reporting. This information can provide evidence for market surveillance authorities and internal sustainability audits, and, in the EU, and support the creation of declarations of conformity under PPWR. </w:t>
      </w:r>
    </w:p>
    <w:p w14:paraId="73043DCF" w14:textId="77777777" w:rsidR="003E6ED5" w:rsidRPr="003E6ED5" w:rsidRDefault="003E6ED5" w:rsidP="003E6ED5">
      <w:pPr>
        <w:spacing w:before="120" w:after="120" w:line="240" w:lineRule="auto"/>
        <w:rPr>
          <w:rFonts w:ascii="Noto Sans" w:eastAsia="Times New Roman" w:hAnsi="Noto Sans" w:cs="Noto Sans"/>
          <w:b/>
          <w:bCs/>
          <w:sz w:val="22"/>
        </w:rPr>
      </w:pPr>
      <w:r w:rsidRPr="003E6ED5">
        <w:rPr>
          <w:rFonts w:ascii="Noto Sans" w:eastAsia="Times New Roman" w:hAnsi="Noto Sans" w:cs="Noto Sans"/>
          <w:b/>
          <w:bCs/>
          <w:sz w:val="22"/>
        </w:rPr>
        <w:t>Digital printing as an enabler</w:t>
      </w:r>
    </w:p>
    <w:p w14:paraId="04C41874" w14:textId="77777777" w:rsidR="003E6ED5" w:rsidRPr="003E6ED5" w:rsidRDefault="003E6ED5" w:rsidP="003E6ED5">
      <w:pPr>
        <w:spacing w:before="120" w:after="120" w:line="240" w:lineRule="auto"/>
        <w:rPr>
          <w:rFonts w:ascii="Noto Sans" w:eastAsia="Times New Roman" w:hAnsi="Noto Sans" w:cs="Noto Sans"/>
          <w:sz w:val="22"/>
        </w:rPr>
      </w:pPr>
      <w:r w:rsidRPr="003E6ED5">
        <w:rPr>
          <w:rFonts w:ascii="Noto Sans" w:eastAsia="Times New Roman" w:hAnsi="Noto Sans" w:cs="Noto Sans"/>
          <w:sz w:val="22"/>
        </w:rPr>
        <w:t xml:space="preserve">The focus on recyclability will continue to evolve, demanding new levels of flexibility and agility for both brands and converters. With PPWR and packaging EPR regulations still in flux, and new initiatives such as </w:t>
      </w:r>
      <w:hyperlink r:id="rId11" w:history="1">
        <w:r w:rsidRPr="003E6ED5">
          <w:rPr>
            <w:rFonts w:ascii="Noto Sans" w:eastAsia="Times New Roman" w:hAnsi="Noto Sans" w:cs="Noto Sans"/>
            <w:color w:val="0000EE"/>
            <w:sz w:val="22"/>
            <w:u w:val="single" w:color="0000EE"/>
          </w:rPr>
          <w:t>digital product passports</w:t>
        </w:r>
      </w:hyperlink>
      <w:r w:rsidRPr="003E6ED5">
        <w:rPr>
          <w:rFonts w:ascii="Noto Sans" w:eastAsia="Times New Roman" w:hAnsi="Noto Sans" w:cs="Noto Sans"/>
          <w:sz w:val="22"/>
        </w:rPr>
        <w:t xml:space="preserve"> due to roll out over the coming years, brands need to be able to quickly adapt packaging designs. </w:t>
      </w:r>
    </w:p>
    <w:p w14:paraId="71EABD21" w14:textId="77777777" w:rsidR="003E6ED5" w:rsidRPr="003E6ED5" w:rsidRDefault="003E6ED5" w:rsidP="003E6ED5">
      <w:pPr>
        <w:spacing w:before="120" w:after="120" w:line="240" w:lineRule="auto"/>
        <w:rPr>
          <w:rFonts w:ascii="Noto Sans" w:eastAsia="Times New Roman" w:hAnsi="Noto Sans" w:cs="Noto Sans"/>
          <w:sz w:val="22"/>
        </w:rPr>
      </w:pPr>
      <w:r w:rsidRPr="003E6ED5">
        <w:rPr>
          <w:rFonts w:ascii="Noto Sans" w:eastAsia="Times New Roman" w:hAnsi="Noto Sans" w:cs="Noto Sans"/>
          <w:sz w:val="22"/>
        </w:rPr>
        <w:t xml:space="preserve">Digital printing technology is key to rapidly updating packaging in line with emerging regulations. Converters with access to digital presses can also efficiently produce shorter print runs of packaging variations, such as those requiring regional recycling symbols. </w:t>
      </w:r>
    </w:p>
    <w:p w14:paraId="55669485" w14:textId="77777777" w:rsidR="003E6ED5" w:rsidRPr="003E6ED5" w:rsidRDefault="003E6ED5" w:rsidP="003E6ED5">
      <w:pPr>
        <w:spacing w:before="120" w:after="120" w:line="240" w:lineRule="auto"/>
        <w:rPr>
          <w:rFonts w:ascii="Noto Sans" w:eastAsia="Times New Roman" w:hAnsi="Noto Sans" w:cs="Noto Sans"/>
          <w:sz w:val="22"/>
        </w:rPr>
      </w:pPr>
      <w:r w:rsidRPr="003E6ED5">
        <w:rPr>
          <w:rFonts w:ascii="Noto Sans" w:eastAsia="Times New Roman" w:hAnsi="Noto Sans" w:cs="Noto Sans"/>
          <w:sz w:val="22"/>
        </w:rPr>
        <w:t>Digital also supports the addition of variable data elements, a key requirement for digital product passports. Brands will use printed, often serialised, QR codes powered by GS1 to share material, recyclability, and product and packaging compliance data via a website or app.</w:t>
      </w:r>
    </w:p>
    <w:p w14:paraId="5B5CA422" w14:textId="77777777" w:rsidR="003E6ED5" w:rsidRPr="003E6ED5" w:rsidRDefault="003E6ED5" w:rsidP="003E6ED5">
      <w:pPr>
        <w:spacing w:before="120" w:after="120" w:line="240" w:lineRule="auto"/>
        <w:rPr>
          <w:rFonts w:ascii="Noto Sans" w:eastAsia="Times New Roman" w:hAnsi="Noto Sans" w:cs="Noto Sans"/>
          <w:sz w:val="22"/>
        </w:rPr>
      </w:pPr>
      <w:r w:rsidRPr="003E6ED5">
        <w:rPr>
          <w:rFonts w:ascii="Noto Sans" w:eastAsia="Times New Roman" w:hAnsi="Noto Sans" w:cs="Noto Sans"/>
          <w:b/>
          <w:bCs/>
          <w:sz w:val="22"/>
        </w:rPr>
        <w:t xml:space="preserve">Preparing for the future </w:t>
      </w:r>
    </w:p>
    <w:p w14:paraId="0C1182D3" w14:textId="7E8DCAEC" w:rsidR="003E6ED5" w:rsidRPr="003E6ED5" w:rsidRDefault="003E6ED5" w:rsidP="003E6ED5">
      <w:pPr>
        <w:spacing w:before="120" w:after="120" w:line="240" w:lineRule="auto"/>
        <w:rPr>
          <w:rFonts w:ascii="Noto Sans" w:eastAsia="Times New Roman" w:hAnsi="Noto Sans" w:cs="Noto Sans"/>
          <w:sz w:val="22"/>
        </w:rPr>
      </w:pPr>
      <w:r w:rsidRPr="003E6ED5">
        <w:rPr>
          <w:rFonts w:ascii="Noto Sans" w:eastAsia="Times New Roman" w:hAnsi="Noto Sans" w:cs="Noto Sans"/>
          <w:sz w:val="22"/>
        </w:rPr>
        <w:lastRenderedPageBreak/>
        <w:t>While there are no plans to standardise EPR at a</w:t>
      </w:r>
      <w:r w:rsidR="00C76A09">
        <w:rPr>
          <w:rFonts w:ascii="Noto Sans" w:eastAsia="Times New Roman" w:hAnsi="Noto Sans" w:cs="Noto Sans"/>
          <w:sz w:val="22"/>
        </w:rPr>
        <w:t xml:space="preserve"> global</w:t>
      </w:r>
      <w:r w:rsidRPr="003E6ED5">
        <w:rPr>
          <w:rFonts w:ascii="Noto Sans" w:eastAsia="Times New Roman" w:hAnsi="Noto Sans" w:cs="Noto Sans"/>
          <w:sz w:val="22"/>
        </w:rPr>
        <w:t xml:space="preserve"> level, local governments are working to align their schemes with PPWR recyclability criteria, EuPIA compliance, and hazardous substance limits. The industry, including brands, manufacturers, and standards bodies such as GS1, is also driving greater consistency in data, reporting, and packaging design. </w:t>
      </w:r>
    </w:p>
    <w:p w14:paraId="16D47D4C" w14:textId="77777777" w:rsidR="003E6ED5" w:rsidRPr="003E6ED5" w:rsidRDefault="003E6ED5" w:rsidP="003E6ED5">
      <w:pPr>
        <w:spacing w:before="120" w:after="120" w:line="240" w:lineRule="auto"/>
        <w:rPr>
          <w:rFonts w:ascii="Noto Sans" w:eastAsia="Times New Roman" w:hAnsi="Noto Sans" w:cs="Noto Sans"/>
          <w:sz w:val="22"/>
        </w:rPr>
      </w:pPr>
      <w:r w:rsidRPr="003E6ED5">
        <w:rPr>
          <w:rFonts w:ascii="Noto Sans" w:eastAsia="Times New Roman" w:hAnsi="Noto Sans" w:cs="Noto Sans"/>
          <w:sz w:val="22"/>
        </w:rPr>
        <w:t xml:space="preserve">Packaging is becoming a regulated asset, data carrier, and cost driver for brands. As brands invest in packaging for the future, converters familiar with local packaging EPR regulations, advances in recyclable materials, and able to provide detailed documentation will have the edge. </w:t>
      </w:r>
    </w:p>
    <w:p w14:paraId="70D77944" w14:textId="77777777" w:rsidR="003E6ED5" w:rsidRPr="003E6ED5" w:rsidRDefault="003E6ED5" w:rsidP="003E6ED5">
      <w:pPr>
        <w:spacing w:before="120" w:after="120" w:line="240" w:lineRule="auto"/>
        <w:rPr>
          <w:rFonts w:ascii="Noto Sans" w:eastAsia="Times New Roman" w:hAnsi="Noto Sans" w:cs="Noto Sans"/>
          <w:sz w:val="22"/>
        </w:rPr>
      </w:pPr>
      <w:r w:rsidRPr="003E6ED5">
        <w:rPr>
          <w:rFonts w:ascii="Noto Sans" w:eastAsia="Times New Roman" w:hAnsi="Noto Sans" w:cs="Noto Sans"/>
          <w:sz w:val="22"/>
        </w:rPr>
        <w:t>ENDS</w:t>
      </w:r>
    </w:p>
    <w:p w14:paraId="512A86E4" w14:textId="544AE166" w:rsidR="005524DB" w:rsidRPr="00F67E02" w:rsidRDefault="00B15DBB" w:rsidP="00B15DBB">
      <w:pPr>
        <w:spacing w:line="240" w:lineRule="auto"/>
        <w:rPr>
          <w:rFonts w:ascii="Noto Sans" w:hAnsi="Noto Sans" w:cs="Noto Sans"/>
          <w:sz w:val="20"/>
          <w:szCs w:val="20"/>
        </w:rPr>
      </w:pPr>
      <w:r>
        <w:rPr>
          <w:rFonts w:ascii="Noto Sans" w:eastAsia="Gill Sans" w:hAnsi="Noto Sans" w:cs="Noto Sans"/>
          <w:b/>
          <w:szCs w:val="18"/>
        </w:rPr>
        <w:br/>
      </w:r>
      <w:r w:rsidR="00240801" w:rsidRPr="00890A73">
        <w:rPr>
          <w:rFonts w:ascii="Noto Sans" w:eastAsia="Gill Sans" w:hAnsi="Noto Sans" w:cs="Noto Sans"/>
          <w:b/>
          <w:szCs w:val="18"/>
        </w:rPr>
        <w:t>Disclaimers</w:t>
      </w:r>
      <w:r w:rsidR="00240801">
        <w:rPr>
          <w:rFonts w:ascii="Noto Sans" w:eastAsia="Gill Sans" w:hAnsi="Noto Sans" w:cs="Noto Sans"/>
          <w:b/>
          <w:szCs w:val="18"/>
        </w:rPr>
        <w:br/>
      </w:r>
      <w:r w:rsidR="00240801">
        <w:rPr>
          <w:rFonts w:ascii="Noto Sans" w:eastAsia="Gill Sans" w:hAnsi="Noto Sans" w:cs="Noto Sans"/>
          <w:szCs w:val="18"/>
        </w:rPr>
        <w:br/>
      </w:r>
      <w:r w:rsidR="00240801" w:rsidRPr="00890A73">
        <w:rPr>
          <w:rFonts w:ascii="Noto Sans" w:hAnsi="Noto Sans" w:cs="Noto Sans"/>
          <w:b/>
          <w:bCs/>
          <w:szCs w:val="18"/>
        </w:rPr>
        <w:t>Inks</w:t>
      </w:r>
      <w:r w:rsidR="00240801">
        <w:rPr>
          <w:rFonts w:ascii="Noto Sans" w:hAnsi="Noto Sans" w:cs="Noto Sans"/>
          <w:szCs w:val="18"/>
        </w:rPr>
        <w:br/>
      </w:r>
      <w:r w:rsidR="00240801" w:rsidRPr="00890A73">
        <w:rPr>
          <w:rFonts w:ascii="Noto Sans" w:hAnsi="Noto Sans" w:cs="Noto Sans"/>
          <w:szCs w:val="18"/>
        </w:rPr>
        <w:t xml:space="preserve">The information contained in this document </w:t>
      </w:r>
      <w:proofErr w:type="gramStart"/>
      <w:r w:rsidR="00240801" w:rsidRPr="00890A73">
        <w:rPr>
          <w:rFonts w:ascii="Noto Sans" w:hAnsi="Noto Sans" w:cs="Noto Sans"/>
          <w:szCs w:val="18"/>
        </w:rPr>
        <w:t>is not intended</w:t>
      </w:r>
      <w:proofErr w:type="gramEnd"/>
      <w:r w:rsidR="00240801" w:rsidRPr="00890A73">
        <w:rPr>
          <w:rFonts w:ascii="Noto Sans" w:hAnsi="Noto Sans" w:cs="Noto Sans"/>
          <w:szCs w:val="18"/>
        </w:rPr>
        <w:t xml:space="preserve"> as a substitute for undertaking appropriate testing for your specific use and circumstances. Neither Domino UK Limited nor any of Domino’s group of companies is in any way liable for any reliance that you may put on this document with regards to the suitability of any ink for your </w:t>
      </w:r>
      <w:proofErr w:type="gramStart"/>
      <w:r w:rsidR="00240801" w:rsidRPr="00890A73">
        <w:rPr>
          <w:rFonts w:ascii="Noto Sans" w:hAnsi="Noto Sans" w:cs="Noto Sans"/>
          <w:szCs w:val="18"/>
        </w:rPr>
        <w:t>particular application</w:t>
      </w:r>
      <w:proofErr w:type="gramEnd"/>
      <w:r w:rsidR="00240801" w:rsidRPr="00890A73">
        <w:rPr>
          <w:rFonts w:ascii="Noto Sans" w:hAnsi="Noto Sans" w:cs="Noto Sans"/>
          <w:szCs w:val="18"/>
        </w:rPr>
        <w:t xml:space="preserve">. This document does not form part of any terms and conditions between you and Domino, Legal Disclaimers v.1.0 February 2018 and Domino’s Terms and Conditions of sale, and in particular the warranties and liabilities contained within them, shall apply to any purchase of products by you. </w:t>
      </w:r>
      <w:r w:rsidR="00240801">
        <w:rPr>
          <w:rFonts w:ascii="Noto Sans" w:hAnsi="Noto Sans" w:cs="Noto Sans"/>
          <w:szCs w:val="18"/>
        </w:rPr>
        <w:br/>
      </w:r>
      <w:r w:rsidR="00240801">
        <w:rPr>
          <w:rFonts w:ascii="Noto Sans" w:hAnsi="Noto Sans" w:cs="Noto Sans"/>
          <w:szCs w:val="18"/>
        </w:rPr>
        <w:br/>
      </w:r>
      <w:r w:rsidR="00240801" w:rsidRPr="00890A73">
        <w:rPr>
          <w:rFonts w:ascii="Noto Sans" w:hAnsi="Noto Sans" w:cs="Noto Sans"/>
          <w:b/>
          <w:bCs/>
          <w:szCs w:val="18"/>
        </w:rPr>
        <w:t>General</w:t>
      </w:r>
      <w:r w:rsidR="00240801">
        <w:rPr>
          <w:rFonts w:ascii="Noto Sans" w:hAnsi="Noto Sans" w:cs="Noto Sans"/>
          <w:szCs w:val="18"/>
        </w:rPr>
        <w:br/>
      </w:r>
      <w:r w:rsidR="003E7580" w:rsidRPr="00890A73">
        <w:rPr>
          <w:rFonts w:ascii="Noto Sans" w:hAnsi="Noto Sans" w:cs="Noto Sans"/>
          <w:szCs w:val="18"/>
        </w:rPr>
        <w:t xml:space="preserve">Information contained within this press release </w:t>
      </w:r>
      <w:proofErr w:type="gramStart"/>
      <w:r w:rsidR="003E7580" w:rsidRPr="00890A73">
        <w:rPr>
          <w:rFonts w:ascii="Noto Sans" w:hAnsi="Noto Sans" w:cs="Noto Sans"/>
          <w:szCs w:val="18"/>
        </w:rPr>
        <w:t>is considered to be</w:t>
      </w:r>
      <w:proofErr w:type="gramEnd"/>
      <w:r w:rsidR="003E7580" w:rsidRPr="00890A73">
        <w:rPr>
          <w:rFonts w:ascii="Noto Sans" w:hAnsi="Noto Sans" w:cs="Noto Sans"/>
          <w:szCs w:val="18"/>
        </w:rPr>
        <w:t xml:space="preserve"> true and correct at the date of publication by Domino, changes in circumstances after the time of publication may impact the accuracy of the information. </w:t>
      </w:r>
      <w:r w:rsidR="00240801" w:rsidRPr="00890A73">
        <w:rPr>
          <w:rFonts w:ascii="Noto Sans" w:hAnsi="Noto Sans" w:cs="Noto Sans"/>
          <w:szCs w:val="18"/>
        </w:rPr>
        <w:t xml:space="preserve">All performance related figures and claims quoted in this document </w:t>
      </w:r>
      <w:proofErr w:type="gramStart"/>
      <w:r w:rsidR="00240801" w:rsidRPr="00890A73">
        <w:rPr>
          <w:rFonts w:ascii="Noto Sans" w:hAnsi="Noto Sans" w:cs="Noto Sans"/>
          <w:szCs w:val="18"/>
        </w:rPr>
        <w:t>were obtained</w:t>
      </w:r>
      <w:proofErr w:type="gramEnd"/>
      <w:r w:rsidR="00240801" w:rsidRPr="00890A73">
        <w:rPr>
          <w:rFonts w:ascii="Noto Sans" w:hAnsi="Noto Sans" w:cs="Noto Sans"/>
          <w:szCs w:val="18"/>
        </w:rPr>
        <w:t xml:space="preserve"> under specific conditions and may only </w:t>
      </w:r>
      <w:proofErr w:type="gramStart"/>
      <w:r w:rsidR="00240801" w:rsidRPr="00890A73">
        <w:rPr>
          <w:rFonts w:ascii="Noto Sans" w:hAnsi="Noto Sans" w:cs="Noto Sans"/>
          <w:szCs w:val="18"/>
        </w:rPr>
        <w:t>be replicated</w:t>
      </w:r>
      <w:proofErr w:type="gramEnd"/>
      <w:r w:rsidR="00240801" w:rsidRPr="00890A73">
        <w:rPr>
          <w:rFonts w:ascii="Noto Sans" w:hAnsi="Noto Sans" w:cs="Noto Sans"/>
          <w:szCs w:val="18"/>
        </w:rPr>
        <w:t xml:space="preserve"> under similar conditions. For specific product details, you should contact your Domino Sales Advisor. This document does not form part of any terms and conditions between you and Domino. </w:t>
      </w:r>
      <w:r w:rsidR="00240801">
        <w:rPr>
          <w:rFonts w:ascii="Noto Sans" w:hAnsi="Noto Sans" w:cs="Noto Sans"/>
          <w:szCs w:val="18"/>
        </w:rPr>
        <w:br/>
      </w:r>
      <w:r w:rsidR="00240801">
        <w:rPr>
          <w:rFonts w:ascii="Noto Sans" w:hAnsi="Noto Sans" w:cs="Noto Sans"/>
          <w:szCs w:val="18"/>
        </w:rPr>
        <w:br/>
      </w:r>
      <w:r w:rsidR="00240801" w:rsidRPr="00890A73">
        <w:rPr>
          <w:rFonts w:ascii="Noto Sans" w:hAnsi="Noto Sans" w:cs="Noto Sans"/>
          <w:b/>
          <w:bCs/>
          <w:szCs w:val="18"/>
        </w:rPr>
        <w:t>Imagery</w:t>
      </w:r>
      <w:r w:rsidR="00240801">
        <w:rPr>
          <w:rFonts w:ascii="Noto Sans" w:hAnsi="Noto Sans" w:cs="Noto Sans"/>
          <w:szCs w:val="18"/>
        </w:rPr>
        <w:br/>
      </w:r>
      <w:r w:rsidR="00240801" w:rsidRPr="00890A73">
        <w:rPr>
          <w:rFonts w:ascii="Noto Sans" w:hAnsi="Noto Sans" w:cs="Noto Sans"/>
          <w:szCs w:val="18"/>
        </w:rPr>
        <w:t xml:space="preserve">Images may include optional extras or upgrades. Print quality may differ depending on consumables, printer, substrates, and other factors. Images and photographs do not form any part of any terms and conditions between you and Domino. </w:t>
      </w:r>
      <w:r w:rsidR="00240801">
        <w:rPr>
          <w:rFonts w:ascii="Noto Sans" w:hAnsi="Noto Sans" w:cs="Noto Sans"/>
          <w:szCs w:val="18"/>
        </w:rPr>
        <w:br/>
      </w:r>
      <w:r w:rsidR="00240801">
        <w:rPr>
          <w:rFonts w:ascii="Noto Sans" w:hAnsi="Noto Sans" w:cs="Noto Sans"/>
          <w:szCs w:val="18"/>
        </w:rPr>
        <w:br/>
      </w:r>
      <w:r w:rsidR="00240801" w:rsidRPr="00890A73">
        <w:rPr>
          <w:rFonts w:ascii="Noto Sans" w:hAnsi="Noto Sans" w:cs="Noto Sans"/>
          <w:b/>
          <w:bCs/>
          <w:szCs w:val="18"/>
        </w:rPr>
        <w:t>Videos</w:t>
      </w:r>
      <w:r w:rsidR="00240801">
        <w:rPr>
          <w:rFonts w:ascii="Noto Sans" w:hAnsi="Noto Sans" w:cs="Noto Sans"/>
          <w:szCs w:val="18"/>
        </w:rPr>
        <w:br/>
      </w:r>
      <w:r w:rsidR="00240801" w:rsidRPr="00890A73">
        <w:rPr>
          <w:rFonts w:ascii="Noto Sans" w:hAnsi="Noto Sans" w:cs="Noto Sans"/>
          <w:szCs w:val="18"/>
        </w:rPr>
        <w:t>This video is illustrative only and may include optional extras. Performance figures obtained under specific conditions; individual performance may vary. Errors and downtime on production lines may be unavoidable. Nothing in this video forms part of any contract between you and Domino.</w:t>
      </w:r>
      <w:r w:rsidR="00240801">
        <w:rPr>
          <w:rFonts w:ascii="Noto Sans" w:hAnsi="Noto Sans" w:cs="Noto Sans"/>
          <w:szCs w:val="18"/>
        </w:rPr>
        <w:br/>
      </w:r>
      <w:r w:rsidR="00240801">
        <w:rPr>
          <w:rFonts w:ascii="Noto Sans" w:eastAsia="Gill Sans" w:hAnsi="Noto Sans" w:cs="Noto Sans"/>
          <w:szCs w:val="18"/>
        </w:rPr>
        <w:br/>
      </w:r>
      <w:bookmarkStart w:id="1" w:name="_Hlk61949672"/>
      <w:r w:rsidR="00240801" w:rsidRPr="00890A73">
        <w:rPr>
          <w:rFonts w:ascii="Noto Sans" w:eastAsia="Gill Sans" w:hAnsi="Noto Sans" w:cs="Noto Sans"/>
          <w:b/>
          <w:szCs w:val="18"/>
        </w:rPr>
        <w:t>Notes to Editors:</w:t>
      </w:r>
      <w:r w:rsidR="00240801">
        <w:rPr>
          <w:rFonts w:ascii="Noto Sans" w:eastAsia="Gill Sans" w:hAnsi="Noto Sans" w:cs="Noto Sans"/>
          <w:b/>
          <w:szCs w:val="18"/>
        </w:rPr>
        <w:br/>
      </w:r>
      <w:r w:rsidR="00240801">
        <w:rPr>
          <w:rFonts w:ascii="Noto Sans" w:eastAsia="Gill Sans" w:hAnsi="Noto Sans" w:cs="Noto Sans"/>
          <w:szCs w:val="18"/>
        </w:rPr>
        <w:br/>
      </w:r>
      <w:r w:rsidR="00240801" w:rsidRPr="00890A73">
        <w:rPr>
          <w:rFonts w:ascii="Noto Sans" w:eastAsia="Gill Sans" w:hAnsi="Noto Sans" w:cs="Noto Sans"/>
          <w:b/>
          <w:szCs w:val="18"/>
        </w:rPr>
        <w:t>About Domino</w:t>
      </w:r>
      <w:r w:rsidR="00240801">
        <w:rPr>
          <w:rFonts w:ascii="Noto Sans" w:eastAsia="Gill Sans" w:hAnsi="Noto Sans" w:cs="Noto Sans"/>
          <w:b/>
          <w:szCs w:val="18"/>
        </w:rPr>
        <w:br/>
      </w:r>
      <w:r w:rsidR="00240801">
        <w:rPr>
          <w:rFonts w:ascii="Noto Sans" w:eastAsia="Gill Sans" w:hAnsi="Noto Sans" w:cs="Noto Sans"/>
          <w:szCs w:val="18"/>
        </w:rPr>
        <w:br/>
      </w:r>
      <w:r w:rsidR="00240801" w:rsidRPr="00890A73">
        <w:rPr>
          <w:rFonts w:ascii="Noto Sans" w:eastAsia="Gill Sans" w:hAnsi="Noto Sans" w:cs="Noto Sans"/>
          <w:szCs w:val="18"/>
        </w:rPr>
        <w:t xml:space="preserve">Digital Printing Solutions is a division within Domino Printing Sciences. The company, founded in 1978, has established a global reputation for the development and manufacture of digital inkjet printing technologies, as well as its worldwide aftermarket products and customer services. Its services for the </w:t>
      </w:r>
      <w:r w:rsidR="00240801" w:rsidRPr="00890A73">
        <w:rPr>
          <w:rFonts w:ascii="Noto Sans" w:eastAsia="Gill Sans" w:hAnsi="Noto Sans" w:cs="Noto Sans"/>
          <w:szCs w:val="18"/>
        </w:rPr>
        <w:lastRenderedPageBreak/>
        <w:t>commercial print sector include digital inkjet printers and control systems designed to deliver solutions for a complete range of labelling, corrugated, and variable printing applications.</w:t>
      </w:r>
      <w:r w:rsidR="00240801">
        <w:rPr>
          <w:rFonts w:ascii="Noto Sans" w:eastAsia="Gill Sans" w:hAnsi="Noto Sans" w:cs="Noto Sans"/>
          <w:szCs w:val="18"/>
        </w:rPr>
        <w:br/>
      </w:r>
      <w:r w:rsidR="00240801">
        <w:rPr>
          <w:rFonts w:ascii="Noto Sans" w:eastAsia="Gill Sans" w:hAnsi="Noto Sans" w:cs="Noto Sans"/>
          <w:szCs w:val="18"/>
        </w:rPr>
        <w:br/>
      </w:r>
      <w:r w:rsidR="00240801" w:rsidRPr="00890A73">
        <w:rPr>
          <w:rFonts w:ascii="Noto Sans" w:eastAsia="Gill Sans" w:hAnsi="Noto Sans" w:cs="Noto Sans"/>
          <w:szCs w:val="18"/>
        </w:rPr>
        <w:t>All of Domino’s printers are designed to meet the high-speed, high-quality demands of commercial printing environments, bringing new capabilities to numerous sectors, including labelling, corrugated, publications and security printing, transactional, packaging converting, plastic cards, tickets, game cards and forms, as well as the direct mail and postal sectors.</w:t>
      </w:r>
      <w:r w:rsidR="00240801">
        <w:rPr>
          <w:rFonts w:ascii="Noto Sans" w:eastAsia="Gill Sans" w:hAnsi="Noto Sans" w:cs="Noto Sans"/>
          <w:szCs w:val="18"/>
        </w:rPr>
        <w:br/>
      </w:r>
      <w:r w:rsidR="00240801">
        <w:rPr>
          <w:rFonts w:ascii="Noto Sans" w:eastAsia="Gill Sans" w:hAnsi="Noto Sans" w:cs="Noto Sans"/>
          <w:szCs w:val="18"/>
        </w:rPr>
        <w:br/>
      </w:r>
      <w:r w:rsidR="00240801" w:rsidRPr="00890A73">
        <w:rPr>
          <w:rFonts w:ascii="Noto Sans" w:eastAsia="Gill Sans" w:hAnsi="Noto Sans" w:cs="Noto Sans"/>
          <w:szCs w:val="18"/>
        </w:rPr>
        <w:t xml:space="preserve">Domino employs over 3,000 people worldwide and sells to more than 120 countries through a global network of 29 subsidiary offices and more than 200 distributors. Domino’s manufacturing facilities </w:t>
      </w:r>
      <w:proofErr w:type="gramStart"/>
      <w:r w:rsidR="00240801" w:rsidRPr="00890A73">
        <w:rPr>
          <w:rFonts w:ascii="Noto Sans" w:eastAsia="Gill Sans" w:hAnsi="Noto Sans" w:cs="Noto Sans"/>
          <w:szCs w:val="18"/>
        </w:rPr>
        <w:t>are located in</w:t>
      </w:r>
      <w:proofErr w:type="gramEnd"/>
      <w:r w:rsidR="00240801" w:rsidRPr="00890A73">
        <w:rPr>
          <w:rFonts w:ascii="Noto Sans" w:eastAsia="Gill Sans" w:hAnsi="Noto Sans" w:cs="Noto Sans"/>
          <w:szCs w:val="18"/>
        </w:rPr>
        <w:t xml:space="preserve"> China, Germany, India, Sweden, Switzerland, UK, and the USA.</w:t>
      </w:r>
      <w:r w:rsidR="00240801">
        <w:rPr>
          <w:rFonts w:ascii="Noto Sans" w:eastAsia="Gill Sans" w:hAnsi="Noto Sans" w:cs="Noto Sans"/>
          <w:szCs w:val="18"/>
        </w:rPr>
        <w:br/>
      </w:r>
      <w:r w:rsidR="00240801">
        <w:rPr>
          <w:rFonts w:ascii="Noto Sans" w:eastAsia="Gill Sans" w:hAnsi="Noto Sans" w:cs="Noto Sans"/>
          <w:szCs w:val="18"/>
        </w:rPr>
        <w:br/>
      </w:r>
      <w:r w:rsidR="00240801" w:rsidRPr="00890A73">
        <w:rPr>
          <w:rFonts w:ascii="Noto Sans" w:eastAsia="Gill Sans" w:hAnsi="Noto Sans" w:cs="Noto Sans"/>
          <w:szCs w:val="18"/>
        </w:rPr>
        <w:t>Domino became an autonomous division within Brother Industries Ltd. on 11</w:t>
      </w:r>
      <w:r w:rsidR="00240801" w:rsidRPr="00890A73">
        <w:rPr>
          <w:rFonts w:ascii="Noto Sans" w:eastAsia="Gill Sans" w:hAnsi="Noto Sans" w:cs="Noto Sans"/>
          <w:szCs w:val="18"/>
          <w:vertAlign w:val="superscript"/>
        </w:rPr>
        <w:t>th</w:t>
      </w:r>
      <w:r w:rsidR="00240801" w:rsidRPr="00890A73">
        <w:rPr>
          <w:rFonts w:ascii="Noto Sans" w:eastAsia="Gill Sans" w:hAnsi="Noto Sans" w:cs="Noto Sans"/>
          <w:szCs w:val="18"/>
        </w:rPr>
        <w:t xml:space="preserve"> June 2015. </w:t>
      </w:r>
      <w:r w:rsidR="00240801">
        <w:rPr>
          <w:rFonts w:ascii="Noto Sans" w:eastAsia="Gill Sans" w:hAnsi="Noto Sans" w:cs="Noto Sans"/>
          <w:szCs w:val="18"/>
        </w:rPr>
        <w:br/>
      </w:r>
      <w:r w:rsidR="00240801">
        <w:rPr>
          <w:rFonts w:ascii="Noto Sans" w:eastAsia="Gill Sans" w:hAnsi="Noto Sans" w:cs="Noto Sans"/>
          <w:szCs w:val="18"/>
        </w:rPr>
        <w:br/>
      </w:r>
      <w:r w:rsidR="00240801" w:rsidRPr="00890A73">
        <w:rPr>
          <w:rFonts w:ascii="Noto Sans" w:eastAsia="Gill Sans" w:hAnsi="Noto Sans" w:cs="Noto Sans"/>
          <w:szCs w:val="18"/>
        </w:rPr>
        <w:t xml:space="preserve">For further information on Domino, please visit </w:t>
      </w:r>
      <w:hyperlink r:id="rId12">
        <w:r w:rsidR="00240801" w:rsidRPr="00890A73">
          <w:rPr>
            <w:rFonts w:ascii="Noto Sans" w:eastAsia="Gill Sans" w:hAnsi="Noto Sans" w:cs="Noto Sans"/>
            <w:szCs w:val="18"/>
            <w:u w:val="single"/>
          </w:rPr>
          <w:t>www.domino-printing.com</w:t>
        </w:r>
      </w:hyperlink>
      <w:r w:rsidR="00240801" w:rsidRPr="00890A73">
        <w:rPr>
          <w:rFonts w:ascii="Noto Sans" w:eastAsia="Gill Sans" w:hAnsi="Noto Sans" w:cs="Noto Sans"/>
          <w:szCs w:val="18"/>
        </w:rPr>
        <w:t xml:space="preserve"> </w:t>
      </w:r>
      <w:r w:rsidR="00240801">
        <w:rPr>
          <w:rFonts w:ascii="Noto Sans" w:eastAsia="Gill Sans" w:hAnsi="Noto Sans" w:cs="Noto Sans"/>
          <w:szCs w:val="18"/>
        </w:rPr>
        <w:br/>
      </w:r>
      <w:r w:rsidR="00240801">
        <w:rPr>
          <w:rFonts w:ascii="Noto Sans" w:eastAsia="Gill Sans" w:hAnsi="Noto Sans" w:cs="Noto Sans"/>
          <w:szCs w:val="18"/>
        </w:rPr>
        <w:br/>
      </w:r>
      <w:r w:rsidR="00240801" w:rsidRPr="00890A73">
        <w:rPr>
          <w:rFonts w:ascii="Noto Sans" w:eastAsia="Gill Sans" w:hAnsi="Noto Sans" w:cs="Noto Sans"/>
          <w:b/>
          <w:szCs w:val="18"/>
        </w:rPr>
        <w:t>For more information, please contact:</w:t>
      </w:r>
      <w:r w:rsidR="00240801">
        <w:rPr>
          <w:rFonts w:ascii="Noto Sans" w:eastAsia="Gill Sans" w:hAnsi="Noto Sans" w:cs="Noto Sans"/>
          <w:b/>
          <w:szCs w:val="18"/>
        </w:rPr>
        <w:br/>
      </w:r>
      <w:r w:rsidR="00240801">
        <w:rPr>
          <w:rFonts w:ascii="Noto Sans" w:eastAsia="Gill Sans" w:hAnsi="Noto Sans" w:cs="Noto Sans"/>
          <w:b/>
          <w:szCs w:val="18"/>
        </w:rPr>
        <w:br/>
      </w:r>
      <w:r w:rsidR="00240801" w:rsidRPr="00240801">
        <w:rPr>
          <w:rFonts w:ascii="Noto Sans" w:hAnsi="Noto Sans" w:cs="Noto Sans"/>
          <w:szCs w:val="18"/>
        </w:rPr>
        <w:t>Kathrin Farr</w:t>
      </w:r>
      <w:r w:rsidR="00240801" w:rsidRPr="00240801">
        <w:rPr>
          <w:rFonts w:ascii="Noto Sans" w:hAnsi="Noto Sans" w:cs="Noto Sans"/>
          <w:szCs w:val="18"/>
        </w:rPr>
        <w:br/>
      </w:r>
      <w:r w:rsidR="00240801" w:rsidRPr="00890A73">
        <w:rPr>
          <w:rFonts w:ascii="Noto Sans" w:hAnsi="Noto Sans" w:cs="Noto Sans"/>
          <w:szCs w:val="18"/>
        </w:rPr>
        <w:t xml:space="preserve">Content Executive and Copywriter  </w:t>
      </w:r>
      <w:r w:rsidR="00240801">
        <w:rPr>
          <w:rFonts w:ascii="Noto Sans" w:hAnsi="Noto Sans" w:cs="Noto Sans"/>
          <w:szCs w:val="18"/>
        </w:rPr>
        <w:br/>
      </w:r>
      <w:r w:rsidR="00240801" w:rsidRPr="00890A73">
        <w:rPr>
          <w:rFonts w:ascii="Noto Sans" w:hAnsi="Noto Sans" w:cs="Noto Sans"/>
          <w:szCs w:val="18"/>
        </w:rPr>
        <w:t>Domino Printing Sciences</w:t>
      </w:r>
      <w:r w:rsidR="00240801">
        <w:rPr>
          <w:rFonts w:ascii="Noto Sans" w:hAnsi="Noto Sans" w:cs="Noto Sans"/>
          <w:szCs w:val="18"/>
        </w:rPr>
        <w:br/>
      </w:r>
      <w:r w:rsidR="00240801" w:rsidRPr="00240801">
        <w:rPr>
          <w:rFonts w:ascii="Noto Sans" w:hAnsi="Noto Sans" w:cs="Noto Sans"/>
          <w:szCs w:val="18"/>
        </w:rPr>
        <w:t>Tel: +44 (0) 1954 782551</w:t>
      </w:r>
      <w:r w:rsidR="00240801" w:rsidRPr="00240801">
        <w:rPr>
          <w:rFonts w:ascii="Noto Sans" w:hAnsi="Noto Sans" w:cs="Noto Sans"/>
          <w:szCs w:val="18"/>
        </w:rPr>
        <w:br/>
      </w:r>
      <w:hyperlink r:id="rId13" w:history="1">
        <w:r w:rsidR="00240801" w:rsidRPr="00240801">
          <w:rPr>
            <w:rStyle w:val="Hyperlink"/>
            <w:rFonts w:ascii="Noto Sans" w:hAnsi="Noto Sans" w:cs="Noto Sans"/>
            <w:szCs w:val="18"/>
          </w:rPr>
          <w:t>Kathrin.Farr@domino-uk.com</w:t>
        </w:r>
      </w:hyperlink>
      <w:r w:rsidR="00240801" w:rsidRPr="00240801">
        <w:rPr>
          <w:rFonts w:ascii="Noto Sans" w:hAnsi="Noto Sans" w:cs="Noto Sans"/>
          <w:szCs w:val="18"/>
        </w:rPr>
        <w:t xml:space="preserve"> </w:t>
      </w:r>
      <w:r w:rsidR="00240801" w:rsidRPr="00240801">
        <w:rPr>
          <w:rFonts w:ascii="Noto Sans" w:hAnsi="Noto Sans" w:cs="Noto Sans"/>
          <w:szCs w:val="18"/>
        </w:rPr>
        <w:br/>
      </w:r>
      <w:bookmarkEnd w:id="0"/>
      <w:bookmarkEnd w:id="1"/>
      <w:r w:rsidR="00240801" w:rsidRPr="00240801">
        <w:rPr>
          <w:rFonts w:ascii="Noto Sans" w:hAnsi="Noto Sans" w:cs="Noto Sans"/>
          <w:szCs w:val="18"/>
        </w:rPr>
        <w:br/>
      </w:r>
      <w:r w:rsidR="009A77CD" w:rsidRPr="009A77CD">
        <w:rPr>
          <w:rFonts w:ascii="Noto Sans" w:hAnsi="Noto Sans" w:cs="Noto Sans"/>
          <w:szCs w:val="18"/>
        </w:rPr>
        <w:t xml:space="preserve">Jade Taylor-Salazar </w:t>
      </w:r>
      <w:r w:rsidR="009A77CD" w:rsidRPr="009A77CD">
        <w:rPr>
          <w:rFonts w:ascii="Noto Sans" w:hAnsi="Noto Sans" w:cs="Noto Sans"/>
          <w:szCs w:val="18"/>
        </w:rPr>
        <w:br/>
        <w:t xml:space="preserve">PR and Content Manager </w:t>
      </w:r>
      <w:r w:rsidR="009A77CD" w:rsidRPr="009A77CD">
        <w:rPr>
          <w:rFonts w:ascii="Noto Sans" w:hAnsi="Noto Sans" w:cs="Noto Sans"/>
          <w:szCs w:val="18"/>
        </w:rPr>
        <w:br/>
        <w:t xml:space="preserve">Domino Printing Sciences </w:t>
      </w:r>
      <w:r w:rsidR="009A77CD" w:rsidRPr="009A77CD">
        <w:rPr>
          <w:rFonts w:ascii="Noto Sans" w:hAnsi="Noto Sans" w:cs="Noto Sans"/>
          <w:szCs w:val="18"/>
        </w:rPr>
        <w:br/>
        <w:t>Tel: +44 (0) 1954 778780</w:t>
      </w:r>
      <w:r w:rsidR="009A77CD" w:rsidRPr="009A77CD">
        <w:rPr>
          <w:rFonts w:ascii="Noto Sans" w:hAnsi="Noto Sans" w:cs="Noto Sans"/>
          <w:szCs w:val="18"/>
        </w:rPr>
        <w:br/>
      </w:r>
      <w:hyperlink r:id="rId14" w:history="1">
        <w:r w:rsidR="009A77CD" w:rsidRPr="009A77CD">
          <w:rPr>
            <w:rStyle w:val="Hyperlink"/>
            <w:rFonts w:ascii="Noto Sans" w:hAnsi="Noto Sans" w:cs="Noto Sans"/>
            <w:szCs w:val="18"/>
          </w:rPr>
          <w:t>Jade.Taylor-Salazar@domino-uk.com</w:t>
        </w:r>
      </w:hyperlink>
      <w:r w:rsidR="00F67E02" w:rsidRPr="00F67E02">
        <w:rPr>
          <w:rFonts w:ascii="Noto Sans" w:hAnsi="Noto Sans" w:cs="Noto Sans"/>
          <w:szCs w:val="18"/>
        </w:rPr>
        <w:br/>
      </w:r>
    </w:p>
    <w:sectPr w:rsidR="005524DB" w:rsidRPr="00F67E02" w:rsidSect="000F6D00">
      <w:headerReference w:type="default" r:id="rId15"/>
      <w:footerReference w:type="default" r:id="rId16"/>
      <w:pgSz w:w="11906" w:h="16838"/>
      <w:pgMar w:top="1440" w:right="1440" w:bottom="1440" w:left="1440" w:header="1531" w:footer="22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465FE" w14:textId="77777777" w:rsidR="005D7AEB" w:rsidRDefault="005D7AEB" w:rsidP="00785717">
      <w:pPr>
        <w:spacing w:line="240" w:lineRule="auto"/>
      </w:pPr>
      <w:r>
        <w:separator/>
      </w:r>
    </w:p>
  </w:endnote>
  <w:endnote w:type="continuationSeparator" w:id="0">
    <w:p w14:paraId="79CE9EB1" w14:textId="77777777" w:rsidR="005D7AEB" w:rsidRDefault="005D7AEB" w:rsidP="007857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oto Sans">
    <w:altName w:val="Nirmala UI"/>
    <w:panose1 w:val="020B0502040504020204"/>
    <w:charset w:val="00"/>
    <w:family w:val="swiss"/>
    <w:pitch w:val="variable"/>
    <w:sig w:usb0="E00082FF" w:usb1="4000205F" w:usb2="08000029" w:usb3="00000000" w:csb0="0000019F" w:csb1="00000000"/>
  </w:font>
  <w:font w:name="Gill Sans">
    <w:panose1 w:val="00000000000000000000"/>
    <w:charset w:val="00"/>
    <w:family w:val="swiss"/>
    <w:notTrueType/>
    <w:pitch w:val="variable"/>
    <w:sig w:usb0="A00000AF" w:usb1="5000205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35331" w14:textId="77777777" w:rsidR="00785717" w:rsidRDefault="000F6D00" w:rsidP="00785717">
    <w:pPr>
      <w:pStyle w:val="Footer"/>
    </w:pPr>
    <w:r>
      <w:rPr>
        <w:noProof/>
      </w:rPr>
      <w:drawing>
        <wp:anchor distT="0" distB="0" distL="114300" distR="114300" simplePos="0" relativeHeight="251659264" behindDoc="0" locked="0" layoutInCell="1" allowOverlap="1" wp14:anchorId="7AA840F5" wp14:editId="23D0F4E3">
          <wp:simplePos x="0" y="0"/>
          <wp:positionH relativeFrom="column">
            <wp:posOffset>4953000</wp:posOffset>
          </wp:positionH>
          <wp:positionV relativeFrom="paragraph">
            <wp:posOffset>1231440</wp:posOffset>
          </wp:positionV>
          <wp:extent cx="1466850" cy="1393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66850" cy="139350"/>
                  </a:xfrm>
                  <a:prstGeom prst="rect">
                    <a:avLst/>
                  </a:prstGeom>
                </pic:spPr>
              </pic:pic>
            </a:graphicData>
          </a:graphic>
          <wp14:sizeRelH relativeFrom="margin">
            <wp14:pctWidth>0</wp14:pctWidth>
          </wp14:sizeRelH>
          <wp14:sizeRelV relativeFrom="margin">
            <wp14:pctHeight>0</wp14:pctHeight>
          </wp14:sizeRelV>
        </wp:anchor>
      </w:drawing>
    </w:r>
    <w:r w:rsidR="00BC7C15">
      <w:rPr>
        <w:noProof/>
      </w:rPr>
      <w:drawing>
        <wp:anchor distT="0" distB="0" distL="114300" distR="114300" simplePos="0" relativeHeight="251658240" behindDoc="1" locked="0" layoutInCell="1" allowOverlap="1" wp14:anchorId="224F61F0" wp14:editId="5A6CF3E0">
          <wp:simplePos x="0" y="0"/>
          <wp:positionH relativeFrom="page">
            <wp:posOffset>47625</wp:posOffset>
          </wp:positionH>
          <wp:positionV relativeFrom="page">
            <wp:posOffset>9247505</wp:posOffset>
          </wp:positionV>
          <wp:extent cx="7448550" cy="1259840"/>
          <wp:effectExtent l="0" t="0" r="0" b="0"/>
          <wp:wrapNone/>
          <wp:docPr id="1" name="Picture 1" descr="A picture containing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knif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448550" cy="125984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9296E" w14:textId="77777777" w:rsidR="005D7AEB" w:rsidRDefault="005D7AEB" w:rsidP="00785717">
      <w:pPr>
        <w:spacing w:line="240" w:lineRule="auto"/>
      </w:pPr>
      <w:r>
        <w:separator/>
      </w:r>
    </w:p>
  </w:footnote>
  <w:footnote w:type="continuationSeparator" w:id="0">
    <w:p w14:paraId="1B4A0A0B" w14:textId="77777777" w:rsidR="005D7AEB" w:rsidRDefault="005D7AEB" w:rsidP="0078571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C8458" w14:textId="77777777" w:rsidR="000F6D00" w:rsidRDefault="002766D9">
    <w:pPr>
      <w:pStyle w:val="Header"/>
    </w:pPr>
    <w:r>
      <w:rPr>
        <w:noProof/>
      </w:rPr>
      <w:drawing>
        <wp:anchor distT="0" distB="0" distL="114300" distR="114300" simplePos="0" relativeHeight="251661312" behindDoc="0" locked="0" layoutInCell="1" allowOverlap="1" wp14:anchorId="4688EBAB" wp14:editId="0DC5DC7C">
          <wp:simplePos x="0" y="0"/>
          <wp:positionH relativeFrom="page">
            <wp:posOffset>228600</wp:posOffset>
          </wp:positionH>
          <wp:positionV relativeFrom="paragraph">
            <wp:posOffset>-972185</wp:posOffset>
          </wp:positionV>
          <wp:extent cx="2781300" cy="1096645"/>
          <wp:effectExtent l="0" t="0" r="0" b="0"/>
          <wp:wrapSquare wrapText="bothSides"/>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rotWithShape="1">
                  <a:blip r:embed="rId1">
                    <a:clrChange>
                      <a:clrFrom>
                        <a:srgbClr val="FFFEFD"/>
                      </a:clrFrom>
                      <a:clrTo>
                        <a:srgbClr val="FFFEFD">
                          <a:alpha val="0"/>
                        </a:srgbClr>
                      </a:clrTo>
                    </a:clrChange>
                    <a:extLst>
                      <a:ext uri="{28A0092B-C50C-407E-A947-70E740481C1C}">
                        <a14:useLocalDpi xmlns:a14="http://schemas.microsoft.com/office/drawing/2010/main" val="0"/>
                      </a:ext>
                    </a:extLst>
                  </a:blip>
                  <a:srcRect b="11420"/>
                  <a:stretch/>
                </pic:blipFill>
                <pic:spPr bwMode="auto">
                  <a:xfrm>
                    <a:off x="0" y="0"/>
                    <a:ext cx="2781300" cy="10966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E02"/>
    <w:rsid w:val="0002201E"/>
    <w:rsid w:val="000F6D00"/>
    <w:rsid w:val="001D743C"/>
    <w:rsid w:val="002202E3"/>
    <w:rsid w:val="00226E7E"/>
    <w:rsid w:val="00240801"/>
    <w:rsid w:val="002766D9"/>
    <w:rsid w:val="002F61AE"/>
    <w:rsid w:val="0033061E"/>
    <w:rsid w:val="00372E92"/>
    <w:rsid w:val="003810AA"/>
    <w:rsid w:val="003E6ED5"/>
    <w:rsid w:val="003E7580"/>
    <w:rsid w:val="00422572"/>
    <w:rsid w:val="005272B1"/>
    <w:rsid w:val="005524DB"/>
    <w:rsid w:val="005741C7"/>
    <w:rsid w:val="005D7AEB"/>
    <w:rsid w:val="005E6C45"/>
    <w:rsid w:val="00640217"/>
    <w:rsid w:val="00647055"/>
    <w:rsid w:val="00660F46"/>
    <w:rsid w:val="00785717"/>
    <w:rsid w:val="00791A4F"/>
    <w:rsid w:val="008220B7"/>
    <w:rsid w:val="00823B77"/>
    <w:rsid w:val="00832809"/>
    <w:rsid w:val="008916A8"/>
    <w:rsid w:val="008B6461"/>
    <w:rsid w:val="008E5E0C"/>
    <w:rsid w:val="008F3E38"/>
    <w:rsid w:val="00931996"/>
    <w:rsid w:val="009A1716"/>
    <w:rsid w:val="009A1DEC"/>
    <w:rsid w:val="009A77CD"/>
    <w:rsid w:val="009D6280"/>
    <w:rsid w:val="009F1271"/>
    <w:rsid w:val="00A34918"/>
    <w:rsid w:val="00AB11DA"/>
    <w:rsid w:val="00AC1D0A"/>
    <w:rsid w:val="00B15DBB"/>
    <w:rsid w:val="00B23C3C"/>
    <w:rsid w:val="00B546C5"/>
    <w:rsid w:val="00B7088D"/>
    <w:rsid w:val="00BC7C15"/>
    <w:rsid w:val="00C063FE"/>
    <w:rsid w:val="00C44603"/>
    <w:rsid w:val="00C541FE"/>
    <w:rsid w:val="00C76A09"/>
    <w:rsid w:val="00CF1AD5"/>
    <w:rsid w:val="00DE1F9A"/>
    <w:rsid w:val="00E03029"/>
    <w:rsid w:val="00EC1C5A"/>
    <w:rsid w:val="00F67E02"/>
    <w:rsid w:val="00F82F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0A5F88"/>
  <w15:chartTrackingRefBased/>
  <w15:docId w15:val="{8453065E-0181-4452-BD60-50B178FAB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43C"/>
    <w:pPr>
      <w:spacing w:after="0" w:line="360" w:lineRule="auto"/>
    </w:pPr>
    <w:rPr>
      <w:rFonts w:ascii="Verdana" w:eastAsia="Calibri" w:hAnsi="Verdana" w:cs="Times New Roman"/>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HeaderChar">
    <w:name w:val="Header Char"/>
    <w:basedOn w:val="DefaultParagraphFont"/>
    <w:link w:val="Header"/>
    <w:uiPriority w:val="99"/>
    <w:rsid w:val="00785717"/>
  </w:style>
  <w:style w:type="paragraph" w:styleId="Footer">
    <w:name w:val="footer"/>
    <w:basedOn w:val="Normal"/>
    <w:link w:val="Foot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FooterChar">
    <w:name w:val="Footer Char"/>
    <w:basedOn w:val="DefaultParagraphFont"/>
    <w:link w:val="Footer"/>
    <w:uiPriority w:val="99"/>
    <w:rsid w:val="00785717"/>
  </w:style>
  <w:style w:type="character" w:styleId="Hyperlink">
    <w:name w:val="Hyperlink"/>
    <w:basedOn w:val="DefaultParagraphFont"/>
    <w:uiPriority w:val="99"/>
    <w:rsid w:val="001D743C"/>
    <w:rPr>
      <w:color w:val="0000FF"/>
      <w:u w:val="single"/>
    </w:rPr>
  </w:style>
  <w:style w:type="paragraph" w:styleId="NoSpacing">
    <w:name w:val="No Spacing"/>
    <w:uiPriority w:val="1"/>
    <w:qFormat/>
    <w:rsid w:val="001D743C"/>
    <w:pPr>
      <w:spacing w:after="0" w:line="240" w:lineRule="auto"/>
    </w:pPr>
    <w:rPr>
      <w:rFonts w:ascii="Verdana" w:eastAsia="Calibri" w:hAnsi="Verdana" w:cs="Times New Roman"/>
      <w:sz w:val="18"/>
    </w:rPr>
  </w:style>
  <w:style w:type="character" w:styleId="UnresolvedMention">
    <w:name w:val="Unresolved Mention"/>
    <w:basedOn w:val="DefaultParagraphFont"/>
    <w:uiPriority w:val="99"/>
    <w:semiHidden/>
    <w:unhideWhenUsed/>
    <w:rsid w:val="00931996"/>
    <w:rPr>
      <w:color w:val="605E5C"/>
      <w:shd w:val="clear" w:color="auto" w:fill="E1DFDD"/>
    </w:rPr>
  </w:style>
  <w:style w:type="character" w:styleId="CommentReference">
    <w:name w:val="annotation reference"/>
    <w:basedOn w:val="DefaultParagraphFont"/>
    <w:uiPriority w:val="99"/>
    <w:semiHidden/>
    <w:unhideWhenUsed/>
    <w:rsid w:val="003E6ED5"/>
    <w:rPr>
      <w:sz w:val="16"/>
      <w:szCs w:val="16"/>
    </w:rPr>
  </w:style>
  <w:style w:type="paragraph" w:styleId="CommentText">
    <w:name w:val="annotation text"/>
    <w:basedOn w:val="Normal"/>
    <w:link w:val="CommentTextChar"/>
    <w:uiPriority w:val="99"/>
    <w:unhideWhenUsed/>
    <w:rsid w:val="003E6ED5"/>
    <w:pPr>
      <w:spacing w:line="240" w:lineRule="auto"/>
    </w:pPr>
    <w:rPr>
      <w:rFonts w:ascii="Times New Roman" w:eastAsia="Times New Roman" w:hAnsi="Times New Roman"/>
      <w:sz w:val="20"/>
      <w:szCs w:val="20"/>
    </w:rPr>
  </w:style>
  <w:style w:type="character" w:customStyle="1" w:styleId="CommentTextChar">
    <w:name w:val="Comment Text Char"/>
    <w:basedOn w:val="DefaultParagraphFont"/>
    <w:link w:val="CommentText"/>
    <w:uiPriority w:val="99"/>
    <w:rsid w:val="003E6ED5"/>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pf.co.uk/members/ram.aspx" TargetMode="External"/><Relationship Id="rId13" Type="http://schemas.openxmlformats.org/officeDocument/2006/relationships/hyperlink" Target="mailto:Kathrin.Farr@domino-uk.com"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bsigroup.com/en-US/insights-and-media/insights/blogs/extended-producer-responsibility-epr-around-the-world/" TargetMode="External"/><Relationship Id="rId12" Type="http://schemas.openxmlformats.org/officeDocument/2006/relationships/hyperlink" Target="http://www.domino-printing.com"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s://www.domino-printing.com/en/blog/2024/connected-packaging-and-consumer-engagement?utm_medium=non-paid&amp;utm_source=onlinepublication&amp;utm_content=pr-dp-EPR&amp;utm_campaign=2026-int-en-Global-PR-DP-FY26-Q2" TargetMode="External"/><Relationship Id="rId11" Type="http://schemas.openxmlformats.org/officeDocument/2006/relationships/hyperlink" Target="https://www.domino-printing.com/en-gb/blog/2023/the-future-of-traceability-get-ready-for-the-digital-product-passport?utm_medium=non-paid&amp;utm_source=onlinepublication&amp;utm_content=pr-dp-EPR&amp;utm_campaign=2026-int-en-Global-PR-DP-FY26-Q2"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s://www.domino-printing.com/en-gb/blog/2025/ppwr-and-printing-inks" TargetMode="External"/><Relationship Id="rId4" Type="http://schemas.openxmlformats.org/officeDocument/2006/relationships/footnotes" Target="footnotes.xml"/><Relationship Id="rId9" Type="http://schemas.openxmlformats.org/officeDocument/2006/relationships/hyperlink" Target="https://www.plasticcollective.co/design-for-recyclability-2026-new-material-label-additive-restrictions/" TargetMode="External"/><Relationship Id="rId14" Type="http://schemas.openxmlformats.org/officeDocument/2006/relationships/hyperlink" Target="mailto:Jade.Taylor-Salazar@domino-uk.com"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1523</Words>
  <Characters>8684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Kathrin Farr</dc:creator>
  <cp:keywords/>
  <dc:description/>
  <cp:lastModifiedBy>Kathrin Farr</cp:lastModifiedBy>
  <cp:revision>3</cp:revision>
  <dcterms:created xsi:type="dcterms:W3CDTF">2026-09-02T16:15:00Z</dcterms:created>
  <dcterms:modified xsi:type="dcterms:W3CDTF">2026-09-03T15:06:00Z</dcterms:modified>
</cp:coreProperties>
</file>