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77E1" w14:textId="77777777" w:rsidR="00BD09DF" w:rsidRPr="00BD09DF" w:rsidRDefault="00BD09DF" w:rsidP="00BD09DF">
      <w:pPr>
        <w:spacing w:before="120" w:after="120" w:line="240" w:lineRule="auto"/>
        <w:rPr>
          <w:rFonts w:ascii="Noto Sans" w:eastAsia="Times New Roman" w:hAnsi="Noto Sans" w:cs="Noto Sans"/>
          <w:b/>
          <w:bCs/>
          <w:sz w:val="28"/>
          <w:szCs w:val="28"/>
          <w:lang w:val="pt-BR"/>
        </w:rPr>
      </w:pPr>
      <w:r w:rsidRPr="00BD09DF">
        <w:rPr>
          <w:rFonts w:ascii="Noto Sans" w:eastAsia="Times New Roman" w:hAnsi="Noto Sans" w:cs="Noto Sans"/>
          <w:b/>
          <w:bCs/>
          <w:sz w:val="28"/>
          <w:szCs w:val="28"/>
          <w:lang w:val="pt-PT"/>
        </w:rPr>
        <w:t>EPR relativa a embalagens: de fornecedor de embalagens a parceiro estratégico da marca</w:t>
      </w:r>
    </w:p>
    <w:p w14:paraId="703FAE87" w14:textId="77777777" w:rsidR="00BD09DF" w:rsidRPr="00BD09DF" w:rsidRDefault="00BD09DF" w:rsidP="00BD09DF">
      <w:pPr>
        <w:spacing w:before="120" w:after="120" w:line="240" w:lineRule="auto"/>
        <w:rPr>
          <w:rFonts w:ascii="Noto Sans" w:eastAsia="Times New Roman" w:hAnsi="Noto Sans" w:cs="Noto Sans"/>
          <w:i/>
          <w:iCs/>
          <w:sz w:val="22"/>
          <w:lang w:val="pt-BR"/>
        </w:rPr>
      </w:pPr>
      <w:r w:rsidRPr="00BD09DF">
        <w:rPr>
          <w:rFonts w:ascii="Noto Sans" w:eastAsia="Times New Roman" w:hAnsi="Noto Sans" w:cs="Noto Sans"/>
          <w:i/>
          <w:iCs/>
          <w:sz w:val="22"/>
          <w:lang w:val="pt-PT"/>
        </w:rPr>
        <w:t xml:space="preserve">As regulamentações globais de sustentabilidade estão a redefinir as estratégias de embalagem das marcas. </w:t>
      </w:r>
      <w:hyperlink r:id="rId6" w:history="1">
        <w:r w:rsidRPr="00BD09DF">
          <w:rPr>
            <w:rFonts w:ascii="Noto Sans" w:eastAsia="Times New Roman" w:hAnsi="Noto Sans" w:cs="Noto Sans"/>
            <w:i/>
            <w:iCs/>
            <w:color w:val="0000EE"/>
            <w:sz w:val="22"/>
            <w:u w:val="single"/>
            <w:lang w:val="pt-PT"/>
          </w:rPr>
          <w:t>A embalagem evoluiu</w:t>
        </w:r>
      </w:hyperlink>
      <w:r w:rsidRPr="00BD09DF">
        <w:rPr>
          <w:rFonts w:ascii="Noto Sans" w:eastAsia="Times New Roman" w:hAnsi="Noto Sans" w:cs="Noto Sans"/>
          <w:i/>
          <w:iCs/>
          <w:sz w:val="22"/>
          <w:lang w:val="pt-PT"/>
        </w:rPr>
        <w:t xml:space="preserve"> de simples protetor de produtos a ativo multifacetado, proporcionando não só proteção do produto e conformidade regulamentar, mas também comunicação da marca e envolvimento do cliente.</w:t>
      </w:r>
    </w:p>
    <w:p w14:paraId="56176F4C" w14:textId="77777777" w:rsidR="00BD09DF" w:rsidRPr="00BD09DF" w:rsidRDefault="00BD09DF" w:rsidP="00BD09DF">
      <w:pPr>
        <w:spacing w:before="120" w:after="120" w:line="240" w:lineRule="auto"/>
        <w:rPr>
          <w:rFonts w:ascii="Noto Sans" w:eastAsia="Times New Roman" w:hAnsi="Noto Sans" w:cs="Noto Sans"/>
          <w:i/>
          <w:iCs/>
          <w:sz w:val="22"/>
          <w:lang w:val="pt-BR"/>
        </w:rPr>
      </w:pPr>
      <w:r w:rsidRPr="00BD09DF">
        <w:rPr>
          <w:rFonts w:ascii="Noto Sans" w:eastAsia="Times New Roman" w:hAnsi="Noto Sans" w:cs="Noto Sans"/>
          <w:i/>
          <w:iCs/>
          <w:sz w:val="22"/>
          <w:lang w:val="pt-PT"/>
        </w:rPr>
        <w:t>Com a introdução do Regulamento da UE relativo a embalagens e resíduos de embalagens (PPWR) e de esquemas locais de Responsabilidade alargada do produtor (EPR) relativa a embalagens, a reutilização e a reciclabilidade das embalagens tornaram-se um ponto fundamental para os proprietários de marcas.</w:t>
      </w:r>
    </w:p>
    <w:p w14:paraId="5C1592FF" w14:textId="0E0F40F2" w:rsidR="00BD09DF" w:rsidRPr="00BD09DF" w:rsidRDefault="00021935" w:rsidP="00BD09DF">
      <w:pPr>
        <w:spacing w:before="120" w:after="120" w:line="240" w:lineRule="auto"/>
        <w:rPr>
          <w:rFonts w:ascii="Noto Sans" w:eastAsia="Times New Roman" w:hAnsi="Noto Sans" w:cs="Noto Sans"/>
          <w:i/>
          <w:iCs/>
          <w:sz w:val="22"/>
          <w:lang w:val="pt-BR"/>
        </w:rPr>
      </w:pPr>
      <w:r w:rsidRPr="00021935">
        <w:rPr>
          <w:rFonts w:ascii="Noto Sans" w:eastAsia="Times New Roman" w:hAnsi="Noto Sans" w:cs="Noto Sans"/>
          <w:i/>
          <w:iCs/>
          <w:sz w:val="22"/>
          <w:lang w:val="pt-BR"/>
        </w:rPr>
        <w:t>Mike Barry, Commercial Director, Digital Printing, </w:t>
      </w:r>
      <w:r w:rsidR="00BD09DF" w:rsidRPr="00BD09DF">
        <w:rPr>
          <w:rFonts w:ascii="Noto Sans" w:eastAsia="Times New Roman" w:hAnsi="Noto Sans" w:cs="Noto Sans"/>
          <w:i/>
          <w:iCs/>
          <w:sz w:val="22"/>
          <w:lang w:val="pt-PT"/>
        </w:rPr>
        <w:t>da Domino, explica como os fabricantes de etiquetas e embalagens podem apoiar as iniciativas de "Design para a reciclabilidade" das marcas e a conformidade com a EPR relativa a embalagens.</w:t>
      </w:r>
    </w:p>
    <w:p w14:paraId="42B5190D"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b/>
          <w:bCs/>
          <w:sz w:val="22"/>
          <w:lang w:val="pt-PT"/>
        </w:rPr>
        <w:t>Prioridade de reciclagem</w:t>
      </w:r>
      <w:r w:rsidRPr="00BD09DF">
        <w:rPr>
          <w:rFonts w:ascii="Noto Sans" w:eastAsia="Times New Roman" w:hAnsi="Noto Sans" w:cs="Noto Sans"/>
          <w:sz w:val="22"/>
          <w:lang w:val="pt-PT"/>
        </w:rPr>
        <w:t xml:space="preserve"> </w:t>
      </w:r>
    </w:p>
    <w:p w14:paraId="388EEE73"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Mais de </w:t>
      </w:r>
      <w:hyperlink r:id="rId7" w:history="1">
        <w:r w:rsidRPr="00BD09DF">
          <w:rPr>
            <w:rFonts w:ascii="Noto Sans" w:eastAsia="Times New Roman" w:hAnsi="Noto Sans" w:cs="Noto Sans"/>
            <w:color w:val="0000EE"/>
            <w:sz w:val="22"/>
            <w:u w:val="single"/>
            <w:lang w:val="pt-PT"/>
          </w:rPr>
          <w:t>70 países em todo o mundo</w:t>
        </w:r>
      </w:hyperlink>
      <w:r w:rsidRPr="00BD09DF">
        <w:rPr>
          <w:rFonts w:ascii="Noto Sans" w:eastAsia="Times New Roman" w:hAnsi="Noto Sans" w:cs="Noto Sans"/>
          <w:sz w:val="22"/>
          <w:lang w:val="pt-PT"/>
        </w:rPr>
        <w:t xml:space="preserve"> operam agora esquemas de Responsabilidade alargada do produtor (EPR) relativa a embalagens. Embora o âmbito das estruturas de EPR possa variar consoante a região, como norma, o sistema exige que as marcas se registem como produtores, reportem os volumes de embalagem e paguem taxas de EPR. </w:t>
      </w:r>
    </w:p>
    <w:p w14:paraId="5E5E8CBD"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Algumas estruturas de EPR incluem a obrigatoriedade de reduzir a embalagem e melhorar a reciclabilidade. Outras exigem etiquetas de reciclagem mais claras e standardizadas para ajudar os consumidores a eliminar as embalagens corretamente, com o objetivo de eliminar a poluição nos fluxos de reciclagem e garantir que todo o material reciclado seja adequado para reutilização na economia circular. </w:t>
      </w:r>
    </w:p>
    <w:p w14:paraId="6C4A1C21"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Todos os componentes da embalagem, incluindo etiquetas, substratos e tintas de impressão, são afetados.</w:t>
      </w:r>
    </w:p>
    <w:p w14:paraId="72260649" w14:textId="77777777" w:rsidR="00BD09DF" w:rsidRPr="00BD09DF" w:rsidRDefault="00BD09DF" w:rsidP="00BD09DF">
      <w:pPr>
        <w:spacing w:before="120" w:after="120" w:line="240" w:lineRule="auto"/>
        <w:rPr>
          <w:rFonts w:ascii="Noto Sans" w:eastAsia="Times New Roman" w:hAnsi="Noto Sans" w:cs="Noto Sans"/>
          <w:b/>
          <w:bCs/>
          <w:sz w:val="22"/>
          <w:lang w:val="pt-BR"/>
        </w:rPr>
      </w:pPr>
      <w:r w:rsidRPr="00BD09DF">
        <w:rPr>
          <w:rFonts w:ascii="Noto Sans" w:eastAsia="Times New Roman" w:hAnsi="Noto Sans" w:cs="Noto Sans"/>
          <w:b/>
          <w:bCs/>
          <w:sz w:val="22"/>
          <w:lang w:val="pt-PT"/>
        </w:rPr>
        <w:t>Implicações de custos crescentes</w:t>
      </w:r>
    </w:p>
    <w:p w14:paraId="37CC18BA"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As estruturas de taxas de EPR baseiam-se tipicamente no peso da embalagem ou na contagem de unidades, sendo que os métodos de cálculo variam consoante a região. Alguns países estabeleceram estruturas de taxas eco-moduladas para recompensar o design de embalagem e a escolha de materiais mais sustentáveis, bem como para desencorajar a redução do peso das embalagens através da utilização de materiais menos ecológicos. </w:t>
      </w:r>
    </w:p>
    <w:p w14:paraId="2BDD7B4D"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No Reino Unido, a eco-modulação classifica o desperdício de embalagens num sistema de semáforo baseado na </w:t>
      </w:r>
      <w:hyperlink r:id="rId8" w:history="1">
        <w:r w:rsidRPr="00BD09DF">
          <w:rPr>
            <w:rFonts w:ascii="Noto Sans" w:eastAsia="Times New Roman" w:hAnsi="Noto Sans" w:cs="Noto Sans"/>
            <w:color w:val="0000EE"/>
            <w:sz w:val="22"/>
            <w:u w:val="single"/>
            <w:lang w:val="pt-PT"/>
          </w:rPr>
          <w:t>Metodologia de Avaliação da Reciclabilidade (RAM)</w:t>
        </w:r>
      </w:hyperlink>
      <w:r w:rsidRPr="00BD09DF">
        <w:rPr>
          <w:rFonts w:ascii="Noto Sans" w:eastAsia="Times New Roman" w:hAnsi="Noto Sans" w:cs="Noto Sans"/>
          <w:sz w:val="22"/>
          <w:lang w:val="pt-PT"/>
        </w:rPr>
        <w:t xml:space="preserve">. Os materiais que são amplamente reciclados beneficiam de taxas mais baixas, enquanto </w:t>
      </w:r>
      <w:r w:rsidRPr="00BD09DF">
        <w:rPr>
          <w:rFonts w:ascii="Noto Sans" w:eastAsia="Times New Roman" w:hAnsi="Noto Sans" w:cs="Noto Sans"/>
          <w:sz w:val="22"/>
          <w:lang w:val="pt-PT"/>
        </w:rPr>
        <w:lastRenderedPageBreak/>
        <w:t xml:space="preserve">aqueles que são mais difíceis de reciclar acarretam custos mais elevados. Escolhas inadequadas de tinta ou de materiais podem comprometer embalagens que, de outra forma, seriam recicláveis, resultando em taxas mais elevadas para as marcas. </w:t>
      </w:r>
    </w:p>
    <w:p w14:paraId="6AD009BE"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Ao ligar o design da embalagem e a escolha de materiais diretamente aos custos, ao desempenho da reciclabilidade e à competitividade no mercado, torna-se evidente que a EPR é mais do que um mero exercício de conformidade para as marcas. </w:t>
      </w:r>
    </w:p>
    <w:p w14:paraId="4A12B6E2"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b/>
          <w:bCs/>
          <w:sz w:val="22"/>
          <w:lang w:val="pt-PT"/>
        </w:rPr>
        <w:t>Impulsionar a reciclabilidade da embalagem e reduzir taxas</w:t>
      </w:r>
    </w:p>
    <w:p w14:paraId="4AFED57E"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Os fabricantes desempenham um papel fundamental no apoio às respostas dos proprietários de marcas perante as exigências regulatórias em constante evolução, permitindo simultaneamente soluções de embalagem mais sustentáveis e circulares. </w:t>
      </w:r>
    </w:p>
    <w:p w14:paraId="2D511100"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Para além da obrigação de reporte, a EPR relativa a embalagens e o PPWR estão a levar muitas marcas a redesenhar as embalagens segundo os princípios de </w:t>
      </w:r>
      <w:hyperlink r:id="rId9" w:history="1">
        <w:r w:rsidRPr="00BD09DF">
          <w:rPr>
            <w:rFonts w:ascii="Noto Sans" w:eastAsia="Times New Roman" w:hAnsi="Noto Sans" w:cs="Noto Sans"/>
            <w:color w:val="0563C1" w:themeColor="hyperlink"/>
            <w:sz w:val="22"/>
            <w:u w:val="single"/>
            <w:lang w:val="pt-PT"/>
          </w:rPr>
          <w:t>Design para a reciclabilidade</w:t>
        </w:r>
      </w:hyperlink>
      <w:r w:rsidRPr="00BD09DF">
        <w:rPr>
          <w:rFonts w:ascii="Noto Sans" w:eastAsia="Times New Roman" w:hAnsi="Noto Sans" w:cs="Noto Sans"/>
          <w:sz w:val="22"/>
          <w:lang w:val="pt-PT"/>
        </w:rPr>
        <w:t xml:space="preserve">. Isto inclui a transição para materiais de embalagens amplamente recicláveis, a utilização de etiquetas mais pequenas e de fácil remoção, bem como a consideração do </w:t>
      </w:r>
      <w:hyperlink r:id="rId10" w:anchor="head3?utm_medium=non-paid&amp;utm_source=onlinepublication&amp;utm_content=pr-dp-EPR&amp;utm_campaign=2026-int-pt-Global-PR-DP-FY26-Q2" w:history="1">
        <w:r w:rsidRPr="00BD09DF">
          <w:rPr>
            <w:rFonts w:ascii="Noto Sans" w:eastAsia="Times New Roman" w:hAnsi="Noto Sans" w:cs="Noto Sans"/>
            <w:color w:val="0563C1" w:themeColor="hyperlink"/>
            <w:sz w:val="22"/>
            <w:u w:val="single"/>
            <w:lang w:val="pt-PT"/>
          </w:rPr>
          <w:t>impacto das tintas nos processos de reciclagem</w:t>
        </w:r>
      </w:hyperlink>
      <w:r w:rsidRPr="00BD09DF">
        <w:rPr>
          <w:rFonts w:ascii="Noto Sans" w:eastAsia="Times New Roman" w:hAnsi="Noto Sans" w:cs="Noto Sans"/>
          <w:sz w:val="22"/>
          <w:lang w:val="pt-PT"/>
        </w:rPr>
        <w:t xml:space="preserve">. </w:t>
      </w:r>
    </w:p>
    <w:p w14:paraId="1A05F8C1"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Para os fabricantes, existe uma oportunidade de demonstrar valor acrescentado para os clientes ao trabalhar em estreita colaboração com marcas, designers de embalagem e fornecedores de materiais ao longo de todo o processo. Uma boa compreensão das estruturas locais de taxas de EPR relativa a embalagens e das exigências do PPWR, combinada com experiência em tecnologia de impressão, tintas e substratos, oferece uma oportunidade de diferenciação. Os fabricantes podem ajudar as marcas a criar embalagens e etiquetas rentáveis e em conformidade, cumprindo simultaneamente os objetivos de marketing com cores fiéis à marca e uma excelente qualidade de impressão.</w:t>
      </w:r>
    </w:p>
    <w:p w14:paraId="7224D016"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Num mundo em que a embalagem recebe agora o mesmo nível de escrutínio que o próprio produto, o acesso a informações de elevada qualidade sobre a composição material está a tornar-se um diferenciador fundamental para as marcas no momento de escolher um fornecedor de embalagem. </w:t>
      </w:r>
    </w:p>
    <w:p w14:paraId="094FE33E"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O acesso sem interrupções à informação, incluindo declarações de materiais sobre composição e peso, bem como a documentação de conformidade para tintas e adesivos, pode transformar os relatórios de EPR das marcas. Esta informação pode fornecer evidências para as autoridades de vigilância de mercado e auditorias internas de sustentabilidade e, na UE, apoiar as marcas na criação de declarações de conformidade ao abrigo do PPWR. </w:t>
      </w:r>
    </w:p>
    <w:p w14:paraId="58CD6FC1" w14:textId="77777777" w:rsidR="00BD09DF" w:rsidRPr="00BD09DF" w:rsidRDefault="00BD09DF" w:rsidP="00BD09DF">
      <w:pPr>
        <w:spacing w:before="120" w:after="120" w:line="240" w:lineRule="auto"/>
        <w:rPr>
          <w:rFonts w:ascii="Noto Sans" w:eastAsia="Times New Roman" w:hAnsi="Noto Sans" w:cs="Noto Sans"/>
          <w:b/>
          <w:bCs/>
          <w:sz w:val="22"/>
          <w:lang w:val="pt-BR"/>
        </w:rPr>
      </w:pPr>
      <w:r w:rsidRPr="00BD09DF">
        <w:rPr>
          <w:rFonts w:ascii="Noto Sans" w:eastAsia="Times New Roman" w:hAnsi="Noto Sans" w:cs="Noto Sans"/>
          <w:b/>
          <w:bCs/>
          <w:sz w:val="22"/>
          <w:lang w:val="pt-PT"/>
        </w:rPr>
        <w:t>O papel da impressão digital como facilitadora</w:t>
      </w:r>
    </w:p>
    <w:p w14:paraId="5C451BB9"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O foco na reciclabilidade continuará a evoluir, exigindo novos níveis de flexibilidade e agilidade tanto para as marcas como para os fabricantes. Com o PPWR e as regulamentações de EPR relativa a embalagens ainda em fase de definição, </w:t>
      </w:r>
      <w:r w:rsidRPr="00BD09DF">
        <w:rPr>
          <w:rFonts w:ascii="Noto Sans" w:eastAsia="Times New Roman" w:hAnsi="Noto Sans" w:cs="Noto Sans"/>
          <w:sz w:val="22"/>
          <w:lang w:val="pt-PT"/>
        </w:rPr>
        <w:lastRenderedPageBreak/>
        <w:t xml:space="preserve">juntamente com novas iniciativas, como os </w:t>
      </w:r>
      <w:hyperlink r:id="rId11" w:history="1">
        <w:r w:rsidRPr="00BD09DF">
          <w:rPr>
            <w:rFonts w:ascii="Noto Sans" w:eastAsia="Times New Roman" w:hAnsi="Noto Sans" w:cs="Noto Sans"/>
            <w:color w:val="0000EE"/>
            <w:sz w:val="22"/>
            <w:u w:val="single"/>
            <w:lang w:val="pt-PT"/>
          </w:rPr>
          <w:t>passaportes digitais de produto</w:t>
        </w:r>
      </w:hyperlink>
      <w:r w:rsidRPr="00BD09DF">
        <w:rPr>
          <w:rFonts w:ascii="Noto Sans" w:eastAsia="Times New Roman" w:hAnsi="Noto Sans" w:cs="Noto Sans"/>
          <w:sz w:val="22"/>
          <w:u w:val="single"/>
          <w:lang w:val="pt-PT"/>
        </w:rPr>
        <w:t>,</w:t>
      </w:r>
      <w:r w:rsidRPr="00BD09DF">
        <w:rPr>
          <w:rFonts w:ascii="Noto Sans" w:eastAsia="Times New Roman" w:hAnsi="Noto Sans" w:cs="Noto Sans"/>
          <w:sz w:val="22"/>
          <w:lang w:val="pt-PT"/>
        </w:rPr>
        <w:t xml:space="preserve"> previstas para serem implementadas nos próximos anos, as marcas precisam de ser capazes de adaptar rapidamente os designs de embalagem. </w:t>
      </w:r>
    </w:p>
    <w:p w14:paraId="62457587"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A tecnologia de impressão digital é fundamental para atualizar rapidamente a embalagem em conformidade com as normas emergentes. Os fabricantes com acesso a impressoras digitais também podem produzir de forma eficiente tiragens mais curtas de variações de embalagem, como as que requerem símbolos de reciclagem específicos de cada região. </w:t>
      </w:r>
    </w:p>
    <w:p w14:paraId="1DBA9669"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A impressão digital também permite a adição de elementos de dados variáveis, um requisito fundamental para os passaportes digitais de produtos. As marcas utilizarão códigos QR baseados nos padrões da GS1, impressos e frequentemente serializados, para partilhar informações sobre materiais, reciclabilidade e dados de conformidade do produto e da embalagem através de um website ou aplicação.</w:t>
      </w:r>
    </w:p>
    <w:p w14:paraId="1A28EFDF"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b/>
          <w:bCs/>
          <w:sz w:val="22"/>
          <w:lang w:val="pt-PT"/>
        </w:rPr>
        <w:t xml:space="preserve">Preparação para o futuro </w:t>
      </w:r>
    </w:p>
    <w:p w14:paraId="2F86FA8E"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Embora não existam planos para standardizar a EPR ao nível da UE, os governos locais estão a trabalhar para alinhar os seus esquemas com os critérios de reciclabilidade do PPWR, a conformidade com a EuPIA e os limites de substâncias perigosas. A indústria, incluindo marcas, fabricantes e organismos de normalização como a GS1, está também a impulsionar uma maior consistência nos dados, nos relatórios e no design de embalagens. </w:t>
      </w:r>
    </w:p>
    <w:p w14:paraId="6846EA6E" w14:textId="77777777" w:rsidR="00BD09DF" w:rsidRPr="00BD09DF"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 xml:space="preserve">A embalagem está a tornar-se um ativo regulamentado, um suporte de dados e um fator de custos para as marcas. À medida que as marcas investem em embalagens para o futuro, os fabricantes familiarizados com as regulamentações locais de EPR relativa a embalagens, os avanços em materiais recicláveis e capazes de fornecer documentação detalhada terão uma vantagem competitiva. </w:t>
      </w:r>
    </w:p>
    <w:p w14:paraId="039C7DCB" w14:textId="77777777" w:rsidR="00BD09DF" w:rsidRPr="00E84274" w:rsidRDefault="00BD09DF" w:rsidP="00BD09DF">
      <w:pPr>
        <w:spacing w:before="120" w:after="120" w:line="240" w:lineRule="auto"/>
        <w:rPr>
          <w:rFonts w:ascii="Noto Sans" w:eastAsia="Times New Roman" w:hAnsi="Noto Sans" w:cs="Noto Sans"/>
          <w:sz w:val="22"/>
          <w:lang w:val="pt-BR"/>
        </w:rPr>
      </w:pPr>
      <w:r w:rsidRPr="00BD09DF">
        <w:rPr>
          <w:rFonts w:ascii="Noto Sans" w:eastAsia="Times New Roman" w:hAnsi="Noto Sans" w:cs="Noto Sans"/>
          <w:sz w:val="22"/>
          <w:lang w:val="pt-PT"/>
        </w:rPr>
        <w:t>FIM</w:t>
      </w:r>
    </w:p>
    <w:p w14:paraId="29B953BD" w14:textId="4A72C447" w:rsidR="006C6C7C" w:rsidRPr="00FC465F" w:rsidRDefault="00D66051" w:rsidP="006C6C7C">
      <w:pPr>
        <w:spacing w:line="240" w:lineRule="auto"/>
        <w:rPr>
          <w:lang w:val="pt-BR"/>
        </w:rPr>
      </w:pPr>
      <w:r w:rsidRPr="0082657D">
        <w:rPr>
          <w:rFonts w:ascii="Noto Sans" w:eastAsia="Gill Sans" w:hAnsi="Noto Sans" w:cs="Noto Sans"/>
          <w:szCs w:val="18"/>
          <w:lang w:val="pt-PT"/>
        </w:rPr>
        <w:br/>
      </w:r>
      <w:r w:rsidRPr="0082657D">
        <w:rPr>
          <w:rFonts w:ascii="Noto Sans" w:eastAsia="Gill Sans" w:hAnsi="Noto Sans" w:cs="Noto Sans"/>
          <w:szCs w:val="18"/>
          <w:lang w:val="pt-PT"/>
        </w:rPr>
        <w:br/>
      </w:r>
      <w:r w:rsidR="006C6C7C" w:rsidRPr="00AB22C5">
        <w:rPr>
          <w:rFonts w:ascii="Noto Sans" w:eastAsia="Gill Sans" w:hAnsi="Noto Sans" w:cs="Noto Sans"/>
          <w:b/>
          <w:bCs/>
          <w:szCs w:val="18"/>
          <w:lang w:val="pt-PT"/>
        </w:rPr>
        <w:t>Isenção de responsabilidade</w:t>
      </w:r>
      <w:r w:rsidR="006C6C7C" w:rsidRPr="0082657D">
        <w:rPr>
          <w:rFonts w:ascii="Noto Sans" w:eastAsia="Gill Sans" w:hAnsi="Noto Sans" w:cs="Noto Sans"/>
          <w:b/>
          <w:szCs w:val="18"/>
          <w:lang w:val="pt-PT"/>
        </w:rPr>
        <w:br/>
      </w:r>
      <w:r w:rsidR="006C6C7C" w:rsidRPr="0082657D">
        <w:rPr>
          <w:rFonts w:ascii="Noto Sans" w:eastAsia="Gill Sans" w:hAnsi="Noto Sans" w:cs="Noto Sans"/>
          <w:szCs w:val="18"/>
          <w:lang w:val="pt-PT"/>
        </w:rPr>
        <w:br/>
      </w:r>
      <w:r w:rsidR="006C6C7C" w:rsidRPr="00AB22C5">
        <w:rPr>
          <w:rFonts w:ascii="Noto Sans" w:hAnsi="Noto Sans" w:cs="Noto Sans"/>
          <w:b/>
          <w:bCs/>
          <w:szCs w:val="18"/>
          <w:lang w:val="pt-PT"/>
        </w:rPr>
        <w:t>Tintas</w:t>
      </w:r>
      <w:r w:rsidR="006C6C7C" w:rsidRPr="0082657D">
        <w:rPr>
          <w:rFonts w:ascii="Noto Sans" w:hAnsi="Noto Sans" w:cs="Noto Sans"/>
          <w:szCs w:val="18"/>
          <w:lang w:val="pt-PT"/>
        </w:rPr>
        <w:br/>
      </w:r>
      <w:r w:rsidR="006C6C7C" w:rsidRPr="00FC465F">
        <w:rPr>
          <w:rFonts w:ascii="Noto Sans" w:hAnsi="Noto Sans" w:cs="Noto Sans"/>
          <w:szCs w:val="18"/>
          <w:lang w:val="pt-BR"/>
        </w:rPr>
        <w:t>As informações que se encontram no presente documento não devem substituir a realização dos testes adequados às suas circunstâncias e usos específicos. O grupo Domino não será, de forma alguma, responsável por qualquer tipo de confiança com base neste documento em relação à adequação de qualquer uma das nossas tintas para a sua aplicação em particular. O presente documento não faz parte de quaisquer termos e condições celebrados entre si o grupo Domino. Os Termos e Condições de venda da Domino, em particular as garantias e responsabilidades presentes nos mesmos, dever-se-ão aplicar a qualquer uma das suas compras de produtos.</w:t>
      </w:r>
      <w:r w:rsidR="006C6C7C" w:rsidRPr="0082657D">
        <w:rPr>
          <w:rFonts w:ascii="Noto Sans" w:hAnsi="Noto Sans" w:cs="Noto Sans"/>
          <w:szCs w:val="18"/>
          <w:lang w:val="pt-PT"/>
        </w:rPr>
        <w:br/>
      </w:r>
      <w:r w:rsidR="006C6C7C" w:rsidRPr="0082657D">
        <w:rPr>
          <w:rFonts w:ascii="Noto Sans" w:hAnsi="Noto Sans" w:cs="Noto Sans"/>
          <w:szCs w:val="18"/>
          <w:lang w:val="pt-PT"/>
        </w:rPr>
        <w:br/>
      </w:r>
      <w:r w:rsidR="006C6C7C" w:rsidRPr="00AB22C5">
        <w:rPr>
          <w:rFonts w:ascii="Noto Sans" w:hAnsi="Noto Sans" w:cs="Noto Sans"/>
          <w:b/>
          <w:bCs/>
          <w:szCs w:val="18"/>
          <w:lang w:val="pt-PT"/>
        </w:rPr>
        <w:t>Geral</w:t>
      </w:r>
      <w:r w:rsidR="006C6C7C" w:rsidRPr="0082657D">
        <w:rPr>
          <w:rFonts w:ascii="Noto Sans" w:hAnsi="Noto Sans" w:cs="Noto Sans"/>
          <w:szCs w:val="18"/>
          <w:lang w:val="pt-PT"/>
        </w:rPr>
        <w:br/>
      </w:r>
      <w:r w:rsidR="006C6C7C" w:rsidRPr="00FC465F">
        <w:rPr>
          <w:rFonts w:ascii="Noto Sans" w:hAnsi="Noto Sans" w:cs="Noto Sans"/>
          <w:szCs w:val="18"/>
          <w:lang w:val="pt-BR"/>
        </w:rPr>
        <w:t xml:space="preserve">Todos os valores em termos de desempenho e alegações citados no presente documento foram obtidos </w:t>
      </w:r>
      <w:r w:rsidR="006C6C7C" w:rsidRPr="00FC465F">
        <w:rPr>
          <w:rFonts w:ascii="Noto Sans" w:hAnsi="Noto Sans" w:cs="Noto Sans"/>
          <w:szCs w:val="18"/>
          <w:lang w:val="pt-BR"/>
        </w:rPr>
        <w:lastRenderedPageBreak/>
        <w:t>sob condições específicas e apenas poderão ser repetidos sob condições semelhantes. Para obter detalhes específicos do produto, deve entrar em contacto com o seu Consultor Comercial da Domino. O presente documento não faz parte de quaisquer termos e condições celebrados entre si e a Domino.</w:t>
      </w:r>
      <w:r w:rsidR="00062E86" w:rsidRPr="00062E86">
        <w:rPr>
          <w:rFonts w:ascii="Noto Sans" w:hAnsi="Noto Sans" w:cs="Noto Sans"/>
          <w:szCs w:val="18"/>
          <w:lang w:val="pt-PT"/>
        </w:rPr>
        <w:t xml:space="preserve"> </w:t>
      </w:r>
      <w:r w:rsidR="00062E86" w:rsidRPr="0082657D">
        <w:rPr>
          <w:rFonts w:ascii="Noto Sans" w:hAnsi="Noto Sans" w:cs="Noto Sans"/>
          <w:szCs w:val="18"/>
          <w:lang w:val="pt-PT"/>
        </w:rPr>
        <w:br/>
      </w:r>
      <w:r w:rsidR="006C6C7C" w:rsidRPr="0082657D">
        <w:rPr>
          <w:rFonts w:ascii="Noto Sans" w:hAnsi="Noto Sans" w:cs="Noto Sans"/>
          <w:szCs w:val="18"/>
          <w:lang w:val="pt-PT"/>
        </w:rPr>
        <w:br/>
      </w:r>
      <w:r w:rsidR="006C6C7C" w:rsidRPr="00AB22C5">
        <w:rPr>
          <w:rFonts w:ascii="Noto Sans" w:hAnsi="Noto Sans" w:cs="Noto Sans"/>
          <w:b/>
          <w:bCs/>
          <w:szCs w:val="18"/>
          <w:lang w:val="pt-PT"/>
        </w:rPr>
        <w:t>Imagens</w:t>
      </w:r>
      <w:r w:rsidR="006C6C7C" w:rsidRPr="0082657D">
        <w:rPr>
          <w:rFonts w:ascii="Noto Sans" w:hAnsi="Noto Sans" w:cs="Noto Sans"/>
          <w:szCs w:val="18"/>
          <w:lang w:val="pt-PT"/>
        </w:rPr>
        <w:br/>
      </w:r>
      <w:r w:rsidR="006C6C7C" w:rsidRPr="00FC465F">
        <w:rPr>
          <w:rFonts w:ascii="Noto Sans" w:hAnsi="Noto Sans" w:cs="Noto Sans"/>
          <w:szCs w:val="18"/>
          <w:lang w:val="pt-BR"/>
        </w:rPr>
        <w:t>As imagens podem incluir melhorias ou extras opcionais. A qualidade de impressão pode variar de acordo com os consumíveis, o equipamento, a superfície e outros fatores. As imagens e fotografias não fazem parte de quaisquer termos e condições celebrados entre si e a</w:t>
      </w:r>
      <w:r w:rsidR="006C6C7C">
        <w:rPr>
          <w:rFonts w:ascii="Noto Sans" w:hAnsi="Noto Sans" w:cs="Noto Sans"/>
          <w:szCs w:val="18"/>
          <w:lang w:val="pt-BR"/>
        </w:rPr>
        <w:t xml:space="preserve"> </w:t>
      </w:r>
      <w:r w:rsidR="006C6C7C" w:rsidRPr="00FC465F">
        <w:rPr>
          <w:rFonts w:ascii="Noto Sans" w:hAnsi="Noto Sans" w:cs="Noto Sans"/>
          <w:szCs w:val="18"/>
          <w:lang w:val="pt-BR"/>
        </w:rPr>
        <w:t>Domino.</w:t>
      </w:r>
      <w:r w:rsidR="006C6C7C" w:rsidRPr="0082657D">
        <w:rPr>
          <w:rFonts w:ascii="Noto Sans" w:hAnsi="Noto Sans" w:cs="Noto Sans"/>
          <w:szCs w:val="18"/>
          <w:lang w:val="pt-PT"/>
        </w:rPr>
        <w:br/>
      </w:r>
      <w:r w:rsidR="006C6C7C" w:rsidRPr="0082657D">
        <w:rPr>
          <w:rFonts w:ascii="Noto Sans" w:hAnsi="Noto Sans" w:cs="Noto Sans"/>
          <w:szCs w:val="18"/>
          <w:lang w:val="pt-PT"/>
        </w:rPr>
        <w:br/>
      </w:r>
      <w:r w:rsidR="006C6C7C" w:rsidRPr="00AB22C5">
        <w:rPr>
          <w:rFonts w:ascii="Noto Sans" w:hAnsi="Noto Sans" w:cs="Noto Sans"/>
          <w:b/>
          <w:bCs/>
          <w:szCs w:val="18"/>
          <w:lang w:val="pt-PT"/>
        </w:rPr>
        <w:t>Vídeos</w:t>
      </w:r>
      <w:r w:rsidR="006C6C7C" w:rsidRPr="0082657D">
        <w:rPr>
          <w:rFonts w:ascii="Noto Sans" w:hAnsi="Noto Sans" w:cs="Noto Sans"/>
          <w:szCs w:val="18"/>
          <w:lang w:val="pt-PT"/>
        </w:rPr>
        <w:br/>
      </w:r>
      <w:r w:rsidR="006C6C7C" w:rsidRPr="00FC465F">
        <w:rPr>
          <w:rFonts w:ascii="Noto Sans" w:hAnsi="Noto Sans" w:cs="Noto Sans"/>
          <w:szCs w:val="18"/>
          <w:lang w:val="pt-BR"/>
        </w:rPr>
        <w:t>Este vídeo é apenas ilustrativo e pode incluir extras opcionais. Os valores relativos ao desempenho foram obtidos sob condições específicas; o desempenho individual pode variar. Os erros e as paragens das linhas de produção podem ser inevitáveis. Nada do que se encontra neste vídeo faz parte de qualquer contrato celebrado entre si e a Domino.</w:t>
      </w:r>
      <w:r w:rsidR="006C6C7C" w:rsidRPr="0082657D">
        <w:rPr>
          <w:rFonts w:ascii="Noto Sans" w:hAnsi="Noto Sans" w:cs="Noto Sans"/>
          <w:szCs w:val="18"/>
          <w:lang w:val="pt-PT"/>
        </w:rPr>
        <w:br/>
      </w:r>
      <w:r w:rsidR="006C6C7C" w:rsidRPr="0082657D">
        <w:rPr>
          <w:rFonts w:ascii="Noto Sans" w:eastAsia="Gill Sans" w:hAnsi="Noto Sans" w:cs="Noto Sans"/>
          <w:szCs w:val="18"/>
          <w:lang w:val="pt-PT"/>
        </w:rPr>
        <w:br/>
      </w:r>
      <w:bookmarkStart w:id="0" w:name="_Hlk61949672"/>
      <w:r w:rsidR="006C6C7C" w:rsidRPr="0082657D">
        <w:rPr>
          <w:rFonts w:ascii="Noto Sans" w:eastAsia="Gill Sans" w:hAnsi="Noto Sans" w:cs="Noto Sans"/>
          <w:b/>
          <w:szCs w:val="18"/>
          <w:lang w:val="pt-PT"/>
        </w:rPr>
        <w:br/>
      </w:r>
      <w:r w:rsidR="006C6C7C" w:rsidRPr="00AB22C5">
        <w:rPr>
          <w:rFonts w:ascii="Noto Sans" w:eastAsia="Gill Sans" w:hAnsi="Noto Sans" w:cs="Noto Sans"/>
          <w:b/>
          <w:bCs/>
          <w:szCs w:val="18"/>
          <w:lang w:val="pt-PT"/>
        </w:rPr>
        <w:t>Notas para os editores:</w:t>
      </w:r>
      <w:r w:rsidR="006C6C7C" w:rsidRPr="0082657D">
        <w:rPr>
          <w:rFonts w:ascii="Noto Sans" w:eastAsia="Gill Sans" w:hAnsi="Noto Sans" w:cs="Noto Sans"/>
          <w:b/>
          <w:szCs w:val="18"/>
          <w:lang w:val="pt-PT"/>
        </w:rPr>
        <w:br/>
      </w:r>
      <w:r w:rsidR="006C6C7C" w:rsidRPr="0082657D">
        <w:rPr>
          <w:rFonts w:ascii="Noto Sans" w:eastAsia="Gill Sans" w:hAnsi="Noto Sans" w:cs="Noto Sans"/>
          <w:szCs w:val="18"/>
          <w:lang w:val="pt-PT"/>
        </w:rPr>
        <w:br/>
      </w:r>
      <w:r w:rsidR="006C6C7C" w:rsidRPr="00AB22C5">
        <w:rPr>
          <w:rFonts w:ascii="Noto Sans" w:eastAsia="Gill Sans" w:hAnsi="Noto Sans" w:cs="Noto Sans"/>
          <w:b/>
          <w:bCs/>
          <w:szCs w:val="18"/>
          <w:lang w:val="pt-PT"/>
        </w:rPr>
        <w:t>Acerca da Domino</w:t>
      </w:r>
      <w:r w:rsidR="006C6C7C" w:rsidRPr="0082657D">
        <w:rPr>
          <w:rFonts w:ascii="Noto Sans" w:eastAsia="Gill Sans" w:hAnsi="Noto Sans" w:cs="Noto Sans"/>
          <w:b/>
          <w:szCs w:val="18"/>
          <w:lang w:val="pt-PT"/>
        </w:rPr>
        <w:br/>
      </w:r>
      <w:r w:rsidR="006C6C7C" w:rsidRPr="0082657D">
        <w:rPr>
          <w:rFonts w:ascii="Noto Sans" w:eastAsia="Gill Sans" w:hAnsi="Noto Sans" w:cs="Noto Sans"/>
          <w:szCs w:val="18"/>
          <w:lang w:val="pt-PT"/>
        </w:rPr>
        <w:br/>
      </w:r>
      <w:r w:rsidR="006C6C7C" w:rsidRPr="00AB22C5">
        <w:rPr>
          <w:rFonts w:ascii="Noto Sans" w:eastAsia="Gill Sans" w:hAnsi="Noto Sans" w:cs="Noto Sans"/>
          <w:szCs w:val="18"/>
          <w:lang w:val="pt-PT"/>
        </w:rPr>
        <w:t>A Digital Printing Solutions é uma divisão da Domino Printing Sciences. Fundada em 1978, a empresa estabeleceu uma reputação global relativamente ao desenvolvimento e fabrico de tecnologias de impressão a jato de tinta digital, assim como aos seus produtos de pós-venda e ao atendimento ao cliente a nível mundial.  Os seus serviços para o setor de impressão comercial incluem impressoras digitais a jato de tinta e sistemas de controlo desenvolvidos para proporcionar soluções para uma gama completa de aplicações de impressão de dados variáveis e etiquetagem.</w:t>
      </w:r>
      <w:r w:rsidR="006C6C7C">
        <w:rPr>
          <w:rFonts w:ascii="Noto Sans" w:eastAsia="Gill Sans" w:hAnsi="Noto Sans" w:cs="Noto Sans"/>
          <w:szCs w:val="18"/>
          <w:lang w:val="pt-PT"/>
        </w:rPr>
        <w:br/>
      </w:r>
      <w:r w:rsidR="006C6C7C">
        <w:rPr>
          <w:rFonts w:ascii="Noto Sans" w:eastAsia="Gill Sans" w:hAnsi="Noto Sans" w:cs="Noto Sans"/>
          <w:szCs w:val="18"/>
          <w:lang w:val="pt-PT"/>
        </w:rPr>
        <w:br/>
      </w:r>
      <w:r w:rsidR="006C6C7C" w:rsidRPr="00AB22C5">
        <w:rPr>
          <w:rFonts w:ascii="Noto Sans" w:eastAsia="Gill Sans" w:hAnsi="Noto Sans" w:cs="Noto Sans"/>
          <w:szCs w:val="18"/>
          <w:lang w:val="pt-PT"/>
        </w:rPr>
        <w:t>Todas as impressoras da Domino são desenvolvidas para satisfazerem as exigências de alta velocidade e elevada qualidade em ambientes de impressão comercial, apresentando novas capacidades a diferentes setores, incluindo os da etiquetagem, publicações e impressão de segurança, transacional, conversão de embalagens, cartões plastificados, bilhetes, jogos de cartas e formulários, bem como os setores de publicidade endereçada e serviços postais.</w:t>
      </w:r>
      <w:r w:rsidR="006C6C7C">
        <w:rPr>
          <w:rFonts w:ascii="Noto Sans" w:eastAsia="Gill Sans" w:hAnsi="Noto Sans" w:cs="Noto Sans"/>
          <w:szCs w:val="18"/>
          <w:lang w:val="pt-PT"/>
        </w:rPr>
        <w:br/>
      </w:r>
      <w:r w:rsidR="006C6C7C" w:rsidRPr="0082657D">
        <w:rPr>
          <w:rFonts w:ascii="Noto Sans" w:eastAsia="Gill Sans" w:hAnsi="Noto Sans" w:cs="Noto Sans"/>
          <w:szCs w:val="18"/>
          <w:lang w:val="pt-PT"/>
        </w:rPr>
        <w:br/>
      </w:r>
      <w:r w:rsidR="006C6C7C" w:rsidRPr="00FC465F">
        <w:rPr>
          <w:rFonts w:ascii="Noto Sans" w:eastAsia="Gill Sans" w:hAnsi="Noto Sans" w:cs="Noto Sans"/>
          <w:szCs w:val="18"/>
          <w:lang w:val="pt-BR"/>
        </w:rPr>
        <w:t>A Domino emprega mais de 3000 pessoas em todo mundo e comercializa para mais de 120 países através de uma rede global de 29 filiais e mais de 200 distribuidores. As instalações de fabrico da Domino estão localizadas na Alemanha, China, EUA, Índia, Reino Unido, Suécia e Suíça. A Domino tornou-se uma divisão independente da Brother Industries Ltd. a 11 de junho de 2015.</w:t>
      </w:r>
      <w:r w:rsidR="006C6C7C" w:rsidRPr="0082657D">
        <w:rPr>
          <w:rFonts w:ascii="Noto Sans" w:eastAsia="Gill Sans" w:hAnsi="Noto Sans" w:cs="Noto Sans"/>
          <w:sz w:val="20"/>
          <w:szCs w:val="20"/>
          <w:lang w:val="pt-PT"/>
        </w:rPr>
        <w:br/>
      </w:r>
      <w:r w:rsidR="006C6C7C" w:rsidRPr="0082657D">
        <w:rPr>
          <w:rFonts w:ascii="Noto Sans" w:eastAsia="Gill Sans" w:hAnsi="Noto Sans" w:cs="Noto Sans"/>
          <w:sz w:val="20"/>
          <w:szCs w:val="20"/>
          <w:lang w:val="pt-PT"/>
        </w:rPr>
        <w:br/>
      </w:r>
      <w:r w:rsidR="006C6C7C" w:rsidRPr="00AB22C5">
        <w:rPr>
          <w:rFonts w:ascii="Noto Sans" w:eastAsia="Gill Sans" w:hAnsi="Noto Sans" w:cs="Noto Sans"/>
          <w:szCs w:val="18"/>
          <w:lang w:val="pt-PT"/>
        </w:rPr>
        <w:t xml:space="preserve">Para obter mais informações sobre a Domino, visite </w:t>
      </w:r>
      <w:hyperlink r:id="rId12" w:history="1">
        <w:r w:rsidR="006C6C7C" w:rsidRPr="00AB22C5">
          <w:rPr>
            <w:rStyle w:val="Hyperlink"/>
            <w:rFonts w:ascii="Noto Sans" w:eastAsia="Gill Sans" w:hAnsi="Noto Sans" w:cs="Noto Sans"/>
            <w:szCs w:val="18"/>
            <w:lang w:val="pt-PT"/>
          </w:rPr>
          <w:t>www.domino-printing.pt</w:t>
        </w:r>
      </w:hyperlink>
      <w:r w:rsidR="006C6C7C" w:rsidRPr="00AB22C5">
        <w:rPr>
          <w:rFonts w:ascii="Noto Sans" w:eastAsia="Gill Sans" w:hAnsi="Noto Sans" w:cs="Noto Sans"/>
          <w:szCs w:val="18"/>
          <w:lang w:val="pt-PT"/>
        </w:rPr>
        <w:t xml:space="preserve"> </w:t>
      </w:r>
      <w:r w:rsidR="006C6C7C" w:rsidRPr="0082657D">
        <w:rPr>
          <w:rFonts w:ascii="Noto Sans" w:eastAsia="Gill Sans" w:hAnsi="Noto Sans" w:cs="Noto Sans"/>
          <w:szCs w:val="18"/>
          <w:lang w:val="pt-PT"/>
        </w:rPr>
        <w:br/>
      </w:r>
      <w:r w:rsidR="006C6C7C" w:rsidRPr="0082657D">
        <w:rPr>
          <w:rFonts w:ascii="Noto Sans" w:eastAsia="Gill Sans" w:hAnsi="Noto Sans" w:cs="Noto Sans"/>
          <w:szCs w:val="18"/>
          <w:lang w:val="pt-PT"/>
        </w:rPr>
        <w:br/>
      </w:r>
      <w:r w:rsidR="006C6C7C" w:rsidRPr="00AB22C5">
        <w:rPr>
          <w:rFonts w:ascii="Noto Sans" w:eastAsia="Gill Sans" w:hAnsi="Noto Sans" w:cs="Noto Sans"/>
          <w:b/>
          <w:bCs/>
          <w:szCs w:val="18"/>
          <w:lang w:val="pt-PT"/>
        </w:rPr>
        <w:t>Para obter mais informações, contacte:</w:t>
      </w:r>
      <w:r w:rsidR="006C6C7C">
        <w:rPr>
          <w:rFonts w:ascii="Noto Sans" w:eastAsia="Gill Sans" w:hAnsi="Noto Sans" w:cs="Noto Sans"/>
          <w:b/>
          <w:bCs/>
          <w:szCs w:val="18"/>
          <w:lang w:val="pt-PT"/>
        </w:rPr>
        <w:br/>
      </w:r>
      <w:r w:rsidR="006C6C7C">
        <w:rPr>
          <w:rFonts w:ascii="Noto Sans" w:eastAsia="Gill Sans" w:hAnsi="Noto Sans" w:cs="Noto Sans"/>
          <w:b/>
          <w:bCs/>
          <w:szCs w:val="18"/>
          <w:lang w:val="pt-PT"/>
        </w:rPr>
        <w:br/>
      </w:r>
      <w:bookmarkEnd w:id="0"/>
      <w:r w:rsidR="006C6C7C" w:rsidRPr="00FC465F">
        <w:rPr>
          <w:rFonts w:ascii="Noto Sans" w:hAnsi="Noto Sans" w:cs="Noto Sans"/>
          <w:szCs w:val="18"/>
          <w:lang w:val="pt-BR"/>
        </w:rPr>
        <w:t>Kathrin Farr</w:t>
      </w:r>
      <w:r w:rsidR="006C6C7C" w:rsidRPr="00FC465F">
        <w:rPr>
          <w:rFonts w:ascii="Noto Sans" w:hAnsi="Noto Sans" w:cs="Noto Sans"/>
          <w:szCs w:val="18"/>
          <w:lang w:val="pt-BR"/>
        </w:rPr>
        <w:br/>
        <w:t>Content Executive (Digital Printing)</w:t>
      </w:r>
      <w:r w:rsidR="006C6C7C" w:rsidRPr="00FC465F">
        <w:rPr>
          <w:rFonts w:ascii="Noto Sans" w:hAnsi="Noto Sans" w:cs="Noto Sans"/>
          <w:szCs w:val="18"/>
          <w:lang w:val="pt-BR"/>
        </w:rPr>
        <w:br/>
        <w:t xml:space="preserve">Domino Printing Sciences </w:t>
      </w:r>
      <w:r w:rsidR="006C6C7C" w:rsidRPr="00FC465F">
        <w:rPr>
          <w:rFonts w:ascii="Noto Sans" w:hAnsi="Noto Sans" w:cs="Noto Sans"/>
          <w:szCs w:val="18"/>
          <w:lang w:val="pt-BR"/>
        </w:rPr>
        <w:br/>
        <w:t xml:space="preserve">Tel. : +44 (0) </w:t>
      </w:r>
      <w:hyperlink r:id="rId13" w:history="1">
        <w:r w:rsidR="006C6C7C" w:rsidRPr="00FC465F">
          <w:rPr>
            <w:rFonts w:ascii="Noto Sans" w:hAnsi="Noto Sans" w:cs="Noto Sans"/>
            <w:szCs w:val="18"/>
            <w:lang w:val="pt-BR"/>
          </w:rPr>
          <w:t>1954 782 551</w:t>
        </w:r>
      </w:hyperlink>
      <w:r w:rsidR="006C6C7C" w:rsidRPr="00FC465F">
        <w:rPr>
          <w:rFonts w:ascii="Noto Sans" w:hAnsi="Noto Sans" w:cs="Noto Sans"/>
          <w:szCs w:val="18"/>
          <w:lang w:val="pt-BR"/>
        </w:rPr>
        <w:br/>
      </w:r>
      <w:hyperlink r:id="rId14" w:history="1">
        <w:r w:rsidR="006C6C7C" w:rsidRPr="00FC465F">
          <w:rPr>
            <w:rStyle w:val="Hyperlink"/>
            <w:rFonts w:ascii="Noto Sans" w:hAnsi="Noto Sans" w:cs="Noto Sans"/>
            <w:szCs w:val="18"/>
            <w:lang w:val="pt-BR"/>
          </w:rPr>
          <w:t>Kathrin.Farr@domino-uk.com</w:t>
        </w:r>
      </w:hyperlink>
      <w:r w:rsidR="006C6C7C" w:rsidRPr="00FC465F">
        <w:rPr>
          <w:rFonts w:ascii="Noto Sans" w:hAnsi="Noto Sans" w:cs="Noto Sans"/>
          <w:szCs w:val="18"/>
          <w:lang w:val="pt-BR"/>
        </w:rPr>
        <w:t xml:space="preserve"> </w:t>
      </w:r>
      <w:r w:rsidR="006C6C7C" w:rsidRPr="00FC465F">
        <w:rPr>
          <w:rFonts w:ascii="Noto Sans" w:hAnsi="Noto Sans" w:cs="Noto Sans"/>
          <w:szCs w:val="18"/>
          <w:lang w:val="pt-BR"/>
        </w:rPr>
        <w:br/>
      </w:r>
      <w:r w:rsidR="006C6C7C" w:rsidRPr="00FC465F">
        <w:rPr>
          <w:rFonts w:ascii="Noto Sans" w:hAnsi="Noto Sans" w:cs="Noto Sans"/>
          <w:szCs w:val="18"/>
          <w:lang w:val="pt-BR"/>
        </w:rPr>
        <w:br/>
      </w:r>
      <w:r w:rsidR="00175248" w:rsidRPr="00175248">
        <w:rPr>
          <w:rFonts w:ascii="Noto Sans" w:hAnsi="Noto Sans" w:cs="Noto Sans"/>
          <w:szCs w:val="18"/>
          <w:lang w:val="pt-BR"/>
        </w:rPr>
        <w:t xml:space="preserve">Jade Taylor-Salazar </w:t>
      </w:r>
      <w:r w:rsidR="00175248" w:rsidRPr="00175248">
        <w:rPr>
          <w:rFonts w:ascii="Noto Sans" w:hAnsi="Noto Sans" w:cs="Noto Sans"/>
          <w:szCs w:val="18"/>
          <w:lang w:val="pt-BR"/>
        </w:rPr>
        <w:br/>
        <w:t xml:space="preserve">PR and Content Manager </w:t>
      </w:r>
      <w:r w:rsidR="00175248" w:rsidRPr="00175248">
        <w:rPr>
          <w:rFonts w:ascii="Noto Sans" w:hAnsi="Noto Sans" w:cs="Noto Sans"/>
          <w:szCs w:val="18"/>
          <w:lang w:val="pt-BR"/>
        </w:rPr>
        <w:br/>
      </w:r>
      <w:r w:rsidR="00175248" w:rsidRPr="00175248">
        <w:rPr>
          <w:rFonts w:ascii="Noto Sans" w:hAnsi="Noto Sans" w:cs="Noto Sans"/>
          <w:szCs w:val="18"/>
          <w:lang w:val="pt-BR"/>
        </w:rPr>
        <w:lastRenderedPageBreak/>
        <w:t xml:space="preserve">Domino Printing Sciences </w:t>
      </w:r>
      <w:r w:rsidR="00175248" w:rsidRPr="00175248">
        <w:rPr>
          <w:rFonts w:ascii="Noto Sans" w:hAnsi="Noto Sans" w:cs="Noto Sans"/>
          <w:szCs w:val="18"/>
          <w:lang w:val="pt-BR"/>
        </w:rPr>
        <w:br/>
        <w:t>Tel</w:t>
      </w:r>
      <w:r w:rsidR="00175248">
        <w:rPr>
          <w:rFonts w:ascii="Noto Sans" w:hAnsi="Noto Sans" w:cs="Noto Sans"/>
          <w:szCs w:val="18"/>
          <w:lang w:val="pt-BR"/>
        </w:rPr>
        <w:t xml:space="preserve">. </w:t>
      </w:r>
      <w:r w:rsidR="00175248" w:rsidRPr="00175248">
        <w:rPr>
          <w:rFonts w:ascii="Noto Sans" w:hAnsi="Noto Sans" w:cs="Noto Sans"/>
          <w:szCs w:val="18"/>
          <w:lang w:val="pt-BR"/>
        </w:rPr>
        <w:t>: +44 (0) 1954 778780</w:t>
      </w:r>
      <w:r w:rsidR="00175248" w:rsidRPr="00175248">
        <w:rPr>
          <w:rFonts w:ascii="Noto Sans" w:hAnsi="Noto Sans" w:cs="Noto Sans"/>
          <w:szCs w:val="18"/>
          <w:lang w:val="pt-BR"/>
        </w:rPr>
        <w:br/>
      </w:r>
      <w:hyperlink r:id="rId15" w:history="1">
        <w:r w:rsidR="00175248" w:rsidRPr="00175248">
          <w:rPr>
            <w:rStyle w:val="Hyperlink"/>
            <w:rFonts w:ascii="Noto Sans" w:hAnsi="Noto Sans" w:cs="Noto Sans"/>
            <w:szCs w:val="18"/>
            <w:lang w:val="pt-BR"/>
          </w:rPr>
          <w:t>Jade.Taylor-Salazar@domino-uk.com</w:t>
        </w:r>
      </w:hyperlink>
    </w:p>
    <w:sectPr w:rsidR="006C6C7C" w:rsidRPr="00FC465F" w:rsidSect="000F6D0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EA796" w14:textId="77777777" w:rsidR="006C6C29" w:rsidRDefault="006C6C29" w:rsidP="00785717">
      <w:pPr>
        <w:spacing w:line="240" w:lineRule="auto"/>
      </w:pPr>
      <w:r>
        <w:separator/>
      </w:r>
    </w:p>
  </w:endnote>
  <w:endnote w:type="continuationSeparator" w:id="0">
    <w:p w14:paraId="5B4ACE00" w14:textId="77777777" w:rsidR="006C6C29" w:rsidRDefault="006C6C29"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Bahnschrift Light"/>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3CA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2678" w14:textId="77777777" w:rsidR="00785717" w:rsidRDefault="000F6D00" w:rsidP="00785717">
    <w:pPr>
      <w:pStyle w:val="Footer"/>
    </w:pPr>
    <w:r>
      <w:rPr>
        <w:noProof/>
      </w:rPr>
      <w:drawing>
        <wp:anchor distT="0" distB="0" distL="114300" distR="114300" simplePos="0" relativeHeight="251659264" behindDoc="0" locked="0" layoutInCell="1" allowOverlap="1" wp14:anchorId="157C21E0" wp14:editId="562C3EA1">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7A6B7F6D" wp14:editId="090469BE">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63D8"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21C66" w14:textId="77777777" w:rsidR="006C6C29" w:rsidRDefault="006C6C29" w:rsidP="00785717">
      <w:pPr>
        <w:spacing w:line="240" w:lineRule="auto"/>
      </w:pPr>
      <w:r>
        <w:separator/>
      </w:r>
    </w:p>
  </w:footnote>
  <w:footnote w:type="continuationSeparator" w:id="0">
    <w:p w14:paraId="42DB7D00" w14:textId="77777777" w:rsidR="006C6C29" w:rsidRDefault="006C6C29"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F32C"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BD58" w14:textId="77777777" w:rsidR="000F6D00" w:rsidRDefault="002766D9">
    <w:pPr>
      <w:pStyle w:val="Header"/>
    </w:pPr>
    <w:r>
      <w:rPr>
        <w:noProof/>
      </w:rPr>
      <w:drawing>
        <wp:anchor distT="0" distB="0" distL="114300" distR="114300" simplePos="0" relativeHeight="251661312" behindDoc="0" locked="0" layoutInCell="1" allowOverlap="1" wp14:anchorId="1A046442" wp14:editId="3586F545">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A8D0"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E86"/>
    <w:rsid w:val="00021935"/>
    <w:rsid w:val="0002201E"/>
    <w:rsid w:val="000220DA"/>
    <w:rsid w:val="00062E86"/>
    <w:rsid w:val="000F6D00"/>
    <w:rsid w:val="00175248"/>
    <w:rsid w:val="001D743C"/>
    <w:rsid w:val="002202E3"/>
    <w:rsid w:val="00240801"/>
    <w:rsid w:val="002766D9"/>
    <w:rsid w:val="00372E92"/>
    <w:rsid w:val="003C7663"/>
    <w:rsid w:val="004C6703"/>
    <w:rsid w:val="005272B1"/>
    <w:rsid w:val="005524DB"/>
    <w:rsid w:val="005741C7"/>
    <w:rsid w:val="00581FEB"/>
    <w:rsid w:val="005E6C45"/>
    <w:rsid w:val="00647055"/>
    <w:rsid w:val="00660F46"/>
    <w:rsid w:val="006C6C29"/>
    <w:rsid w:val="006C6C7C"/>
    <w:rsid w:val="00785717"/>
    <w:rsid w:val="00791A4F"/>
    <w:rsid w:val="007D2B85"/>
    <w:rsid w:val="008220B7"/>
    <w:rsid w:val="00823B77"/>
    <w:rsid w:val="00842E7E"/>
    <w:rsid w:val="008916A8"/>
    <w:rsid w:val="008B6461"/>
    <w:rsid w:val="008E5E0C"/>
    <w:rsid w:val="008F3E38"/>
    <w:rsid w:val="00931996"/>
    <w:rsid w:val="009A1716"/>
    <w:rsid w:val="009A1DEC"/>
    <w:rsid w:val="009A1DF5"/>
    <w:rsid w:val="009D6280"/>
    <w:rsid w:val="009E5D98"/>
    <w:rsid w:val="00A34918"/>
    <w:rsid w:val="00AB11DA"/>
    <w:rsid w:val="00B23C3C"/>
    <w:rsid w:val="00B546C5"/>
    <w:rsid w:val="00B7088D"/>
    <w:rsid w:val="00B86660"/>
    <w:rsid w:val="00BC7C15"/>
    <w:rsid w:val="00BD07B6"/>
    <w:rsid w:val="00BD09DF"/>
    <w:rsid w:val="00C03CCC"/>
    <w:rsid w:val="00C063FE"/>
    <w:rsid w:val="00C44603"/>
    <w:rsid w:val="00C541FE"/>
    <w:rsid w:val="00CF1AD5"/>
    <w:rsid w:val="00D66051"/>
    <w:rsid w:val="00E03029"/>
    <w:rsid w:val="00E84274"/>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A8D"/>
  <w15:chartTrackingRefBased/>
  <w15:docId w15:val="{70D93FF6-1974-4641-B944-8347D524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C7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f.co.uk/members/ram.aspx" TargetMode="External"/><Relationship Id="rId13" Type="http://schemas.openxmlformats.org/officeDocument/2006/relationships/hyperlink" Target="tel:+44%20(0)1954%20782%20551"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bsigroup.com/en-US/insights-and-media/insights/blogs/extended-producer-responsibility-epr-around-the-world/" TargetMode="External"/><Relationship Id="rId12" Type="http://schemas.openxmlformats.org/officeDocument/2006/relationships/hyperlink" Target="http://www.domino-printing.pt"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pt-pt/blog/2024/embalagens-interativas?utm_medium=non-paid&amp;utm_source=onlinepublication&amp;utm_content=pr-dp-EPR&amp;utm_campaign=2026-int-pt-Global-PR-DP-FY26-Q2" TargetMode="External"/><Relationship Id="rId11" Type="http://schemas.openxmlformats.org/officeDocument/2006/relationships/hyperlink" Target="https://www.domino-printing.com/en-gb/blog/2023/the-future-of-traceability-get-ready-for-the-digital-product-passport?utm_medium=non-paid&amp;utm_source=onlinepublication&amp;utm_content=pr-dp-EPR&amp;utm_campaign=2026-int-en-Global-PR-DP-FY26-Q2" TargetMode="External"/><Relationship Id="rId5" Type="http://schemas.openxmlformats.org/officeDocument/2006/relationships/endnotes" Target="endnotes.xml"/><Relationship Id="rId15" Type="http://schemas.openxmlformats.org/officeDocument/2006/relationships/hyperlink" Target="mailto:Jade.Taylor-Salazar@domino-uk.com" TargetMode="External"/><Relationship Id="rId23" Type="http://schemas.openxmlformats.org/officeDocument/2006/relationships/theme" Target="theme/theme1.xml"/><Relationship Id="rId10" Type="http://schemas.openxmlformats.org/officeDocument/2006/relationships/hyperlink" Target="https://www.domino-printing.com/pt-pt/blog/2026/ppwr-and-printing-inks"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plasticcollective.co/design-for-recyclability-2026-new-material-label-additive-restrictions/" TargetMode="External"/><Relationship Id="rId14" Type="http://schemas.openxmlformats.org/officeDocument/2006/relationships/hyperlink" Target="mailto:Kathrin.Farr@domino-uk.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2</cp:revision>
  <dcterms:created xsi:type="dcterms:W3CDTF">2026-09-03T14:26:00Z</dcterms:created>
  <dcterms:modified xsi:type="dcterms:W3CDTF">2026-09-03T14:26:00Z</dcterms:modified>
</cp:coreProperties>
</file>