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866A" w14:textId="30C3A81E" w:rsidR="00B437CA" w:rsidRPr="00B437CA" w:rsidRDefault="00B437CA" w:rsidP="00B437CA">
      <w:pPr>
        <w:spacing w:before="120" w:after="120" w:line="240" w:lineRule="auto"/>
        <w:rPr>
          <w:rFonts w:ascii="Noto Sans" w:eastAsia="Times New Roman" w:hAnsi="Noto Sans" w:cs="Noto Sans"/>
          <w:sz w:val="22"/>
        </w:rPr>
      </w:pPr>
      <w:bookmarkStart w:id="0" w:name="_Hlk46133219"/>
      <w:r w:rsidRPr="00B437CA">
        <w:rPr>
          <w:rFonts w:ascii="Noto Sans" w:eastAsia="Times New Roman" w:hAnsi="Noto Sans" w:cs="Noto Sans"/>
          <w:b/>
          <w:bCs/>
          <w:sz w:val="28"/>
          <w:szCs w:val="28"/>
          <w:lang w:val="de"/>
        </w:rPr>
        <w:t>Verpackungs-EPR: Vom Verpackungslieferanten zum strategischen Partner für Markenunternehmen</w:t>
      </w:r>
      <w:r w:rsidR="00F009E1">
        <w:rPr>
          <w:rFonts w:ascii="Noto Sans" w:eastAsia="Times New Roman" w:hAnsi="Noto Sans" w:cs="Noto Sans"/>
          <w:b/>
          <w:bCs/>
          <w:sz w:val="28"/>
          <w:szCs w:val="28"/>
          <w:lang w:val="de-DE"/>
        </w:rPr>
        <w:br/>
      </w:r>
      <w:r w:rsidR="00F009E1">
        <w:rPr>
          <w:rFonts w:ascii="Noto Sans" w:eastAsia="Times New Roman" w:hAnsi="Noto Sans" w:cs="Noto Sans"/>
          <w:b/>
          <w:bCs/>
          <w:sz w:val="28"/>
          <w:szCs w:val="28"/>
          <w:lang w:val="de-DE"/>
        </w:rPr>
        <w:br/>
      </w:r>
      <w:r w:rsidRPr="00B437CA">
        <w:rPr>
          <w:rFonts w:ascii="Noto Sans" w:eastAsia="Times New Roman" w:hAnsi="Noto Sans" w:cs="Noto Sans"/>
          <w:i/>
          <w:iCs/>
          <w:sz w:val="22"/>
          <w:lang w:val="de"/>
        </w:rPr>
        <w:t xml:space="preserve">Globale Nachhaltigkeitsvorschriften zur Nachhaltigkeit verändern die Verpackungsstrategien von Markenunternehmen. </w:t>
      </w:r>
      <w:hyperlink r:id="rId6" w:history="1">
        <w:r w:rsidRPr="00B437CA">
          <w:rPr>
            <w:rFonts w:ascii="Noto Sans" w:eastAsia="Times New Roman" w:hAnsi="Noto Sans" w:cs="Noto Sans"/>
            <w:i/>
            <w:iCs/>
            <w:color w:val="0000EE"/>
            <w:sz w:val="22"/>
            <w:u w:val="single"/>
            <w:lang w:val="de"/>
          </w:rPr>
          <w:t>Verpackungen haben sich deutlich weiterentwickelt</w:t>
        </w:r>
      </w:hyperlink>
      <w:r w:rsidRPr="00B437CA">
        <w:rPr>
          <w:rFonts w:ascii="Noto Sans" w:eastAsia="Times New Roman" w:hAnsi="Noto Sans" w:cs="Noto Sans"/>
          <w:i/>
          <w:iCs/>
          <w:sz w:val="22"/>
          <w:lang w:val="de"/>
        </w:rPr>
        <w:t> – vom einfachen Produktschutz hin zu einem vielseitigen Instrument, das nicht nur den Schutz des Produkts und die Einhaltung gesetzlicher Vorschriften gewährleistet, sondern auch der Markenkommunikation und der Kundenbindung dient.</w:t>
      </w:r>
      <w:r w:rsidR="00F009E1">
        <w:rPr>
          <w:rFonts w:ascii="Noto Sans" w:eastAsia="Times New Roman" w:hAnsi="Noto Sans" w:cs="Noto Sans"/>
          <w:i/>
          <w:iCs/>
          <w:sz w:val="22"/>
          <w:lang w:val="de-DE"/>
        </w:rPr>
        <w:br/>
      </w:r>
      <w:r w:rsidR="00F009E1">
        <w:rPr>
          <w:rFonts w:ascii="Noto Sans" w:eastAsia="Times New Roman" w:hAnsi="Noto Sans" w:cs="Noto Sans"/>
          <w:i/>
          <w:iCs/>
          <w:sz w:val="22"/>
          <w:lang w:val="de-DE"/>
        </w:rPr>
        <w:br/>
      </w:r>
      <w:r w:rsidRPr="00B437CA">
        <w:rPr>
          <w:rFonts w:ascii="Noto Sans" w:eastAsia="Times New Roman" w:hAnsi="Noto Sans" w:cs="Noto Sans"/>
          <w:i/>
          <w:iCs/>
          <w:sz w:val="22"/>
          <w:lang w:val="de"/>
        </w:rPr>
        <w:t>Mit der Einführung der EU-Verordnung über Verpackungen und Verpackungsabfälle (PPWR) und lokaler Systeme der erweiterten Herstellerverantwortung für Verpackungen (EPR) für die Verpackung sind die Wiederverwendbarkeit und Recyclingfähigkeit von Verpackungen für Markeninhaber verstärkt in den Mittelpunkt gerückt.</w:t>
      </w:r>
      <w:r w:rsidR="00F009E1">
        <w:rPr>
          <w:rFonts w:ascii="Noto Sans" w:eastAsia="Times New Roman" w:hAnsi="Noto Sans" w:cs="Noto Sans"/>
          <w:i/>
          <w:iCs/>
          <w:sz w:val="22"/>
          <w:lang w:val="de-DE"/>
        </w:rPr>
        <w:br/>
      </w:r>
      <w:r w:rsidR="00F009E1">
        <w:rPr>
          <w:rFonts w:ascii="Noto Sans" w:eastAsia="Times New Roman" w:hAnsi="Noto Sans" w:cs="Noto Sans"/>
          <w:i/>
          <w:iCs/>
          <w:sz w:val="22"/>
          <w:lang w:val="de-DE"/>
        </w:rPr>
        <w:br/>
      </w:r>
      <w:r w:rsidR="00F009E1" w:rsidRPr="00F009E1">
        <w:rPr>
          <w:rFonts w:ascii="Noto Sans" w:eastAsia="Times New Roman" w:hAnsi="Noto Sans" w:cs="Noto Sans"/>
          <w:i/>
          <w:iCs/>
          <w:sz w:val="22"/>
          <w:lang w:val="de-DE"/>
        </w:rPr>
        <w:t xml:space="preserve">Mike Barry, Commercial </w:t>
      </w:r>
      <w:proofErr w:type="spellStart"/>
      <w:r w:rsidR="00F009E1" w:rsidRPr="00F009E1">
        <w:rPr>
          <w:rFonts w:ascii="Noto Sans" w:eastAsia="Times New Roman" w:hAnsi="Noto Sans" w:cs="Noto Sans"/>
          <w:i/>
          <w:iCs/>
          <w:sz w:val="22"/>
          <w:lang w:val="de-DE"/>
        </w:rPr>
        <w:t>Director</w:t>
      </w:r>
      <w:proofErr w:type="spellEnd"/>
      <w:r w:rsidR="00F009E1" w:rsidRPr="00F009E1">
        <w:rPr>
          <w:rFonts w:ascii="Noto Sans" w:eastAsia="Times New Roman" w:hAnsi="Noto Sans" w:cs="Noto Sans"/>
          <w:i/>
          <w:iCs/>
          <w:sz w:val="22"/>
          <w:lang w:val="de-DE"/>
        </w:rPr>
        <w:t>, Digital Printing,</w:t>
      </w:r>
      <w:r w:rsidR="00F009E1">
        <w:rPr>
          <w:rFonts w:ascii="Noto Sans" w:eastAsia="Times New Roman" w:hAnsi="Noto Sans" w:cs="Noto Sans"/>
          <w:i/>
          <w:iCs/>
          <w:sz w:val="22"/>
          <w:lang w:val="de-DE"/>
        </w:rPr>
        <w:t xml:space="preserve"> </w:t>
      </w:r>
      <w:r w:rsidRPr="00B437CA">
        <w:rPr>
          <w:rFonts w:ascii="Noto Sans" w:eastAsia="Times New Roman" w:hAnsi="Noto Sans" w:cs="Noto Sans"/>
          <w:i/>
          <w:iCs/>
          <w:sz w:val="22"/>
          <w:lang w:val="de"/>
        </w:rPr>
        <w:t xml:space="preserve">bei Domino, erläutert, wie Etiketten- und Verpackungsverarbeiter Markenunternehmen bei ihren Initiativen für recyclinggerechtes Design („Design for </w:t>
      </w:r>
      <w:proofErr w:type="spellStart"/>
      <w:r w:rsidRPr="00B437CA">
        <w:rPr>
          <w:rFonts w:ascii="Noto Sans" w:eastAsia="Times New Roman" w:hAnsi="Noto Sans" w:cs="Noto Sans"/>
          <w:i/>
          <w:iCs/>
          <w:sz w:val="22"/>
          <w:lang w:val="de"/>
        </w:rPr>
        <w:t>Recyclability</w:t>
      </w:r>
      <w:proofErr w:type="spellEnd"/>
      <w:r w:rsidRPr="00B437CA">
        <w:rPr>
          <w:rFonts w:ascii="Noto Sans" w:eastAsia="Times New Roman" w:hAnsi="Noto Sans" w:cs="Noto Sans"/>
          <w:i/>
          <w:iCs/>
          <w:sz w:val="22"/>
          <w:lang w:val="de"/>
        </w:rPr>
        <w:t>“) und bei der Einhaltung der EPR-Vorgaben für Verpackungen unterstützen können.</w:t>
      </w:r>
      <w:r w:rsidR="00F009E1">
        <w:rPr>
          <w:rFonts w:ascii="Noto Sans" w:eastAsia="Times New Roman" w:hAnsi="Noto Sans" w:cs="Noto Sans"/>
          <w:i/>
          <w:iCs/>
          <w:sz w:val="22"/>
          <w:lang w:val="de-DE"/>
        </w:rPr>
        <w:br/>
      </w:r>
      <w:r w:rsidR="00F009E1">
        <w:rPr>
          <w:rFonts w:ascii="Noto Sans" w:eastAsia="Times New Roman" w:hAnsi="Noto Sans" w:cs="Noto Sans"/>
          <w:i/>
          <w:iCs/>
          <w:sz w:val="22"/>
          <w:lang w:val="de-DE"/>
        </w:rPr>
        <w:br/>
      </w:r>
      <w:r w:rsidRPr="00B437CA">
        <w:rPr>
          <w:rFonts w:ascii="Noto Sans" w:eastAsia="Times New Roman" w:hAnsi="Noto Sans" w:cs="Noto Sans"/>
          <w:b/>
          <w:bCs/>
          <w:sz w:val="22"/>
          <w:lang w:val="de"/>
        </w:rPr>
        <w:t>Recycling hat Priorität</w:t>
      </w:r>
      <w:r w:rsidRPr="00B437CA">
        <w:rPr>
          <w:rFonts w:ascii="Noto Sans" w:eastAsia="Times New Roman" w:hAnsi="Noto Sans" w:cs="Noto Sans"/>
          <w:sz w:val="22"/>
          <w:lang w:val="de"/>
        </w:rPr>
        <w:t xml:space="preserve">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Inzwischen verfügen über </w:t>
      </w:r>
      <w:hyperlink r:id="rId7" w:history="1">
        <w:r w:rsidRPr="00B437CA">
          <w:rPr>
            <w:rFonts w:ascii="Noto Sans" w:eastAsia="Times New Roman" w:hAnsi="Noto Sans" w:cs="Noto Sans"/>
            <w:color w:val="0000EE"/>
            <w:sz w:val="22"/>
            <w:u w:val="single"/>
            <w:lang w:val="de"/>
          </w:rPr>
          <w:t>70 Länder weltweit</w:t>
        </w:r>
      </w:hyperlink>
      <w:r w:rsidRPr="00B437CA">
        <w:rPr>
          <w:rFonts w:ascii="Noto Sans" w:eastAsia="Times New Roman" w:hAnsi="Noto Sans" w:cs="Noto Sans"/>
          <w:sz w:val="22"/>
          <w:lang w:val="de"/>
        </w:rPr>
        <w:t xml:space="preserve"> über Systeme der erweiterten Herstellerverantwortung für Verpackungen (EPR). Der Umfang der EPR-Regelwerke kann zwar je nach Region variieren, grundsätzlich verlangen die Systeme jedoch, dass sich Markenunternehmen als Hersteller registrieren, ihre Verpackungsmengen melden und EPR-Gebühren entrichten.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Einige EPR-Regelwerke verpflichten Unternehmen dazu, Verpackungsmengen zu reduzieren und die Recyclingfähigkeit zu verbessern. Andere schreiben klarere, standardisierte Recyclingkennzeichnungen vor, damit Verbraucher Verpackungen richtig entsorgen können. Ziel ist es, Verunreinigungen in den Recyclingströmen zu vermeiden und sicherzustellen, dass sämtliche Rezyklate in der Kreislaufwirtschaft </w:t>
      </w:r>
      <w:proofErr w:type="gramStart"/>
      <w:r w:rsidRPr="00B437CA">
        <w:rPr>
          <w:rFonts w:ascii="Noto Sans" w:eastAsia="Times New Roman" w:hAnsi="Noto Sans" w:cs="Noto Sans"/>
          <w:sz w:val="22"/>
          <w:lang w:val="de"/>
        </w:rPr>
        <w:t>weiterverwendet</w:t>
      </w:r>
      <w:proofErr w:type="gramEnd"/>
      <w:r w:rsidRPr="00B437CA">
        <w:rPr>
          <w:rFonts w:ascii="Noto Sans" w:eastAsia="Times New Roman" w:hAnsi="Noto Sans" w:cs="Noto Sans"/>
          <w:sz w:val="22"/>
          <w:lang w:val="de"/>
        </w:rPr>
        <w:t xml:space="preserve"> werden können.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Davon sind alle Bestandteile einer Verpackung betroffen, darunter Etiketten, Substrate und Tinten.</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b/>
          <w:bCs/>
          <w:sz w:val="22"/>
          <w:lang w:val="de"/>
        </w:rPr>
        <w:t>Steigende Kosten</w:t>
      </w:r>
      <w:r w:rsidR="00F009E1">
        <w:rPr>
          <w:rFonts w:ascii="Noto Sans" w:eastAsia="Times New Roman" w:hAnsi="Noto Sans" w:cs="Noto Sans"/>
          <w:b/>
          <w:bCs/>
          <w:sz w:val="22"/>
          <w:lang w:val="de-DE"/>
        </w:rPr>
        <w:br/>
      </w:r>
      <w:r w:rsidR="00F009E1">
        <w:rPr>
          <w:rFonts w:ascii="Noto Sans" w:eastAsia="Times New Roman" w:hAnsi="Noto Sans" w:cs="Noto Sans"/>
          <w:b/>
          <w:bCs/>
          <w:sz w:val="22"/>
          <w:lang w:val="de-DE"/>
        </w:rPr>
        <w:br/>
      </w:r>
      <w:r w:rsidRPr="00B437CA">
        <w:rPr>
          <w:rFonts w:ascii="Noto Sans" w:eastAsia="Times New Roman" w:hAnsi="Noto Sans" w:cs="Noto Sans"/>
          <w:sz w:val="22"/>
          <w:lang w:val="de"/>
        </w:rPr>
        <w:t xml:space="preserve">EPR-Gebührenstrukturen basieren in der Regel auf dem Gewicht oder der Stückzahl </w:t>
      </w:r>
      <w:r w:rsidRPr="00B437CA">
        <w:rPr>
          <w:rFonts w:ascii="Noto Sans" w:eastAsia="Times New Roman" w:hAnsi="Noto Sans" w:cs="Noto Sans"/>
          <w:sz w:val="22"/>
          <w:lang w:val="de"/>
        </w:rPr>
        <w:lastRenderedPageBreak/>
        <w:t xml:space="preserve">der Verpackungen, wobei die Berechnungsmethoden je nach Region variieren. Einige Länder haben ökologisch gestaffelte Gebührenmodelle eingeführt, die nachhaltigere Verpackungsdesigns und Materialentscheidungen belohnen und einer Gewichtsreduzierung durch den Einsatz weniger umweltfreundlicher Materialien entgegenwirken sollen.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Im Vereinigten Königreich werden Verpackungsabfälle im Rahmen der ökologischen Gebührenstaffelung anhand der </w:t>
      </w:r>
      <w:hyperlink r:id="rId8" w:history="1">
        <w:proofErr w:type="spellStart"/>
        <w:r w:rsidRPr="00B437CA">
          <w:rPr>
            <w:rFonts w:ascii="Noto Sans" w:eastAsia="Times New Roman" w:hAnsi="Noto Sans" w:cs="Noto Sans"/>
            <w:color w:val="0000EE"/>
            <w:sz w:val="22"/>
            <w:u w:val="single"/>
            <w:lang w:val="de"/>
          </w:rPr>
          <w:t>Recyclability</w:t>
        </w:r>
        <w:proofErr w:type="spellEnd"/>
        <w:r w:rsidRPr="00B437CA">
          <w:rPr>
            <w:rFonts w:ascii="Noto Sans" w:eastAsia="Times New Roman" w:hAnsi="Noto Sans" w:cs="Noto Sans"/>
            <w:color w:val="0000EE"/>
            <w:sz w:val="22"/>
            <w:u w:val="single"/>
            <w:lang w:val="de"/>
          </w:rPr>
          <w:t xml:space="preserve"> Assessment </w:t>
        </w:r>
        <w:proofErr w:type="spellStart"/>
        <w:r w:rsidRPr="00B437CA">
          <w:rPr>
            <w:rFonts w:ascii="Noto Sans" w:eastAsia="Times New Roman" w:hAnsi="Noto Sans" w:cs="Noto Sans"/>
            <w:color w:val="0000EE"/>
            <w:sz w:val="22"/>
            <w:u w:val="single"/>
            <w:lang w:val="de"/>
          </w:rPr>
          <w:t>Methodology</w:t>
        </w:r>
        <w:proofErr w:type="spellEnd"/>
        <w:r w:rsidRPr="00B437CA">
          <w:rPr>
            <w:rFonts w:ascii="Noto Sans" w:eastAsia="Times New Roman" w:hAnsi="Noto Sans" w:cs="Noto Sans"/>
            <w:color w:val="0000EE"/>
            <w:sz w:val="22"/>
            <w:u w:val="single"/>
            <w:lang w:val="de"/>
          </w:rPr>
          <w:t xml:space="preserve"> (RAM)</w:t>
        </w:r>
      </w:hyperlink>
      <w:r w:rsidRPr="00B437CA">
        <w:rPr>
          <w:rFonts w:ascii="Noto Sans" w:eastAsia="Times New Roman" w:hAnsi="Noto Sans" w:cs="Noto Sans"/>
          <w:sz w:val="22"/>
          <w:u w:val="single"/>
          <w:lang w:val="de"/>
        </w:rPr>
        <w:t xml:space="preserve"> </w:t>
      </w:r>
      <w:r w:rsidRPr="00B437CA">
        <w:rPr>
          <w:rFonts w:ascii="Noto Sans" w:eastAsia="Times New Roman" w:hAnsi="Noto Sans" w:cs="Noto Sans"/>
          <w:sz w:val="22"/>
          <w:lang w:val="de"/>
        </w:rPr>
        <w:t xml:space="preserve"> in einem Ampelsystem eingestuft. Für Materialien, die in großem Umfang recycelt werden, fallen niedrigere Gebühren an, während für schwerer recycelbare Materialien höhere Kosten entstehen. Ungünstige Entscheidungen bei Tinten oder Materialien können ansonsten recyclingfähige Verpackungen abwerten. Dies führt zu höheren Gebühren für Marken.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Da Verpackungsdesign und Materialentscheidungen unmittelbar mit Kosten, Recyclingfähigkeit und Wettbewerbsfähigkeit am Markt verknüpft werden, ist klar, dass EPR für Markenunternehmen weit mehr ist als eine bloße Formsache.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b/>
          <w:bCs/>
          <w:sz w:val="22"/>
          <w:lang w:val="de"/>
        </w:rPr>
        <w:t>Recyclingfähigkeit von Verpackungen verbessern und Gebühren senken</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Etiketten- und Verpackungsverarbeiter spielen eine zentrale Rolle dabei, Markeninhaber bei der Reaktion auf sich wandelnde regulatorische Anforderungen zu unterstützen und zugleich nachhaltigere, kreislauffähige Verpackungslösungen zu ermöglichen.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Über die Berichtspflichten hinaus veranlassen die EPR-Vorgaben für Verpackungen und die PPWR viele Markenunternehmen dazu, ihre Verpackungen nach den Grundsätzen des </w:t>
      </w:r>
      <w:hyperlink r:id="rId9" w:history="1">
        <w:r w:rsidRPr="00B437CA">
          <w:rPr>
            <w:rFonts w:ascii="Noto Sans" w:eastAsia="Times New Roman" w:hAnsi="Noto Sans" w:cs="Noto Sans"/>
            <w:color w:val="0563C1" w:themeColor="hyperlink"/>
            <w:sz w:val="22"/>
            <w:u w:val="single"/>
            <w:lang w:val="de"/>
          </w:rPr>
          <w:t>recyclinggerechten Designs</w:t>
        </w:r>
      </w:hyperlink>
      <w:r w:rsidRPr="00B437CA">
        <w:rPr>
          <w:rFonts w:ascii="Noto Sans" w:eastAsia="Times New Roman" w:hAnsi="Noto Sans" w:cs="Noto Sans"/>
          <w:sz w:val="22"/>
          <w:lang w:val="de"/>
        </w:rPr>
        <w:t xml:space="preserve"> neu zu gestalten. Dazu gehören die Umstellung auf weithin recyclingfähige Verpackungsmaterialien, die Verwendung kleinerer, leicht ablösbarer Etiketten und die Berücksichtigung der </w:t>
      </w:r>
      <w:hyperlink r:id="rId10" w:anchor="head3?utm_medium=non-paid&amp;utm_source=onlinepublication&amp;utm_content=pr-dp-EPR&amp;utm_campaign=2026-int-de-Global-PR-DP-FY26-Q2" w:history="1">
        <w:r w:rsidRPr="00B437CA">
          <w:rPr>
            <w:rStyle w:val="Hyperlink"/>
            <w:rFonts w:ascii="Noto Sans" w:eastAsia="Times New Roman" w:hAnsi="Noto Sans" w:cs="Noto Sans"/>
            <w:sz w:val="22"/>
            <w:lang w:val="de"/>
          </w:rPr>
          <w:t xml:space="preserve">Auswirkungen von Tinten auf die Recyclingprozesse. </w:t>
        </w:r>
      </w:hyperlink>
      <w:r w:rsidRPr="00B437CA">
        <w:rPr>
          <w:rFonts w:ascii="Noto Sans" w:eastAsia="Times New Roman" w:hAnsi="Noto Sans" w:cs="Noto Sans"/>
          <w:sz w:val="22"/>
          <w:lang w:val="de"/>
        </w:rPr>
        <w:t xml:space="preserve">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Für Verarbeiter ergibt sich daraus eine attraktive Möglichkeit, ihren Kunden zusätzlichen Mehrwert zu bieten, indem sie während des gesamten Prozesses eng mit Markenunternehmen, Verpackungsdesignern und Materiallieferanten zusammenarbeiten. Fundierte Kenntnisse der lokalen EPR-Gebührenstrukturen und PPWR-Anforderungen in Verbindung mit Fachwissen zu Drucktechnologien, Tinten und Substraten bieten die Chance, sich vom Wettbewerb abzuheben. Verarbeiter können Markenunternehmen dabei unterstützen, kosteneffiziente und konforme Verpackungen und Etiketten zu entwickeln und zugleich ihre Marketingziele mit markengerechten Farben und einer hervorragenden Druckqualität zu erfüllen.</w:t>
      </w:r>
      <w:r w:rsidR="00F009E1">
        <w:rPr>
          <w:rFonts w:ascii="Noto Sans" w:eastAsia="Times New Roman" w:hAnsi="Noto Sans" w:cs="Noto Sans"/>
          <w:sz w:val="22"/>
          <w:lang w:val="de-DE"/>
        </w:rPr>
        <w:br/>
      </w:r>
      <w:r w:rsidR="00F009E1">
        <w:rPr>
          <w:rFonts w:ascii="Noto Sans" w:eastAsia="Times New Roman" w:hAnsi="Noto Sans" w:cs="Noto Sans"/>
          <w:sz w:val="22"/>
          <w:lang w:val="de-DE"/>
        </w:rPr>
        <w:lastRenderedPageBreak/>
        <w:br/>
      </w:r>
      <w:r w:rsidRPr="00B437CA">
        <w:rPr>
          <w:rFonts w:ascii="Noto Sans" w:eastAsia="Times New Roman" w:hAnsi="Noto Sans" w:cs="Noto Sans"/>
          <w:sz w:val="22"/>
          <w:lang w:val="de"/>
        </w:rPr>
        <w:t xml:space="preserve">In einer Welt, in der Verpackungen inzwischen genauso kritisch geprüft werden wie das Produkt selbst, wird der Zugang zu hochwertigen Informationen über die Materialzusammensetzung für Markenunternehmen zu einem wichtigen Differenzierungsmerkmal bei der Auswahl eines Verpackungslieferanten.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Ein lückenloser Zugang zu Informationen, darunter Materialerklärungen zu Zusammensetzung und Gewicht sowie Konformitätsdokumentationen für Tinten und Klebstoffe, kann die EPR-Berichterstattung von Markenunternehmen grundlegend verändern. Diese Informationen können als Nachweis für Marktüberwachungsbehörden sowie für interne Nachhaltigkeitsaudits dienen und in der EU die Erstellung von Konformitätserklärungen gemäß der PPWR unterstützen.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b/>
          <w:bCs/>
          <w:sz w:val="22"/>
          <w:lang w:val="de"/>
        </w:rPr>
        <w:t>Digitaldruck als Wegbereiter</w:t>
      </w:r>
      <w:r w:rsidR="00F009E1">
        <w:rPr>
          <w:rFonts w:ascii="Noto Sans" w:eastAsia="Times New Roman" w:hAnsi="Noto Sans" w:cs="Noto Sans"/>
          <w:b/>
          <w:bCs/>
          <w:sz w:val="22"/>
          <w:lang w:val="de-DE"/>
        </w:rPr>
        <w:br/>
      </w:r>
      <w:r w:rsidR="00F009E1">
        <w:rPr>
          <w:rFonts w:ascii="Noto Sans" w:eastAsia="Times New Roman" w:hAnsi="Noto Sans" w:cs="Noto Sans"/>
          <w:b/>
          <w:bCs/>
          <w:sz w:val="22"/>
          <w:lang w:val="de-DE"/>
        </w:rPr>
        <w:br/>
      </w:r>
      <w:r w:rsidRPr="00B437CA">
        <w:rPr>
          <w:rFonts w:ascii="Noto Sans" w:eastAsia="Times New Roman" w:hAnsi="Noto Sans" w:cs="Noto Sans"/>
          <w:sz w:val="22"/>
          <w:lang w:val="de"/>
        </w:rPr>
        <w:t xml:space="preserve">Der Fokus auf Recyclingfähigkeit wird sich weiterentwickeln und sowohl Markenunternehmen als auch Verarbeitern ein neues Maß an Flexibilität und Agilität abverlangen. Da sich die PPWR- und EPR-Verpackungsvorschriften noch in der Entwicklung befinden und in den kommenden Jahren neue Initiativen wie </w:t>
      </w:r>
      <w:hyperlink r:id="rId11" w:history="1">
        <w:r w:rsidRPr="00B437CA">
          <w:rPr>
            <w:rFonts w:ascii="Noto Sans" w:eastAsia="Times New Roman" w:hAnsi="Noto Sans" w:cs="Noto Sans"/>
            <w:color w:val="0000EE"/>
            <w:sz w:val="22"/>
            <w:u w:val="single"/>
            <w:lang w:val="de"/>
          </w:rPr>
          <w:t>digitale Produktpässe</w:t>
        </w:r>
      </w:hyperlink>
      <w:r w:rsidRPr="00B437CA">
        <w:rPr>
          <w:rFonts w:ascii="Noto Sans" w:eastAsia="Times New Roman" w:hAnsi="Noto Sans" w:cs="Noto Sans"/>
          <w:sz w:val="22"/>
          <w:lang w:val="de"/>
        </w:rPr>
        <w:t xml:space="preserve"> eingeführt werden sollen, müssen Marken ihre Verpackungsdesigns schnell anpassen können.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Digitaldrucktechnologien sind der Schlüssel, um Verpackungen schnell an neue Vorschriften anzupassen. Weiterverarbeiter mit Zugang zu Digitaldruckmaschinen können auch kürzere Druckauflagen von Verpackungsvarianten effizient produzieren, beispielsweise Varianten mit regional vorgeschriebenen Recyclingsymbolen.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Der Digitaldruck ermöglicht außerdem die Integration variabler Datenelemente, die eine wesentliche Voraussetzung für digitale Produktpässe darstellen. Markenunternehmen werden gedruckte, häufig serialisierte und GS1-gestützte QR-Codes nutzen, um über eine Website oder App Daten zu Materialien, Recyclingfähigkeit sowie zur Konformität von Produkt und Verpackung bereitzustellen.</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b/>
          <w:bCs/>
          <w:sz w:val="22"/>
          <w:lang w:val="de"/>
        </w:rPr>
        <w:t xml:space="preserve">Für die Zukunft gerüstet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 xml:space="preserve">Zwar ist keine EU-weite Vereinheitlichung der EPR vorgesehen, doch arbeiten die lokalen Behörden daran, ihre Systeme an den Recyclingfähigkeitskriterien der PPWR, den EuPIA-Konformitätsanforderungen und den Grenzwerten für gefährliche Stoffe auszurichten. Auch die Branche selbst, darunter Markenunternehmen, Hersteller und Standardisierungsorganisationen wie GS1, fördert eine größere Einheitlichkeit bei Daten, Berichterstattung und Verpackungsdesign.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lastRenderedPageBreak/>
        <w:br/>
      </w:r>
      <w:r w:rsidRPr="00B437CA">
        <w:rPr>
          <w:rFonts w:ascii="Noto Sans" w:eastAsia="Times New Roman" w:hAnsi="Noto Sans" w:cs="Noto Sans"/>
          <w:sz w:val="22"/>
          <w:lang w:val="de"/>
        </w:rPr>
        <w:t xml:space="preserve">Verpackungen werden für Markenunternehmen zunehmend zu einem regulierten Wirtschaftsgut, Datenträger und Kostentreiber. Wenn Markenunternehmen in zukunftsfähige Verpackungen investieren, sind diejenigen Verarbeiter im Vorteil, die mit den lokalen EPR-Vorschriften für Verpackungen und den neuesten Entwicklungen bei recyclingfähigen Materialien vertraut sind und detaillierte Dokumentationen bereitstellen können. </w:t>
      </w:r>
      <w:r w:rsidR="00F009E1">
        <w:rPr>
          <w:rFonts w:ascii="Noto Sans" w:eastAsia="Times New Roman" w:hAnsi="Noto Sans" w:cs="Noto Sans"/>
          <w:sz w:val="22"/>
          <w:lang w:val="de-DE"/>
        </w:rPr>
        <w:br/>
      </w:r>
      <w:r w:rsidR="00F009E1">
        <w:rPr>
          <w:rFonts w:ascii="Noto Sans" w:eastAsia="Times New Roman" w:hAnsi="Noto Sans" w:cs="Noto Sans"/>
          <w:sz w:val="22"/>
          <w:lang w:val="de-DE"/>
        </w:rPr>
        <w:br/>
      </w:r>
      <w:r w:rsidRPr="00B437CA">
        <w:rPr>
          <w:rFonts w:ascii="Noto Sans" w:eastAsia="Times New Roman" w:hAnsi="Noto Sans" w:cs="Noto Sans"/>
          <w:sz w:val="22"/>
          <w:lang w:val="de"/>
        </w:rPr>
        <w:t>ENDE</w:t>
      </w:r>
    </w:p>
    <w:p w14:paraId="02440ADA" w14:textId="77777777" w:rsidR="001F4A67" w:rsidRDefault="001F4A67" w:rsidP="00B15DBB">
      <w:pPr>
        <w:spacing w:line="240" w:lineRule="auto"/>
        <w:rPr>
          <w:rFonts w:ascii="Noto Sans" w:eastAsia="Gill Sans" w:hAnsi="Noto Sans" w:cs="Noto Sans"/>
          <w:b/>
          <w:szCs w:val="18"/>
          <w:lang w:val="de-DE"/>
        </w:rPr>
      </w:pPr>
      <w:r w:rsidRPr="001F4A67">
        <w:rPr>
          <w:rFonts w:ascii="Noto Sans" w:hAnsi="Noto Sans" w:cs="Noto Sans"/>
          <w:szCs w:val="18"/>
          <w:lang w:val="de-DE"/>
        </w:rPr>
        <w:br/>
      </w:r>
      <w:r w:rsidRPr="001F4A67">
        <w:rPr>
          <w:rFonts w:ascii="Noto Sans" w:eastAsia="Gill Sans" w:hAnsi="Noto Sans" w:cs="Noto Sans"/>
          <w:b/>
          <w:szCs w:val="18"/>
          <w:lang w:val="de-DE"/>
        </w:rPr>
        <w:t>———</w:t>
      </w:r>
    </w:p>
    <w:p w14:paraId="07610805" w14:textId="2AFDD542" w:rsidR="005524DB" w:rsidRPr="00494047" w:rsidRDefault="001F4A67" w:rsidP="00B15DBB">
      <w:pPr>
        <w:spacing w:line="240" w:lineRule="auto"/>
        <w:rPr>
          <w:rFonts w:ascii="Noto Sans" w:hAnsi="Noto Sans" w:cs="Noto Sans"/>
          <w:sz w:val="20"/>
          <w:szCs w:val="20"/>
          <w:lang w:val="de-DE"/>
        </w:rPr>
      </w:pPr>
      <w:r>
        <w:rPr>
          <w:rFonts w:ascii="Noto Sans" w:eastAsia="Gill Sans" w:hAnsi="Noto Sans" w:cs="Noto Sans"/>
          <w:b/>
          <w:szCs w:val="18"/>
          <w:lang w:val="de-DE"/>
        </w:rPr>
        <w:br/>
      </w:r>
      <w:r w:rsidR="00CF6D5D" w:rsidRPr="00CF6D5D">
        <w:rPr>
          <w:rFonts w:ascii="Noto Sans" w:eastAsia="Gill Sans" w:hAnsi="Noto Sans" w:cs="Noto Sans"/>
          <w:b/>
          <w:szCs w:val="18"/>
          <w:lang w:val="de-DE"/>
        </w:rPr>
        <w:t>Haftungsausschlüsse</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Tinten</w:t>
      </w:r>
      <w:r>
        <w:rPr>
          <w:rFonts w:ascii="Noto Sans" w:eastAsia="Gill Sans" w:hAnsi="Noto Sans" w:cs="Noto Sans"/>
          <w:b/>
          <w:szCs w:val="18"/>
          <w:lang w:val="de-DE"/>
        </w:rPr>
        <w:br/>
      </w:r>
      <w:r w:rsidR="00CF6D5D" w:rsidRPr="00CF6D5D">
        <w:rPr>
          <w:rFonts w:ascii="Noto Sans" w:eastAsia="Gill Sans" w:hAnsi="Noto Sans" w:cs="Noto Sans"/>
          <w:bCs/>
          <w:szCs w:val="18"/>
          <w:lang w:val="de-DE"/>
        </w:rPr>
        <w:t>Die in diesem Dokument enthaltenen Informationen sind nicht als Ersatz für geeignete Tests für Ihre spezifische Nutzung und Umstände gedacht. Weder Domino UK Limited noch eines der Unternehmen der Domino-Gruppe haftet in irgendeiner Weise für das Vertrauen, das Sie in dieses Dokument hinsichtlich der Eignung einer bestimmten Tinte für Ihre Anwendung setzen. Dieses Dokument ist kein Bestandteil der allgemeinen Geschäftsbedingungen zwischen Ihnen und Domino, rechtliche Haftungsausschlüsse v.1.0 Februar 2018 und die Allgemeinen Geschäftsbedingungen von Domino gelten für jeden Kauf von Produkten durch Sie.</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Allgemeines</w:t>
      </w:r>
      <w:r>
        <w:rPr>
          <w:rFonts w:ascii="Noto Sans" w:eastAsia="Gill Sans" w:hAnsi="Noto Sans" w:cs="Noto Sans"/>
          <w:b/>
          <w:szCs w:val="18"/>
          <w:lang w:val="de-DE"/>
        </w:rPr>
        <w:br/>
      </w:r>
      <w:r w:rsidR="00CF6D5D" w:rsidRPr="00CF6D5D">
        <w:rPr>
          <w:rFonts w:ascii="Noto Sans" w:eastAsia="Gill Sans" w:hAnsi="Noto Sans" w:cs="Noto Sans"/>
          <w:bCs/>
          <w:szCs w:val="18"/>
          <w:lang w:val="de-DE"/>
        </w:rPr>
        <w:t xml:space="preserve">Die in dieser Pressemitteilung enthaltenen Informationen gelten zum Zeitpunkt der Veröffentlichung durch Domino als wahr und korrekt, Änderungen der Umstände nach dem Zeitpunkt der Veröffentlichung können die Genauigkeit der Informationen beeinträchtigen. </w:t>
      </w:r>
      <w:proofErr w:type="gramStart"/>
      <w:r w:rsidR="00CF6D5D" w:rsidRPr="00CF6D5D">
        <w:rPr>
          <w:rFonts w:ascii="Noto Sans" w:eastAsia="Gill Sans" w:hAnsi="Noto Sans" w:cs="Noto Sans"/>
          <w:bCs/>
          <w:szCs w:val="18"/>
          <w:lang w:val="de-DE"/>
        </w:rPr>
        <w:t>Alle leistungsbezogene Zahlen</w:t>
      </w:r>
      <w:proofErr w:type="gramEnd"/>
      <w:r w:rsidR="00CF6D5D" w:rsidRPr="00CF6D5D">
        <w:rPr>
          <w:rFonts w:ascii="Noto Sans" w:eastAsia="Gill Sans" w:hAnsi="Noto Sans" w:cs="Noto Sans"/>
          <w:bCs/>
          <w:szCs w:val="18"/>
          <w:lang w:val="de-DE"/>
        </w:rPr>
        <w:t xml:space="preserve"> und Ansprüche, die in diesem Dokument zitiert werden, wurden unter spezifischen Bedingungen erlangt und </w:t>
      </w:r>
      <w:r w:rsidR="00774DE8">
        <w:rPr>
          <w:rFonts w:ascii="Noto Sans" w:eastAsia="Gill Sans" w:hAnsi="Noto Sans" w:cs="Noto Sans"/>
          <w:bCs/>
          <w:szCs w:val="18"/>
          <w:lang w:val="de-DE"/>
        </w:rPr>
        <w:t>können</w:t>
      </w:r>
      <w:r w:rsidR="00CF6D5D" w:rsidRPr="00CF6D5D">
        <w:rPr>
          <w:rFonts w:ascii="Noto Sans" w:eastAsia="Gill Sans" w:hAnsi="Noto Sans" w:cs="Noto Sans"/>
          <w:bCs/>
          <w:szCs w:val="18"/>
          <w:lang w:val="de-DE"/>
        </w:rPr>
        <w:t xml:space="preserve"> nur unter ähnlichen Bedingungen reproduziert werden. Für spezifische Produktdetails sollten Sie Ihren Domino-Verkaufsberater kontaktieren. Dieses Dokument ist kein Bestandteil von Bedingungen und Konditionen zwischen Ihnen und Domino.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 xml:space="preserve">Bilder </w:t>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Bilder können optionale Extras oder Upgrades enthalten. Die Druckqualität kann je nach Verbrauchsmaterialien, Drucker, Substraten und anderen Faktoren variieren. Bilder und Fotografien sind kein Bestandteil von </w:t>
      </w:r>
      <w:r w:rsidR="00774DE8">
        <w:rPr>
          <w:rFonts w:ascii="Noto Sans" w:eastAsia="Gill Sans" w:hAnsi="Noto Sans" w:cs="Noto Sans"/>
          <w:bCs/>
          <w:szCs w:val="18"/>
          <w:lang w:val="de-DE"/>
        </w:rPr>
        <w:t>Verkaufsb</w:t>
      </w:r>
      <w:r w:rsidR="00CF6D5D" w:rsidRPr="00CF6D5D">
        <w:rPr>
          <w:rFonts w:ascii="Noto Sans" w:eastAsia="Gill Sans" w:hAnsi="Noto Sans" w:cs="Noto Sans"/>
          <w:bCs/>
          <w:szCs w:val="18"/>
          <w:lang w:val="de-DE"/>
        </w:rPr>
        <w:t xml:space="preserve">edingungen und Konditionen zwischen Ihnen und Domino. </w:t>
      </w:r>
      <w:r>
        <w:rPr>
          <w:rFonts w:ascii="Noto Sans" w:eastAsia="Gill Sans" w:hAnsi="Noto Sans" w:cs="Noto Sans"/>
          <w:bCs/>
          <w:szCs w:val="18"/>
          <w:lang w:val="de-DE"/>
        </w:rPr>
        <w:br/>
      </w:r>
      <w:r>
        <w:rPr>
          <w:rFonts w:ascii="Noto Sans" w:eastAsia="Gill Sans" w:hAnsi="Noto Sans" w:cs="Noto Sans"/>
          <w:b/>
          <w:szCs w:val="18"/>
          <w:lang w:val="de-DE"/>
        </w:rPr>
        <w:br/>
      </w:r>
      <w:r w:rsidR="00CF6D5D" w:rsidRPr="00CF6D5D">
        <w:rPr>
          <w:rFonts w:ascii="Noto Sans" w:eastAsia="Gill Sans" w:hAnsi="Noto Sans" w:cs="Noto Sans"/>
          <w:b/>
          <w:szCs w:val="18"/>
          <w:lang w:val="de-DE"/>
        </w:rPr>
        <w:t>Videos</w:t>
      </w:r>
      <w:r w:rsidR="00CF6D5D" w:rsidRPr="00CF6D5D">
        <w:rPr>
          <w:rFonts w:ascii="Noto Sans" w:eastAsia="Gill Sans" w:hAnsi="Noto Sans" w:cs="Noto Sans"/>
          <w:bCs/>
          <w:szCs w:val="18"/>
          <w:lang w:val="de-DE"/>
        </w:rPr>
        <w:t xml:space="preserve"> </w:t>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Dieses Video dient nur zur Veranschaulichung und kann optionale Extras enthalten. Leistungszahlen wurden unter spezifischen Bedingungen erlangt; die individuelle Leistung kann variieren. Fehler und Ausfallzeiten an Produktionslinien können unvermeidbar sein. Nichts in diesem Video ist Bestandteil eines Vertrags zwischen Ihnen und Domino.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Hinweise für Redakteure:</w:t>
      </w:r>
      <w:r w:rsidR="00CF6D5D" w:rsidRPr="00CF6D5D">
        <w:rPr>
          <w:rFonts w:ascii="Noto Sans" w:eastAsia="Gill Sans" w:hAnsi="Noto Sans" w:cs="Noto Sans"/>
          <w:bCs/>
          <w:szCs w:val="18"/>
          <w:lang w:val="de-DE"/>
        </w:rPr>
        <w:t xml:space="preserve">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Über Domino</w:t>
      </w:r>
      <w:r>
        <w:rPr>
          <w:rFonts w:ascii="Noto Sans" w:eastAsia="Gill Sans" w:hAnsi="Noto Sans" w:cs="Noto Sans"/>
          <w:b/>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Digital Printing Solutions ist ein Geschäftsbereich von Domino Printing Sciences. Das 1978 </w:t>
      </w:r>
      <w:r w:rsidR="00CF6D5D" w:rsidRPr="00CF6D5D">
        <w:rPr>
          <w:rFonts w:ascii="Noto Sans" w:eastAsia="Gill Sans" w:hAnsi="Noto Sans" w:cs="Noto Sans"/>
          <w:bCs/>
          <w:szCs w:val="18"/>
          <w:lang w:val="de-DE"/>
        </w:rPr>
        <w:lastRenderedPageBreak/>
        <w:t xml:space="preserve">gegründete Unternehmen hat sich weltweit einen Namen in der Entwicklung und Herstellung digitaler Inkjet-Drucktechnologien sowie mit seinen weltweiten Aftermarket-Produkten und seinem Kundenservice gemacht. Zu den Dienstleistungen für den </w:t>
      </w:r>
      <w:r w:rsidR="00774DE8">
        <w:rPr>
          <w:rFonts w:ascii="Noto Sans" w:eastAsia="Gill Sans" w:hAnsi="Noto Sans" w:cs="Noto Sans"/>
          <w:bCs/>
          <w:szCs w:val="18"/>
          <w:lang w:val="de-DE"/>
        </w:rPr>
        <w:t>kommerziellen D</w:t>
      </w:r>
      <w:r w:rsidR="00CF6D5D" w:rsidRPr="00CF6D5D">
        <w:rPr>
          <w:rFonts w:ascii="Noto Sans" w:eastAsia="Gill Sans" w:hAnsi="Noto Sans" w:cs="Noto Sans"/>
          <w:bCs/>
          <w:szCs w:val="18"/>
          <w:lang w:val="de-DE"/>
        </w:rPr>
        <w:t>ruck gehören digitale Inkjet-Drucker und Steuerungssysteme, die Lösungen für ein umfassendes Spektrum an Etiketten-, Wellpappen- und variablen Druckanwendungen bieten.</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Alle Drucker von Domino erfüllen die hohen Geschwindigkeits- und Qualitätsanforderungen im </w:t>
      </w:r>
      <w:r w:rsidR="00774DE8">
        <w:rPr>
          <w:rFonts w:ascii="Noto Sans" w:eastAsia="Gill Sans" w:hAnsi="Noto Sans" w:cs="Noto Sans"/>
          <w:bCs/>
          <w:szCs w:val="18"/>
          <w:lang w:val="de-DE"/>
        </w:rPr>
        <w:t>kommerziellen Druck</w:t>
      </w:r>
      <w:r w:rsidR="00CF6D5D" w:rsidRPr="00CF6D5D">
        <w:rPr>
          <w:rFonts w:ascii="Noto Sans" w:eastAsia="Gill Sans" w:hAnsi="Noto Sans" w:cs="Noto Sans"/>
          <w:bCs/>
          <w:szCs w:val="18"/>
          <w:lang w:val="de-DE"/>
        </w:rPr>
        <w:t xml:space="preserve"> und eröffnen neue Möglichkeiten für zahlreiche Branchen, darunter Etiketten-, Wellpappen-, Publikations- und Sicherheitsdruck, Transaktions- und Verpackungsverarbeitung, Plastikkarten, Tickets, Spielkarten und Formulare sowie Direktwerbung und Post.</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beschäftigt weltweit </w:t>
      </w:r>
      <w:r w:rsidR="00774DE8">
        <w:rPr>
          <w:rFonts w:ascii="Noto Sans" w:eastAsia="Gill Sans" w:hAnsi="Noto Sans" w:cs="Noto Sans"/>
          <w:bCs/>
          <w:szCs w:val="18"/>
          <w:lang w:val="de-DE"/>
        </w:rPr>
        <w:t xml:space="preserve">mehr als </w:t>
      </w:r>
      <w:r w:rsidR="00CF6D5D" w:rsidRPr="00CF6D5D">
        <w:rPr>
          <w:rFonts w:ascii="Noto Sans" w:eastAsia="Gill Sans" w:hAnsi="Noto Sans" w:cs="Noto Sans"/>
          <w:bCs/>
          <w:szCs w:val="18"/>
          <w:lang w:val="de-DE"/>
        </w:rPr>
        <w:t xml:space="preserve">3.000 Mitarbeiter und vertreibt seine Produkte über ein globales Netzwerk von 29 Niederlassungen und </w:t>
      </w:r>
      <w:r w:rsidR="00774DE8">
        <w:rPr>
          <w:rFonts w:ascii="Noto Sans" w:eastAsia="Gill Sans" w:hAnsi="Noto Sans" w:cs="Noto Sans"/>
          <w:bCs/>
          <w:szCs w:val="18"/>
          <w:lang w:val="de-DE"/>
        </w:rPr>
        <w:t>mehr als</w:t>
      </w:r>
      <w:r w:rsidR="00CF6D5D" w:rsidRPr="00CF6D5D">
        <w:rPr>
          <w:rFonts w:ascii="Noto Sans" w:eastAsia="Gill Sans" w:hAnsi="Noto Sans" w:cs="Noto Sans"/>
          <w:bCs/>
          <w:szCs w:val="18"/>
          <w:lang w:val="de-DE"/>
        </w:rPr>
        <w:t xml:space="preserve"> 200 </w:t>
      </w:r>
      <w:r w:rsidR="00774DE8">
        <w:rPr>
          <w:rFonts w:ascii="Noto Sans" w:eastAsia="Gill Sans" w:hAnsi="Noto Sans" w:cs="Noto Sans"/>
          <w:bCs/>
          <w:szCs w:val="18"/>
          <w:lang w:val="de-DE"/>
        </w:rPr>
        <w:t>Vertriebspartnern</w:t>
      </w:r>
      <w:r w:rsidR="00CF6D5D" w:rsidRPr="00CF6D5D">
        <w:rPr>
          <w:rFonts w:ascii="Noto Sans" w:eastAsia="Gill Sans" w:hAnsi="Noto Sans" w:cs="Noto Sans"/>
          <w:bCs/>
          <w:szCs w:val="18"/>
          <w:lang w:val="de-DE"/>
        </w:rPr>
        <w:t xml:space="preserve"> in </w:t>
      </w:r>
      <w:r w:rsidR="00774DE8">
        <w:rPr>
          <w:rFonts w:ascii="Noto Sans" w:eastAsia="Gill Sans" w:hAnsi="Noto Sans" w:cs="Noto Sans"/>
          <w:bCs/>
          <w:szCs w:val="18"/>
          <w:lang w:val="de-DE"/>
        </w:rPr>
        <w:t xml:space="preserve">mehr als </w:t>
      </w:r>
      <w:r w:rsidR="00CF6D5D" w:rsidRPr="00CF6D5D">
        <w:rPr>
          <w:rFonts w:ascii="Noto Sans" w:eastAsia="Gill Sans" w:hAnsi="Noto Sans" w:cs="Noto Sans"/>
          <w:bCs/>
          <w:szCs w:val="18"/>
          <w:lang w:val="de-DE"/>
        </w:rPr>
        <w:t>120 Länder. Domino verfügt über Produktions</w:t>
      </w:r>
      <w:r w:rsidR="00774DE8">
        <w:rPr>
          <w:rFonts w:ascii="Noto Sans" w:eastAsia="Gill Sans" w:hAnsi="Noto Sans" w:cs="Noto Sans"/>
          <w:bCs/>
          <w:szCs w:val="18"/>
          <w:lang w:val="de-DE"/>
        </w:rPr>
        <w:t>standorte</w:t>
      </w:r>
      <w:r w:rsidR="00CF6D5D" w:rsidRPr="00CF6D5D">
        <w:rPr>
          <w:rFonts w:ascii="Noto Sans" w:eastAsia="Gill Sans" w:hAnsi="Noto Sans" w:cs="Noto Sans"/>
          <w:bCs/>
          <w:szCs w:val="18"/>
          <w:lang w:val="de-DE"/>
        </w:rPr>
        <w:t xml:space="preserve"> in </w:t>
      </w:r>
      <w:r w:rsidR="00774DE8" w:rsidRPr="00CF6D5D">
        <w:rPr>
          <w:rFonts w:ascii="Noto Sans" w:eastAsia="Gill Sans" w:hAnsi="Noto Sans" w:cs="Noto Sans"/>
          <w:bCs/>
          <w:szCs w:val="18"/>
          <w:lang w:val="de-DE"/>
        </w:rPr>
        <w:t>Großbritannien</w:t>
      </w:r>
      <w:r w:rsidR="00774DE8">
        <w:rPr>
          <w:rFonts w:ascii="Noto Sans" w:eastAsia="Gill Sans" w:hAnsi="Noto Sans" w:cs="Noto Sans"/>
          <w:bCs/>
          <w:szCs w:val="18"/>
          <w:lang w:val="de-DE"/>
        </w:rPr>
        <w:t>,</w:t>
      </w:r>
      <w:r w:rsidR="00774DE8" w:rsidRPr="00CF6D5D">
        <w:rPr>
          <w:rFonts w:ascii="Noto Sans" w:eastAsia="Gill Sans" w:hAnsi="Noto Sans" w:cs="Noto Sans"/>
          <w:bCs/>
          <w:szCs w:val="18"/>
          <w:lang w:val="de-DE"/>
        </w:rPr>
        <w:t xml:space="preserve"> </w:t>
      </w:r>
      <w:r w:rsidR="00CF6D5D" w:rsidRPr="00CF6D5D">
        <w:rPr>
          <w:rFonts w:ascii="Noto Sans" w:eastAsia="Gill Sans" w:hAnsi="Noto Sans" w:cs="Noto Sans"/>
          <w:bCs/>
          <w:szCs w:val="18"/>
          <w:lang w:val="de-DE"/>
        </w:rPr>
        <w:t>China, Deutschland, Indien, Schweden, der Schweiz, und den USA.</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wurde am 11. Juni 2015 </w:t>
      </w:r>
      <w:r w:rsidR="00774DE8">
        <w:rPr>
          <w:rFonts w:ascii="Noto Sans" w:eastAsia="Gill Sans" w:hAnsi="Noto Sans" w:cs="Noto Sans"/>
          <w:bCs/>
          <w:szCs w:val="18"/>
          <w:lang w:val="de-DE"/>
        </w:rPr>
        <w:t>ein</w:t>
      </w:r>
      <w:r w:rsidR="00CF6D5D" w:rsidRPr="00CF6D5D">
        <w:rPr>
          <w:rFonts w:ascii="Noto Sans" w:eastAsia="Gill Sans" w:hAnsi="Noto Sans" w:cs="Noto Sans"/>
          <w:bCs/>
          <w:szCs w:val="18"/>
          <w:lang w:val="de-DE"/>
        </w:rPr>
        <w:t xml:space="preserve"> eigenständige</w:t>
      </w:r>
      <w:r w:rsidR="00774DE8">
        <w:rPr>
          <w:rFonts w:ascii="Noto Sans" w:eastAsia="Gill Sans" w:hAnsi="Noto Sans" w:cs="Noto Sans"/>
          <w:bCs/>
          <w:szCs w:val="18"/>
          <w:lang w:val="de-DE"/>
        </w:rPr>
        <w:t>r Unternehmensbereich</w:t>
      </w:r>
      <w:r w:rsidR="00CF6D5D" w:rsidRPr="00CF6D5D">
        <w:rPr>
          <w:rFonts w:ascii="Noto Sans" w:eastAsia="Gill Sans" w:hAnsi="Noto Sans" w:cs="Noto Sans"/>
          <w:bCs/>
          <w:szCs w:val="18"/>
          <w:lang w:val="de-DE"/>
        </w:rPr>
        <w:t xml:space="preserve"> </w:t>
      </w:r>
      <w:r w:rsidR="00774DE8">
        <w:rPr>
          <w:rFonts w:ascii="Noto Sans" w:eastAsia="Gill Sans" w:hAnsi="Noto Sans" w:cs="Noto Sans"/>
          <w:bCs/>
          <w:szCs w:val="18"/>
          <w:lang w:val="de-DE"/>
        </w:rPr>
        <w:t>von</w:t>
      </w:r>
      <w:r w:rsidR="00CF6D5D" w:rsidRPr="00CF6D5D">
        <w:rPr>
          <w:rFonts w:ascii="Noto Sans" w:eastAsia="Gill Sans" w:hAnsi="Noto Sans" w:cs="Noto Sans"/>
          <w:bCs/>
          <w:szCs w:val="18"/>
          <w:lang w:val="de-DE"/>
        </w:rPr>
        <w:t xml:space="preserve"> Brother Industries.</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Weitere Informationen zu Domino finden Sie unter www.domino-printing.com.</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Für weitere Informationen wenden Sie sich bitte an:</w:t>
      </w:r>
      <w:r>
        <w:rPr>
          <w:rFonts w:ascii="Noto Sans" w:eastAsia="Gill Sans" w:hAnsi="Noto Sans" w:cs="Noto Sans"/>
          <w:b/>
          <w:szCs w:val="18"/>
          <w:lang w:val="de-DE"/>
        </w:rPr>
        <w:br/>
      </w:r>
      <w:bookmarkStart w:id="1" w:name="_Hlk61949672"/>
      <w:r w:rsidR="00240801" w:rsidRPr="001F4A67">
        <w:rPr>
          <w:rFonts w:ascii="Noto Sans" w:hAnsi="Noto Sans" w:cs="Noto Sans"/>
          <w:szCs w:val="18"/>
          <w:lang w:val="de-DE"/>
        </w:rPr>
        <w:br/>
        <w:t>Kathrin Farr</w:t>
      </w:r>
      <w:r w:rsidR="00240801" w:rsidRPr="001F4A67">
        <w:rPr>
          <w:rFonts w:ascii="Noto Sans" w:hAnsi="Noto Sans" w:cs="Noto Sans"/>
          <w:szCs w:val="18"/>
          <w:lang w:val="de-DE"/>
        </w:rPr>
        <w:br/>
        <w:t xml:space="preserve">Content Executive and </w:t>
      </w:r>
      <w:proofErr w:type="spellStart"/>
      <w:r w:rsidR="00240801" w:rsidRPr="001F4A67">
        <w:rPr>
          <w:rFonts w:ascii="Noto Sans" w:hAnsi="Noto Sans" w:cs="Noto Sans"/>
          <w:szCs w:val="18"/>
          <w:lang w:val="de-DE"/>
        </w:rPr>
        <w:t>Copywriter</w:t>
      </w:r>
      <w:proofErr w:type="spellEnd"/>
      <w:r w:rsidR="00240801" w:rsidRPr="001F4A67">
        <w:rPr>
          <w:rFonts w:ascii="Noto Sans" w:hAnsi="Noto Sans" w:cs="Noto Sans"/>
          <w:szCs w:val="18"/>
          <w:lang w:val="de-DE"/>
        </w:rPr>
        <w:t xml:space="preserve">  </w:t>
      </w:r>
      <w:r w:rsidR="00240801" w:rsidRPr="001F4A67">
        <w:rPr>
          <w:rFonts w:ascii="Noto Sans" w:hAnsi="Noto Sans" w:cs="Noto Sans"/>
          <w:szCs w:val="18"/>
          <w:lang w:val="de-DE"/>
        </w:rPr>
        <w:br/>
        <w:t>Domino Printing Sciences</w:t>
      </w:r>
      <w:r w:rsidR="00240801" w:rsidRPr="001F4A67">
        <w:rPr>
          <w:rFonts w:ascii="Noto Sans" w:hAnsi="Noto Sans" w:cs="Noto Sans"/>
          <w:szCs w:val="18"/>
          <w:lang w:val="de-DE"/>
        </w:rPr>
        <w:br/>
        <w:t>Tel: +44 (0) 1954 782551</w:t>
      </w:r>
      <w:r w:rsidR="00240801" w:rsidRPr="001F4A67">
        <w:rPr>
          <w:rFonts w:ascii="Noto Sans" w:hAnsi="Noto Sans" w:cs="Noto Sans"/>
          <w:szCs w:val="18"/>
          <w:lang w:val="de-DE"/>
        </w:rPr>
        <w:br/>
      </w:r>
      <w:hyperlink r:id="rId12" w:history="1">
        <w:r w:rsidR="00240801" w:rsidRPr="001F4A67">
          <w:rPr>
            <w:rStyle w:val="Hyperlink"/>
            <w:rFonts w:ascii="Noto Sans" w:hAnsi="Noto Sans" w:cs="Noto Sans"/>
            <w:szCs w:val="18"/>
            <w:lang w:val="de-DE"/>
          </w:rPr>
          <w:t>Kathrin.Farr@domino-uk.com</w:t>
        </w:r>
      </w:hyperlink>
      <w:r w:rsidR="00240801" w:rsidRPr="001F4A67">
        <w:rPr>
          <w:rFonts w:ascii="Noto Sans" w:hAnsi="Noto Sans" w:cs="Noto Sans"/>
          <w:szCs w:val="18"/>
          <w:lang w:val="de-DE"/>
        </w:rPr>
        <w:t xml:space="preserve"> </w:t>
      </w:r>
      <w:r w:rsidR="00240801" w:rsidRPr="001F4A67">
        <w:rPr>
          <w:rFonts w:ascii="Noto Sans" w:hAnsi="Noto Sans" w:cs="Noto Sans"/>
          <w:szCs w:val="18"/>
          <w:lang w:val="de-DE"/>
        </w:rPr>
        <w:br/>
      </w:r>
      <w:bookmarkEnd w:id="0"/>
      <w:bookmarkEnd w:id="1"/>
      <w:r w:rsidR="00240801" w:rsidRPr="001F4A67">
        <w:rPr>
          <w:rFonts w:ascii="Noto Sans" w:hAnsi="Noto Sans" w:cs="Noto Sans"/>
          <w:szCs w:val="18"/>
          <w:lang w:val="de-DE"/>
        </w:rPr>
        <w:br/>
      </w:r>
      <w:r w:rsidR="00494047" w:rsidRPr="00494047">
        <w:rPr>
          <w:rFonts w:ascii="Noto Sans" w:hAnsi="Noto Sans" w:cs="Noto Sans"/>
          <w:szCs w:val="18"/>
          <w:lang w:val="de-DE"/>
        </w:rPr>
        <w:t xml:space="preserve">Jade Taylor-Salazar </w:t>
      </w:r>
      <w:r w:rsidR="00494047" w:rsidRPr="00494047">
        <w:rPr>
          <w:rFonts w:ascii="Noto Sans" w:hAnsi="Noto Sans" w:cs="Noto Sans"/>
          <w:szCs w:val="18"/>
          <w:lang w:val="de-DE"/>
        </w:rPr>
        <w:br/>
        <w:t xml:space="preserve">PR and Content Manager </w:t>
      </w:r>
      <w:r w:rsidR="00494047" w:rsidRPr="00494047">
        <w:rPr>
          <w:rFonts w:ascii="Noto Sans" w:hAnsi="Noto Sans" w:cs="Noto Sans"/>
          <w:szCs w:val="18"/>
          <w:lang w:val="de-DE"/>
        </w:rPr>
        <w:br/>
        <w:t xml:space="preserve">Domino Printing Sciences </w:t>
      </w:r>
      <w:r w:rsidR="00494047" w:rsidRPr="00494047">
        <w:rPr>
          <w:rFonts w:ascii="Noto Sans" w:hAnsi="Noto Sans" w:cs="Noto Sans"/>
          <w:szCs w:val="18"/>
          <w:lang w:val="de-DE"/>
        </w:rPr>
        <w:br/>
        <w:t>Tel: +44 (0) 1954 778780</w:t>
      </w:r>
      <w:r w:rsidR="00494047" w:rsidRPr="00494047">
        <w:rPr>
          <w:rFonts w:ascii="Noto Sans" w:hAnsi="Noto Sans" w:cs="Noto Sans"/>
          <w:szCs w:val="18"/>
          <w:lang w:val="de-DE"/>
        </w:rPr>
        <w:br/>
      </w:r>
      <w:hyperlink r:id="rId13" w:history="1">
        <w:r w:rsidR="00494047" w:rsidRPr="00494047">
          <w:rPr>
            <w:rStyle w:val="Hyperlink"/>
            <w:rFonts w:ascii="Noto Sans" w:hAnsi="Noto Sans" w:cs="Noto Sans"/>
            <w:szCs w:val="18"/>
            <w:lang w:val="de-DE"/>
          </w:rPr>
          <w:t>Jade.Taylor-Salazar@domino-uk.com</w:t>
        </w:r>
      </w:hyperlink>
      <w:r w:rsidR="00F67E02" w:rsidRPr="001F4A67">
        <w:rPr>
          <w:rFonts w:ascii="Noto Sans" w:hAnsi="Noto Sans" w:cs="Noto Sans"/>
          <w:szCs w:val="18"/>
          <w:lang w:val="de-DE"/>
        </w:rPr>
        <w:br/>
      </w:r>
    </w:p>
    <w:sectPr w:rsidR="005524DB" w:rsidRPr="00494047" w:rsidSect="000F6D0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78AD" w14:textId="77777777" w:rsidR="005F7308" w:rsidRDefault="005F7308" w:rsidP="00785717">
      <w:pPr>
        <w:spacing w:line="240" w:lineRule="auto"/>
      </w:pPr>
      <w:r>
        <w:separator/>
      </w:r>
    </w:p>
  </w:endnote>
  <w:endnote w:type="continuationSeparator" w:id="0">
    <w:p w14:paraId="1A02B5FD" w14:textId="77777777" w:rsidR="005F7308" w:rsidRDefault="005F7308"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Bahnschrift Light"/>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3CFC"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7495" w14:textId="77777777" w:rsidR="00785717" w:rsidRDefault="000F6D00" w:rsidP="00785717">
    <w:pPr>
      <w:pStyle w:val="Footer"/>
    </w:pPr>
    <w:r>
      <w:rPr>
        <w:noProof/>
      </w:rPr>
      <w:drawing>
        <wp:anchor distT="0" distB="0" distL="114300" distR="114300" simplePos="0" relativeHeight="251659264" behindDoc="0" locked="0" layoutInCell="1" allowOverlap="1" wp14:anchorId="1E422896" wp14:editId="6B1BCCBE">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48A9574" wp14:editId="7394438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D641"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84EB" w14:textId="77777777" w:rsidR="005F7308" w:rsidRDefault="005F7308" w:rsidP="00785717">
      <w:pPr>
        <w:spacing w:line="240" w:lineRule="auto"/>
      </w:pPr>
      <w:r>
        <w:separator/>
      </w:r>
    </w:p>
  </w:footnote>
  <w:footnote w:type="continuationSeparator" w:id="0">
    <w:p w14:paraId="17D7C292" w14:textId="77777777" w:rsidR="005F7308" w:rsidRDefault="005F7308"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9C4E"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7BBA" w14:textId="77777777" w:rsidR="000F6D00" w:rsidRDefault="002766D9">
    <w:pPr>
      <w:pStyle w:val="Header"/>
    </w:pPr>
    <w:r>
      <w:rPr>
        <w:noProof/>
      </w:rPr>
      <w:drawing>
        <wp:anchor distT="0" distB="0" distL="114300" distR="114300" simplePos="0" relativeHeight="251661312" behindDoc="0" locked="0" layoutInCell="1" allowOverlap="1" wp14:anchorId="6CD68A14" wp14:editId="7D7C2270">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E840"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E8"/>
    <w:rsid w:val="0002201E"/>
    <w:rsid w:val="00026728"/>
    <w:rsid w:val="00085561"/>
    <w:rsid w:val="000F6D00"/>
    <w:rsid w:val="001D743C"/>
    <w:rsid w:val="001F4A67"/>
    <w:rsid w:val="002202E3"/>
    <w:rsid w:val="00222312"/>
    <w:rsid w:val="00240801"/>
    <w:rsid w:val="002766D9"/>
    <w:rsid w:val="00372E92"/>
    <w:rsid w:val="003810AA"/>
    <w:rsid w:val="003E7580"/>
    <w:rsid w:val="004219F2"/>
    <w:rsid w:val="00432A1B"/>
    <w:rsid w:val="00494047"/>
    <w:rsid w:val="005272B1"/>
    <w:rsid w:val="005524DB"/>
    <w:rsid w:val="005741C7"/>
    <w:rsid w:val="005E6C45"/>
    <w:rsid w:val="005F7308"/>
    <w:rsid w:val="00647055"/>
    <w:rsid w:val="00660F46"/>
    <w:rsid w:val="00774DE8"/>
    <w:rsid w:val="00785717"/>
    <w:rsid w:val="00791A4F"/>
    <w:rsid w:val="008220B7"/>
    <w:rsid w:val="00823B77"/>
    <w:rsid w:val="008916A8"/>
    <w:rsid w:val="008B6461"/>
    <w:rsid w:val="008E5E0C"/>
    <w:rsid w:val="008F3E38"/>
    <w:rsid w:val="00931996"/>
    <w:rsid w:val="009A1716"/>
    <w:rsid w:val="009A1DEC"/>
    <w:rsid w:val="009D6280"/>
    <w:rsid w:val="009E5D98"/>
    <w:rsid w:val="00A34918"/>
    <w:rsid w:val="00AB11DA"/>
    <w:rsid w:val="00AB3368"/>
    <w:rsid w:val="00AC1D0A"/>
    <w:rsid w:val="00B15DBB"/>
    <w:rsid w:val="00B23C3C"/>
    <w:rsid w:val="00B437CA"/>
    <w:rsid w:val="00B546C5"/>
    <w:rsid w:val="00B7088D"/>
    <w:rsid w:val="00BC7C15"/>
    <w:rsid w:val="00C063FE"/>
    <w:rsid w:val="00C44603"/>
    <w:rsid w:val="00C541FE"/>
    <w:rsid w:val="00CF1AD5"/>
    <w:rsid w:val="00CF6D5D"/>
    <w:rsid w:val="00DE1F9A"/>
    <w:rsid w:val="00E03029"/>
    <w:rsid w:val="00E34DD8"/>
    <w:rsid w:val="00EC1C5A"/>
    <w:rsid w:val="00F009E1"/>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73A45"/>
  <w15:chartTrackingRefBased/>
  <w15:docId w15:val="{6ACD5D77-B7B5-4560-88A8-37D41BFF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f.co.uk/members/ram.aspx" TargetMode="External"/><Relationship Id="rId13" Type="http://schemas.openxmlformats.org/officeDocument/2006/relationships/hyperlink" Target="mailto:Jade.Taylor-Salazar@domino-uk.com"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bsigroup.com/en-US/insights-and-media/insights/blogs/extended-producer-responsibility-epr-around-the-world/" TargetMode="External"/><Relationship Id="rId12" Type="http://schemas.openxmlformats.org/officeDocument/2006/relationships/hyperlink" Target="mailto:Kathrin.Farr@domino-uk.co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en/blog/2024/connected-packaging-and-consumer-engagement?utm_medium=non-paid&amp;utm_source=onlinepublication&amp;utm_content=pr-dp-EPR&amp;utm_campaign=2026-int-de-Global-PR-DP-FY26-Q2" TargetMode="External"/><Relationship Id="rId11" Type="http://schemas.openxmlformats.org/officeDocument/2006/relationships/hyperlink" Target="https://www.domino-printing.com/en-gb/blog/2023/the-future-of-traceability-get-ready-for-the-digital-product-passport?utm_medium=non-paid&amp;utm_source=onlinepublication&amp;utm_content=pr-dp-EPR&amp;utm_campaign=2026-int-de-Global-PR-DP-FY26-Q2"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domino-printing.com/en-gb/blog/2025/ppwr-and-printing-inks"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plasticcollective.co/design-for-recyclability-2026-new-material-label-additive-restriction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2026-09-03T14:03:00Z</dcterms:created>
  <dcterms:modified xsi:type="dcterms:W3CDTF">2026-09-03T14:09:00Z</dcterms:modified>
</cp:coreProperties>
</file>