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1D4A6" w14:textId="77777777" w:rsidR="00AE32B8" w:rsidRPr="003A135D" w:rsidRDefault="00AE32B8" w:rsidP="00AE32B8">
      <w:pPr>
        <w:spacing w:before="120" w:after="120" w:line="240" w:lineRule="auto"/>
        <w:rPr>
          <w:rFonts w:ascii="Noto Sans" w:eastAsia="Times New Roman" w:hAnsi="Noto Sans" w:cs="Noto Sans"/>
          <w:b/>
          <w:bCs/>
          <w:sz w:val="28"/>
          <w:szCs w:val="28"/>
          <w:lang w:val="fr-FR"/>
        </w:rPr>
      </w:pPr>
      <w:r w:rsidRPr="003A135D">
        <w:rPr>
          <w:rFonts w:ascii="Noto Sans" w:eastAsia="Times New Roman" w:hAnsi="Noto Sans" w:cs="Noto Sans"/>
          <w:b/>
          <w:bCs/>
          <w:sz w:val="28"/>
          <w:szCs w:val="28"/>
          <w:lang w:val="fr"/>
        </w:rPr>
        <w:t>Emballages EPR : d'un simple fournisseur d'emballages à un véritable partenaire stratégique de marque</w:t>
      </w:r>
    </w:p>
    <w:p w14:paraId="3EB79CE0" w14:textId="7250802E" w:rsidR="00AE32B8" w:rsidRPr="00AE32B8" w:rsidRDefault="00AE32B8" w:rsidP="00AE32B8">
      <w:pPr>
        <w:spacing w:before="120" w:after="120" w:line="240" w:lineRule="auto"/>
        <w:rPr>
          <w:rFonts w:ascii="Noto Sans" w:eastAsia="Times New Roman" w:hAnsi="Noto Sans" w:cs="Noto Sans"/>
          <w:i/>
          <w:iCs/>
          <w:sz w:val="22"/>
          <w:lang w:val="fr-FR"/>
        </w:rPr>
      </w:pPr>
      <w:r w:rsidRPr="00AE32B8">
        <w:rPr>
          <w:rFonts w:ascii="Noto Sans" w:eastAsia="Times New Roman" w:hAnsi="Noto Sans" w:cs="Noto Sans"/>
          <w:i/>
          <w:iCs/>
          <w:sz w:val="22"/>
          <w:lang w:val="fr"/>
        </w:rPr>
        <w:t xml:space="preserve">Les réglementations mondiales en matière de durabilité redéfinissent les stratégies d'emballage des marques. </w:t>
      </w:r>
      <w:hyperlink r:id="rId6" w:history="1">
        <w:r w:rsidRPr="00AE32B8">
          <w:rPr>
            <w:rFonts w:ascii="Noto Sans" w:eastAsia="Times New Roman" w:hAnsi="Noto Sans" w:cs="Noto Sans"/>
            <w:i/>
            <w:iCs/>
            <w:color w:val="0000EE"/>
            <w:sz w:val="22"/>
            <w:u w:val="single"/>
            <w:lang w:val="fr"/>
          </w:rPr>
          <w:t>L'emballage a évolué</w:t>
        </w:r>
        <w:r w:rsidRPr="00AE32B8">
          <w:rPr>
            <w:rFonts w:ascii="Noto Sans" w:eastAsia="Times New Roman" w:hAnsi="Noto Sans" w:cs="Noto Sans"/>
            <w:i/>
            <w:iCs/>
            <w:color w:val="0000EE"/>
            <w:sz w:val="22"/>
            <w:lang w:val="fr"/>
          </w:rPr>
          <w:t xml:space="preserve"> :</w:t>
        </w:r>
      </w:hyperlink>
      <w:r w:rsidRPr="00AE32B8">
        <w:rPr>
          <w:rFonts w:ascii="Noto Sans" w:eastAsia="Times New Roman" w:hAnsi="Noto Sans" w:cs="Noto Sans"/>
          <w:i/>
          <w:iCs/>
          <w:sz w:val="22"/>
          <w:lang w:val="fr"/>
        </w:rPr>
        <w:t xml:space="preserve"> d'un simple moyen de protection du produit, il est devenu un atout aux multiples facettes qui allie protection du produit et conformité réglementaire, mais aussi communication de marque et engagement client.</w:t>
      </w:r>
    </w:p>
    <w:p w14:paraId="250A1C89" w14:textId="77777777" w:rsidR="00AE32B8" w:rsidRPr="00AE32B8" w:rsidRDefault="00AE32B8" w:rsidP="00AE32B8">
      <w:pPr>
        <w:spacing w:before="120" w:after="120" w:line="240" w:lineRule="auto"/>
        <w:rPr>
          <w:rFonts w:ascii="Noto Sans" w:eastAsia="Times New Roman" w:hAnsi="Noto Sans" w:cs="Noto Sans"/>
          <w:i/>
          <w:iCs/>
          <w:sz w:val="22"/>
          <w:lang w:val="fr-FR"/>
        </w:rPr>
      </w:pPr>
      <w:r w:rsidRPr="00AE32B8">
        <w:rPr>
          <w:rFonts w:ascii="Noto Sans" w:eastAsia="Times New Roman" w:hAnsi="Noto Sans" w:cs="Noto Sans"/>
          <w:i/>
          <w:iCs/>
          <w:sz w:val="22"/>
          <w:lang w:val="fr"/>
        </w:rPr>
        <w:t>Avec l'introduction du règlement européen sur les emballages et les déchets d'emballages (PPWR), et des dispositifs locaux de responsabilité élargie des producteurs pour les emballages (EPR), la réutilisabilité et la recyclabilité des emballages sont devenues une priorité pour les marques.</w:t>
      </w:r>
    </w:p>
    <w:p w14:paraId="0FF58179" w14:textId="114A9528" w:rsidR="00AE32B8" w:rsidRPr="00AE32B8" w:rsidRDefault="00D724A9" w:rsidP="00AE32B8">
      <w:pPr>
        <w:spacing w:before="120" w:after="120" w:line="240" w:lineRule="auto"/>
        <w:rPr>
          <w:rFonts w:ascii="Noto Sans" w:eastAsia="Times New Roman" w:hAnsi="Noto Sans" w:cs="Noto Sans"/>
          <w:i/>
          <w:iCs/>
          <w:sz w:val="22"/>
          <w:lang w:val="fr-FR"/>
        </w:rPr>
      </w:pPr>
      <w:r w:rsidRPr="00D724A9">
        <w:rPr>
          <w:rFonts w:ascii="Noto Sans" w:hAnsi="Noto Sans" w:cs="Noto Sans"/>
          <w:i/>
          <w:iCs/>
          <w:sz w:val="22"/>
          <w:lang w:val="fr-FR"/>
        </w:rPr>
        <w:t xml:space="preserve">Mike Barry, Commercial Director, Digital Printing, </w:t>
      </w:r>
      <w:r w:rsidR="00AE32B8" w:rsidRPr="00AE32B8">
        <w:rPr>
          <w:rFonts w:ascii="Noto Sans" w:eastAsia="Times New Roman" w:hAnsi="Noto Sans" w:cs="Noto Sans"/>
          <w:i/>
          <w:iCs/>
          <w:sz w:val="22"/>
          <w:lang w:val="fr"/>
        </w:rPr>
        <w:t>chez Domino, explique comment les transformateurs d'étiquettes et d'emballages peuvent soutenir les initiatives de "Conception favorisant la recyclabilité" des marques et la conformité EPR en matière d'emballages.</w:t>
      </w:r>
    </w:p>
    <w:p w14:paraId="5874C04B"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b/>
          <w:bCs/>
          <w:sz w:val="22"/>
          <w:lang w:val="fr"/>
        </w:rPr>
        <w:t>Priorité au recyclage</w:t>
      </w:r>
      <w:r w:rsidRPr="00AE32B8">
        <w:rPr>
          <w:rFonts w:ascii="Noto Sans" w:eastAsia="Times New Roman" w:hAnsi="Noto Sans" w:cs="Noto Sans"/>
          <w:sz w:val="22"/>
          <w:lang w:val="fr"/>
        </w:rPr>
        <w:t xml:space="preserve"> </w:t>
      </w:r>
    </w:p>
    <w:p w14:paraId="1201E613"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 xml:space="preserve">Plus de </w:t>
      </w:r>
      <w:hyperlink r:id="rId7" w:history="1">
        <w:r w:rsidRPr="00AE32B8">
          <w:rPr>
            <w:rFonts w:ascii="Noto Sans" w:eastAsia="Times New Roman" w:hAnsi="Noto Sans" w:cs="Noto Sans"/>
            <w:color w:val="0000EE"/>
            <w:sz w:val="22"/>
            <w:u w:val="single"/>
            <w:lang w:val="fr"/>
          </w:rPr>
          <w:t>70 pays dans le monde</w:t>
        </w:r>
      </w:hyperlink>
      <w:r w:rsidRPr="00AE32B8">
        <w:rPr>
          <w:rFonts w:ascii="Noto Sans" w:eastAsia="Times New Roman" w:hAnsi="Noto Sans" w:cs="Noto Sans"/>
          <w:sz w:val="22"/>
          <w:lang w:val="fr"/>
        </w:rPr>
        <w:t xml:space="preserve"> appliquent aujourd'hui des dispositifs de responsabilité élargie du producteur pour les emballages (EPR). Bien que la portée des dispositifs EPR puisse varier selon les régions, le cadre standard impose aux marques de s'enregistrer en tant que producteurs, de déclarer les volumes d'emballages et de payer des redevances EPR. </w:t>
      </w:r>
    </w:p>
    <w:p w14:paraId="6DE41ECC"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 xml:space="preserve">Certains dispositifs EPR imposent de réduire les emballages et d'améliorer leur recyclabilité. D'autres exigent des étiquettes de recyclage plus claires et standardisées pour aider les consommateurs à éliminer les emballages correctement, dans le but d'éliminer la pollution dans les flux de recyclage et de garantir que tous les produits recyclés sont adaptés à la réutilisation dans l'économie circulaire. </w:t>
      </w:r>
    </w:p>
    <w:p w14:paraId="637E6547"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Chaque composant d'emballage, y compris les étiquettes, les substrats et les encres d'impression, est concerné.</w:t>
      </w:r>
    </w:p>
    <w:p w14:paraId="030047A9" w14:textId="77777777" w:rsidR="00AE32B8" w:rsidRPr="00AE32B8" w:rsidRDefault="00AE32B8" w:rsidP="00AE32B8">
      <w:pPr>
        <w:spacing w:before="120" w:after="120" w:line="240" w:lineRule="auto"/>
        <w:rPr>
          <w:rFonts w:ascii="Noto Sans" w:eastAsia="Times New Roman" w:hAnsi="Noto Sans" w:cs="Noto Sans"/>
          <w:b/>
          <w:bCs/>
          <w:sz w:val="22"/>
          <w:lang w:val="fr-FR"/>
        </w:rPr>
      </w:pPr>
      <w:r w:rsidRPr="00AE32B8">
        <w:rPr>
          <w:rFonts w:ascii="Noto Sans" w:eastAsia="Times New Roman" w:hAnsi="Noto Sans" w:cs="Noto Sans"/>
          <w:b/>
          <w:bCs/>
          <w:sz w:val="22"/>
          <w:lang w:val="fr"/>
        </w:rPr>
        <w:t>Des coûts en forte hausse</w:t>
      </w:r>
    </w:p>
    <w:p w14:paraId="3CC9E354"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 xml:space="preserve">Les structures de frais EPR sont généralement basées sur le poids de l'emballage ou le nombre d'unités, et les méthodes de calcul varient selon les régions. Certains pays ont mis en place des structures de redevances éco-modulées pour récompenser les choix de design d'emballage et de matériaux plus durables, et pour décourager l'allègement des emballages à l'aide de matériaux moins respectueux de l'environnement. </w:t>
      </w:r>
    </w:p>
    <w:p w14:paraId="2822EB8E"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 xml:space="preserve">Au Royaume-Uni, l'éco-modulation classe les déchets d'emballage au sein d'un système de feux tricolores basé sur la </w:t>
      </w:r>
      <w:hyperlink r:id="rId8" w:history="1">
        <w:r w:rsidRPr="00AE32B8">
          <w:rPr>
            <w:rFonts w:ascii="Noto Sans" w:eastAsia="Times New Roman" w:hAnsi="Noto Sans" w:cs="Noto Sans"/>
            <w:color w:val="0000EE"/>
            <w:sz w:val="22"/>
            <w:u w:val="single"/>
            <w:lang w:val="fr"/>
          </w:rPr>
          <w:t>Recyclability Assessment Methodology (RAM)</w:t>
        </w:r>
      </w:hyperlink>
      <w:r w:rsidRPr="00AE32B8">
        <w:rPr>
          <w:rFonts w:ascii="Noto Sans" w:eastAsia="Times New Roman" w:hAnsi="Noto Sans" w:cs="Noto Sans"/>
          <w:sz w:val="22"/>
          <w:lang w:val="fr"/>
        </w:rPr>
        <w:t xml:space="preserve">. Les matériaux largement recyclés bénéficient de frais moins élevés, tandis que ceux qui sont plus difficiles à recycler engendrent des coûts plus importants. De mauvais choix </w:t>
      </w:r>
      <w:r w:rsidRPr="00AE32B8">
        <w:rPr>
          <w:rFonts w:ascii="Noto Sans" w:eastAsia="Times New Roman" w:hAnsi="Noto Sans" w:cs="Noto Sans"/>
          <w:sz w:val="22"/>
          <w:lang w:val="fr"/>
        </w:rPr>
        <w:lastRenderedPageBreak/>
        <w:t xml:space="preserve">d'encres ou de matériaux peuvent déclasser des emballages pourtant recyclables, entraînant des frais plus élevés pour les marques. </w:t>
      </w:r>
    </w:p>
    <w:p w14:paraId="5EB36F7D"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 xml:space="preserve">En reliant directement le design des emballages et les choix de matériaux aux coûts, aux performances en matière de recyclabilité et à la compétitivité sur le marché, il est clair que l'EPR est bien plus qu'un simple exercice de conformité pour les marques. </w:t>
      </w:r>
    </w:p>
    <w:p w14:paraId="24C90480"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b/>
          <w:bCs/>
          <w:sz w:val="22"/>
          <w:lang w:val="fr"/>
        </w:rPr>
        <w:t>Améliorer la recyclabilité des emballages et réduire les coûts</w:t>
      </w:r>
    </w:p>
    <w:p w14:paraId="4EBE602A"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 xml:space="preserve">Les transformateurs jouent un rôle clé pour aider les marques à répondre aux exigences réglementaires en constante évolution, tout en favorisant des solutions d'emballage plus durables et circulaires. </w:t>
      </w:r>
    </w:p>
    <w:p w14:paraId="787C17E7" w14:textId="49622388"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Au-delà du reporting, l'EPR et le PPWR sur les emballages poussent de nombreuses marques à repenser leurs emballages selon les principes de la "</w:t>
      </w:r>
      <w:hyperlink r:id="rId9" w:history="1">
        <w:r w:rsidRPr="00AE32B8">
          <w:rPr>
            <w:rFonts w:ascii="Noto Sans" w:eastAsia="Times New Roman" w:hAnsi="Noto Sans" w:cs="Noto Sans"/>
            <w:color w:val="0563C1" w:themeColor="hyperlink"/>
            <w:sz w:val="22"/>
            <w:u w:val="single"/>
            <w:lang w:val="fr"/>
          </w:rPr>
          <w:t>Conception favorisant la recyclabilité</w:t>
        </w:r>
      </w:hyperlink>
      <w:r w:rsidRPr="00AE32B8">
        <w:rPr>
          <w:rFonts w:ascii="Noto Sans" w:eastAsia="Times New Roman" w:hAnsi="Noto Sans" w:cs="Noto Sans"/>
          <w:sz w:val="22"/>
          <w:lang w:val="fr"/>
        </w:rPr>
        <w:t>". Cela implique de passer à des matériaux d'emballage largement recyclables, d'utiliser des étiquettes plus petites et facilement détachables, et de prendre en compte l'</w:t>
      </w:r>
      <w:hyperlink r:id="rId10" w:anchor="head3?utm_medium=non-paid&amp;utm_source=onlinepublication&amp;utm_content=pr-dp-EPR&amp;utm_campaign=2026-int-fr-Global-PR-DP-FY26-Q2" w:history="1">
        <w:r w:rsidRPr="00AE32B8">
          <w:rPr>
            <w:rFonts w:ascii="Noto Sans" w:eastAsia="Times New Roman" w:hAnsi="Noto Sans" w:cs="Noto Sans"/>
            <w:color w:val="0563C1" w:themeColor="hyperlink"/>
            <w:sz w:val="22"/>
            <w:u w:val="single"/>
            <w:lang w:val="fr"/>
          </w:rPr>
          <w:t>impact des encres sur les processus de recyclage</w:t>
        </w:r>
      </w:hyperlink>
      <w:r w:rsidRPr="00AE32B8">
        <w:rPr>
          <w:rFonts w:ascii="Noto Sans" w:eastAsia="Times New Roman" w:hAnsi="Noto Sans" w:cs="Noto Sans"/>
          <w:sz w:val="22"/>
          <w:lang w:val="fr"/>
        </w:rPr>
        <w:t xml:space="preserve">. </w:t>
      </w:r>
    </w:p>
    <w:p w14:paraId="4BADE14B"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Pour les transformateurs, c'est une belle opportunité de créer de la valeur pour leurs clients en travaillant étroitement avec les marques, les concepteurs d'emballages et les fournisseurs de matériaux tout au long du processus. Une bonne connaissance des structures locales de redevances EPR sur les emballages et des exigences du PPWR, combinée à une expertise en technologies d'impression, encres et substrats, offre une réelle opportunité de différenciation. Les transformateurs peuvent aider les marques à créer des emballages et des étiquettes conformes et rentables, tout en répondant aux objectifs marketing grâce à des couleurs conformes à l'identité de marque et une excellente qualité d'impression.</w:t>
      </w:r>
    </w:p>
    <w:p w14:paraId="68A8D522"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 xml:space="preserve">Dans un monde où l'emballage fait désormais l'objet du même niveau de contrôle que le produit lui-même, l'accès à des informations de qualité sur la composition des matériaux devient un facteur de différenciation clé pour les marques lors du choix d'un fournisseur d'emballages. </w:t>
      </w:r>
    </w:p>
    <w:p w14:paraId="30055FDB"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 xml:space="preserve">Un accès fluide à l'information, incluant les déclarations de matériaux sur la composition et le poids, ainsi que la documentation de conformité pour les encres et les adhésifs, peut transformer le reporting EPR des marques. Ces informations peuvent servir de preuves pour les autorités de surveillance du marché et les audits internes de durabilité, et, dans l'UE, contribuer à l'établissement des déclarations de conformité au titre du PPWR. </w:t>
      </w:r>
    </w:p>
    <w:p w14:paraId="593B1A9E" w14:textId="77777777" w:rsidR="00AE32B8" w:rsidRPr="00AE32B8" w:rsidRDefault="00AE32B8" w:rsidP="00AE32B8">
      <w:pPr>
        <w:spacing w:before="120" w:after="120" w:line="240" w:lineRule="auto"/>
        <w:rPr>
          <w:rFonts w:ascii="Noto Sans" w:eastAsia="Times New Roman" w:hAnsi="Noto Sans" w:cs="Noto Sans"/>
          <w:b/>
          <w:bCs/>
          <w:sz w:val="22"/>
          <w:lang w:val="fr-FR"/>
        </w:rPr>
      </w:pPr>
      <w:r w:rsidRPr="00AE32B8">
        <w:rPr>
          <w:rFonts w:ascii="Noto Sans" w:eastAsia="Times New Roman" w:hAnsi="Noto Sans" w:cs="Noto Sans"/>
          <w:b/>
          <w:bCs/>
          <w:sz w:val="22"/>
          <w:lang w:val="fr"/>
        </w:rPr>
        <w:t>L'impression numérique comme levier</w:t>
      </w:r>
    </w:p>
    <w:p w14:paraId="4B78F2DE"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 xml:space="preserve">L'attention portée à la recyclabilité continuera d'évoluer, exigeant de nouveaux niveaux de flexibilité et d'agilité tant pour les marques que pour les transformateurs. Alors que les réglementations PPWR et EPR sur les emballages sont encore en évolution, et que de nouvelles initiatives comme les </w:t>
      </w:r>
      <w:hyperlink r:id="rId11" w:history="1">
        <w:r w:rsidRPr="00AE32B8">
          <w:rPr>
            <w:rFonts w:ascii="Noto Sans" w:eastAsia="Times New Roman" w:hAnsi="Noto Sans" w:cs="Noto Sans"/>
            <w:color w:val="0000EE"/>
            <w:sz w:val="22"/>
            <w:u w:val="single"/>
            <w:lang w:val="fr"/>
          </w:rPr>
          <w:t>passeports numériques de produits</w:t>
        </w:r>
      </w:hyperlink>
      <w:r w:rsidRPr="00AE32B8">
        <w:rPr>
          <w:rFonts w:ascii="Noto Sans" w:eastAsia="Times New Roman" w:hAnsi="Noto Sans" w:cs="Noto Sans"/>
          <w:sz w:val="22"/>
          <w:lang w:val="fr"/>
        </w:rPr>
        <w:t xml:space="preserve"> doivent être </w:t>
      </w:r>
      <w:r w:rsidRPr="00AE32B8">
        <w:rPr>
          <w:rFonts w:ascii="Noto Sans" w:eastAsia="Times New Roman" w:hAnsi="Noto Sans" w:cs="Noto Sans"/>
          <w:sz w:val="22"/>
          <w:lang w:val="fr"/>
        </w:rPr>
        <w:lastRenderedPageBreak/>
        <w:t xml:space="preserve">déployées dans les années à venir, les marques doivent pouvoir adapter rapidement leurs designs d'emballage. </w:t>
      </w:r>
    </w:p>
    <w:p w14:paraId="7A0A15D2"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 xml:space="preserve">La technologie d'impression numérique est essentielle pour mettre à jour rapidement les emballages en fonction des réglementations émergentes. Les transformateurs ayant accès à des presses numériques peuvent également produire efficacement des tirages plus courts de variantes d'emballages, comme celles nécessitant des symboles de recyclage régionaux. </w:t>
      </w:r>
    </w:p>
    <w:p w14:paraId="6FF41E0F"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Le numérique facilite également l'ajout d'éléments de données variables, une exigence clé pour les passeports numériques de produits. Les marques utiliseront des codes QR imprimés, souvent sérialisés, augmentés GS1, pour partager les données relatives aux matériaux, à la recyclabilité et à la conformité des produits et emballages via un site web ou une application.</w:t>
      </w:r>
    </w:p>
    <w:p w14:paraId="0332208F"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b/>
          <w:bCs/>
          <w:sz w:val="22"/>
          <w:lang w:val="fr"/>
        </w:rPr>
        <w:t xml:space="preserve">Préparer l'avenir </w:t>
      </w:r>
    </w:p>
    <w:p w14:paraId="3517D236"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 xml:space="preserve">Bien qu'il n'existe aucun projet d'harmonisation de l'EPR à l'échelle de l'UE, les gouvernements locaux s'efforcent d'aligner leurs dispositifs sur les critères de recyclabilité du PPWR, la conformité EuPIA et les limites relatives aux substances dangereuses. L'industrie, y compris les marques, les fabricants et les organismes de normalisation tels que GS1, œuvre également en faveur d'une plus grande cohérence en matière de données, de reporting et de design d'emballage. </w:t>
      </w:r>
    </w:p>
    <w:p w14:paraId="6DE8274D"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 xml:space="preserve">L'emballage devient un actif réglementé, un support de données et un facteur de coût pour les marques. À l'heure où les marques investissent dans l'emballage du futur, les transformateurs qui connaissent bien les réglementations locales EPR sur l'emballage, qui suivent les progrès des matériaux recyclables et qui sont en mesure de fournir une documentation précise se démarqueront de la concurrence. </w:t>
      </w:r>
    </w:p>
    <w:p w14:paraId="7E38A2F7" w14:textId="77777777" w:rsidR="00AE32B8" w:rsidRPr="00AE32B8" w:rsidRDefault="00AE32B8" w:rsidP="00AE32B8">
      <w:pPr>
        <w:spacing w:before="120" w:after="120" w:line="240" w:lineRule="auto"/>
        <w:rPr>
          <w:rFonts w:ascii="Noto Sans" w:eastAsia="Times New Roman" w:hAnsi="Noto Sans" w:cs="Noto Sans"/>
          <w:sz w:val="22"/>
          <w:lang w:val="fr-FR"/>
        </w:rPr>
      </w:pPr>
      <w:r w:rsidRPr="00AE32B8">
        <w:rPr>
          <w:rFonts w:ascii="Noto Sans" w:eastAsia="Times New Roman" w:hAnsi="Noto Sans" w:cs="Noto Sans"/>
          <w:sz w:val="22"/>
          <w:lang w:val="fr"/>
        </w:rPr>
        <w:t>FIN</w:t>
      </w:r>
    </w:p>
    <w:p w14:paraId="42FFDE4F" w14:textId="04AFE595" w:rsidR="003A1909" w:rsidRPr="00860ECF" w:rsidRDefault="00D66051" w:rsidP="003A1909">
      <w:pPr>
        <w:pStyle w:val="NoSpacing"/>
        <w:rPr>
          <w:rFonts w:ascii="Noto Sans" w:hAnsi="Noto Sans" w:cs="Noto Sans"/>
          <w:lang w:val="fr-FR"/>
        </w:rPr>
      </w:pPr>
      <w:r w:rsidRPr="003A1909">
        <w:rPr>
          <w:rFonts w:ascii="Noto Sans" w:eastAsia="Gill Sans" w:hAnsi="Noto Sans" w:cs="Noto Sans"/>
          <w:szCs w:val="18"/>
          <w:lang w:val="fr-FR"/>
        </w:rPr>
        <w:br/>
      </w:r>
      <w:bookmarkStart w:id="0" w:name="_Hlk46133219"/>
      <w:r w:rsidR="003A1909" w:rsidRPr="00860ECF">
        <w:rPr>
          <w:rFonts w:ascii="Noto Sans" w:eastAsia="Gill Sans" w:hAnsi="Noto Sans" w:cs="Noto Sans"/>
          <w:b/>
          <w:bCs/>
          <w:szCs w:val="18"/>
          <w:lang w:val="fr-FR"/>
        </w:rPr>
        <w:t>Avis de non-responsabilité</w:t>
      </w:r>
      <w:r w:rsidR="003A1909" w:rsidRPr="00860ECF">
        <w:rPr>
          <w:rFonts w:ascii="Noto Sans" w:eastAsia="Gill Sans" w:hAnsi="Noto Sans" w:cs="Noto Sans"/>
          <w:b/>
          <w:szCs w:val="18"/>
          <w:lang w:val="fr-FR"/>
        </w:rPr>
        <w:br/>
      </w:r>
      <w:r w:rsidR="003A1909" w:rsidRPr="00860ECF">
        <w:rPr>
          <w:rFonts w:ascii="Noto Sans" w:eastAsia="Gill Sans" w:hAnsi="Noto Sans" w:cs="Noto Sans"/>
          <w:szCs w:val="18"/>
          <w:lang w:val="fr-FR"/>
        </w:rPr>
        <w:br/>
      </w:r>
      <w:r w:rsidR="003A1909" w:rsidRPr="00860ECF">
        <w:rPr>
          <w:rFonts w:ascii="Noto Sans" w:hAnsi="Noto Sans" w:cs="Noto Sans"/>
          <w:b/>
          <w:bCs/>
          <w:szCs w:val="18"/>
          <w:lang w:val="fr-FR"/>
        </w:rPr>
        <w:t>Encres</w:t>
      </w:r>
      <w:r w:rsidR="003A1909" w:rsidRPr="00860ECF">
        <w:rPr>
          <w:rFonts w:ascii="Noto Sans" w:hAnsi="Noto Sans" w:cs="Noto Sans"/>
          <w:szCs w:val="18"/>
          <w:lang w:val="fr-FR"/>
        </w:rPr>
        <w:br/>
        <w:t xml:space="preserve">Les informations figurant aux présentes ne se substituent pas à la réalisation des essais nécessaires pour vérifier la bonne adéquation à votre utilisation et à vos circonstances particulières. Ni Domino UK Limited ni aucune autre société du groupe Domino ne sauraient être responsables dans le cas où vous vous êtes fiés aux informations du présent document quant à la convenance d’une encre à vos besoins particuliers. Le présent document ne fait pas partie des conditions générales entre vous-même et Domino. Les mentions légales v.1.0 de février 2018 et les conditions générales de vente de Domino, et plus particulièrement les garanties et responsabilités qui en relèvent, s’appliquent à tout achat de produit que vous réalisez. </w:t>
      </w:r>
      <w:r w:rsidR="003A1909" w:rsidRPr="00860ECF">
        <w:rPr>
          <w:rFonts w:ascii="Noto Sans" w:hAnsi="Noto Sans" w:cs="Noto Sans"/>
          <w:szCs w:val="18"/>
          <w:lang w:val="fr-FR"/>
        </w:rPr>
        <w:br/>
      </w:r>
      <w:r w:rsidR="003A1909" w:rsidRPr="00860ECF">
        <w:rPr>
          <w:rFonts w:ascii="Noto Sans" w:hAnsi="Noto Sans" w:cs="Noto Sans"/>
          <w:szCs w:val="18"/>
          <w:lang w:val="fr-FR"/>
        </w:rPr>
        <w:br/>
      </w:r>
      <w:r w:rsidR="003A1909" w:rsidRPr="00860ECF">
        <w:rPr>
          <w:rFonts w:ascii="Noto Sans" w:hAnsi="Noto Sans" w:cs="Noto Sans"/>
          <w:b/>
          <w:bCs/>
          <w:szCs w:val="18"/>
          <w:lang w:val="fr-FR"/>
        </w:rPr>
        <w:t>Généralités</w:t>
      </w:r>
      <w:r w:rsidR="003A1909" w:rsidRPr="00860ECF">
        <w:rPr>
          <w:rFonts w:ascii="Noto Sans" w:hAnsi="Noto Sans" w:cs="Noto Sans"/>
          <w:szCs w:val="18"/>
          <w:lang w:val="fr-FR"/>
        </w:rPr>
        <w:br/>
      </w:r>
      <w:r w:rsidR="00866525" w:rsidRPr="00866525">
        <w:rPr>
          <w:rFonts w:ascii="Noto Sans" w:hAnsi="Noto Sans" w:cs="Noto Sans"/>
          <w:szCs w:val="18"/>
          <w:lang w:val="fr-FR"/>
        </w:rPr>
        <w:t xml:space="preserve">Les informations contenues dans ce communiqué de presse sont considérées comme vraies et exactes à la date de publication par Domino. Des changements de circonstances après la date de publication peuvent avoir un impact sur l'exactitude des informations. </w:t>
      </w:r>
      <w:r w:rsidR="003A1909" w:rsidRPr="00860ECF">
        <w:rPr>
          <w:rFonts w:ascii="Noto Sans" w:hAnsi="Noto Sans" w:cs="Noto Sans"/>
          <w:szCs w:val="18"/>
          <w:lang w:val="fr-FR"/>
        </w:rPr>
        <w:t xml:space="preserve">Tous les chiffres et déclarations en matière de résultats </w:t>
      </w:r>
      <w:r w:rsidR="003A1909" w:rsidRPr="00860ECF">
        <w:rPr>
          <w:rFonts w:ascii="Noto Sans" w:hAnsi="Noto Sans" w:cs="Noto Sans"/>
          <w:szCs w:val="18"/>
          <w:lang w:val="fr-FR"/>
        </w:rPr>
        <w:lastRenderedPageBreak/>
        <w:t>indiqués dans les présentes ont été obtenus dans des conditions particulières et ne peuvent être reproduits que dans des circonstances similaires. Pour toutes informations sur un produit particulier, contactez votre Représentant Domino local.  Ce document n’est pas intégré aux conditions générales de vente entre vous-même et Domino.</w:t>
      </w:r>
      <w:r w:rsidR="003A1909" w:rsidRPr="00860ECF">
        <w:rPr>
          <w:rFonts w:ascii="Noto Sans" w:hAnsi="Noto Sans" w:cs="Noto Sans"/>
          <w:szCs w:val="18"/>
          <w:lang w:val="fr-FR"/>
        </w:rPr>
        <w:br/>
      </w:r>
      <w:r w:rsidR="003A1909" w:rsidRPr="00860ECF">
        <w:rPr>
          <w:rFonts w:ascii="Noto Sans" w:hAnsi="Noto Sans" w:cs="Noto Sans"/>
          <w:szCs w:val="18"/>
          <w:lang w:val="fr-FR"/>
        </w:rPr>
        <w:br/>
      </w:r>
      <w:r w:rsidR="003A1909" w:rsidRPr="00860ECF">
        <w:rPr>
          <w:rFonts w:ascii="Noto Sans" w:hAnsi="Noto Sans" w:cs="Noto Sans"/>
          <w:b/>
          <w:bCs/>
          <w:szCs w:val="18"/>
          <w:lang w:val="fr-FR"/>
        </w:rPr>
        <w:t>Images</w:t>
      </w:r>
      <w:r w:rsidR="003A1909" w:rsidRPr="00860ECF">
        <w:rPr>
          <w:rFonts w:ascii="Noto Sans" w:hAnsi="Noto Sans" w:cs="Noto Sans"/>
          <w:szCs w:val="18"/>
          <w:lang w:val="fr-FR"/>
        </w:rPr>
        <w:br/>
        <w:t xml:space="preserve">Les images peuvent inclure des éléments supplémentaires ou des mises à niveaux. La qualité d'impression peut varier en fonction des consommables, de l'imprimante, des substrats et d'autres facteurs. Les images et photographies ne font pas partie des conditions générales de vente entre vous-même et Domino. </w:t>
      </w:r>
      <w:r w:rsidR="003A1909" w:rsidRPr="00860ECF">
        <w:rPr>
          <w:rFonts w:ascii="Noto Sans" w:hAnsi="Noto Sans" w:cs="Noto Sans"/>
          <w:szCs w:val="18"/>
          <w:lang w:val="fr-FR"/>
        </w:rPr>
        <w:br/>
      </w:r>
      <w:r w:rsidR="003A1909" w:rsidRPr="00860ECF">
        <w:rPr>
          <w:rFonts w:ascii="Noto Sans" w:hAnsi="Noto Sans" w:cs="Noto Sans"/>
          <w:szCs w:val="18"/>
          <w:lang w:val="fr-FR"/>
        </w:rPr>
        <w:br/>
      </w:r>
      <w:r w:rsidR="003A1909" w:rsidRPr="00860ECF">
        <w:rPr>
          <w:rFonts w:ascii="Noto Sans" w:hAnsi="Noto Sans" w:cs="Noto Sans"/>
          <w:b/>
          <w:bCs/>
          <w:szCs w:val="18"/>
          <w:lang w:val="fr-FR"/>
        </w:rPr>
        <w:t>Vidéos</w:t>
      </w:r>
      <w:r w:rsidR="003A1909" w:rsidRPr="00860ECF">
        <w:rPr>
          <w:rFonts w:ascii="Noto Sans" w:hAnsi="Noto Sans" w:cs="Noto Sans"/>
          <w:szCs w:val="18"/>
          <w:lang w:val="fr-FR"/>
        </w:rPr>
        <w:br/>
        <w:t>Cette vidéo est fournie à des fins illustratives uniquement et peut inclure des options supplémentaires. Les chiffres relatifs à la performance peuvent être obtenus sous des conditions spécifiques ; les performances individuelles peuvent varier. Des erreurs et des temps d’arrêt peuvent survenir sur les chaînes de production. Rien dans la présente vidéo ne saurait faire partie d'un contrat entre vous et Domino.</w:t>
      </w:r>
      <w:r w:rsidR="003A1909" w:rsidRPr="00860ECF">
        <w:rPr>
          <w:rFonts w:ascii="Noto Sans" w:hAnsi="Noto Sans" w:cs="Noto Sans"/>
          <w:szCs w:val="18"/>
          <w:lang w:val="fr-FR"/>
        </w:rPr>
        <w:br/>
      </w:r>
      <w:r w:rsidR="003A1909" w:rsidRPr="00860ECF">
        <w:rPr>
          <w:rFonts w:ascii="Noto Sans" w:eastAsia="Gill Sans" w:hAnsi="Noto Sans" w:cs="Noto Sans"/>
          <w:szCs w:val="18"/>
          <w:lang w:val="fr-FR"/>
        </w:rPr>
        <w:br/>
      </w:r>
      <w:bookmarkStart w:id="1" w:name="_Hlk61949672"/>
      <w:r w:rsidR="003A1909" w:rsidRPr="00860ECF">
        <w:rPr>
          <w:rFonts w:ascii="Noto Sans" w:eastAsia="Gill Sans" w:hAnsi="Noto Sans" w:cs="Noto Sans"/>
          <w:b/>
          <w:szCs w:val="18"/>
          <w:lang w:val="fr-FR"/>
        </w:rPr>
        <w:br/>
      </w:r>
      <w:r w:rsidR="003A1909" w:rsidRPr="00860ECF">
        <w:rPr>
          <w:rFonts w:ascii="Noto Sans" w:eastAsia="Gill Sans" w:hAnsi="Noto Sans" w:cs="Noto Sans"/>
          <w:b/>
          <w:bCs/>
          <w:szCs w:val="18"/>
          <w:lang w:val="fr-FR"/>
        </w:rPr>
        <w:t>Notes à l'attention des rédacteurs :</w:t>
      </w:r>
      <w:r w:rsidR="003A1909" w:rsidRPr="00860ECF">
        <w:rPr>
          <w:rFonts w:ascii="Noto Sans" w:eastAsia="Gill Sans" w:hAnsi="Noto Sans" w:cs="Noto Sans"/>
          <w:b/>
          <w:szCs w:val="18"/>
          <w:lang w:val="fr-FR"/>
        </w:rPr>
        <w:br/>
      </w:r>
      <w:r w:rsidR="003A1909" w:rsidRPr="00860ECF">
        <w:rPr>
          <w:rFonts w:ascii="Noto Sans" w:eastAsia="Gill Sans" w:hAnsi="Noto Sans" w:cs="Noto Sans"/>
          <w:szCs w:val="18"/>
          <w:lang w:val="fr-FR"/>
        </w:rPr>
        <w:br/>
      </w:r>
      <w:r w:rsidR="003A1909" w:rsidRPr="00860ECF">
        <w:rPr>
          <w:rFonts w:ascii="Noto Sans" w:eastAsia="Gill Sans" w:hAnsi="Noto Sans" w:cs="Noto Sans"/>
          <w:b/>
          <w:bCs/>
          <w:szCs w:val="18"/>
          <w:lang w:val="fr-FR"/>
        </w:rPr>
        <w:t>À propos de Domino</w:t>
      </w:r>
      <w:r w:rsidR="003A1909" w:rsidRPr="00860ECF">
        <w:rPr>
          <w:rFonts w:ascii="Noto Sans" w:eastAsia="Gill Sans" w:hAnsi="Noto Sans" w:cs="Noto Sans"/>
          <w:b/>
          <w:szCs w:val="18"/>
          <w:lang w:val="fr-FR"/>
        </w:rPr>
        <w:br/>
      </w:r>
      <w:r w:rsidR="003A1909" w:rsidRPr="00860ECF">
        <w:rPr>
          <w:rFonts w:ascii="Noto Sans" w:eastAsia="Gill Sans" w:hAnsi="Noto Sans" w:cs="Noto Sans"/>
          <w:szCs w:val="18"/>
          <w:lang w:val="fr-FR"/>
        </w:rPr>
        <w:br/>
        <w:t>Digital Printing Solutions est une division de Domino Printing Sciences. Domino, fondée en 1978, s’est forgée une réputation internationale dans le développement et la fabrication de technologies d’impression jet d’encre numérique, ainsi que dans les produits complémentaires et le service à la clientèle. Ses services, destinés au secteur de l’impression commerciale, incluent des solutions d’impression jet d’encre numériques et des systèmes de contrôle conçus pour une gamme complète d’applications d’étiquetage et d’impression de données variables.</w:t>
      </w:r>
      <w:r w:rsidR="003A1909" w:rsidRPr="00860ECF">
        <w:rPr>
          <w:rFonts w:ascii="Noto Sans" w:eastAsia="Gill Sans" w:hAnsi="Noto Sans" w:cs="Noto Sans"/>
          <w:szCs w:val="18"/>
          <w:lang w:val="fr-FR"/>
        </w:rPr>
        <w:br/>
      </w:r>
      <w:r w:rsidR="003A1909" w:rsidRPr="00860ECF">
        <w:rPr>
          <w:rFonts w:ascii="Noto Sans" w:eastAsia="Gill Sans" w:hAnsi="Noto Sans" w:cs="Noto Sans"/>
          <w:szCs w:val="18"/>
          <w:lang w:val="fr-FR"/>
        </w:rPr>
        <w:br/>
        <w:t>Toutes les imprimantes Domino sont conçues pour répondre aux exigences de rapidité extrême et de haute qualité des environnements d’impression commerciale. Elles offrent de nouvelles fonctionnalités aux secteurs tels que l’étiquetage, les publications et l’impression de sécurité, l’impression transactionnelle, la transformation d’emballages, les cartes plastiques, les tickets, les cartes de jeux et les formulaires, ainsi que les secteurs du publipostage et de la distribution de courrier.</w:t>
      </w:r>
      <w:r w:rsidR="003A1909" w:rsidRPr="00860ECF">
        <w:rPr>
          <w:rFonts w:ascii="Noto Sans" w:eastAsia="Gill Sans" w:hAnsi="Noto Sans" w:cs="Noto Sans"/>
          <w:szCs w:val="18"/>
          <w:lang w:val="fr-FR"/>
        </w:rPr>
        <w:br/>
      </w:r>
      <w:r w:rsidR="003A1909" w:rsidRPr="00860ECF">
        <w:rPr>
          <w:rFonts w:ascii="Noto Sans" w:eastAsia="Gill Sans" w:hAnsi="Noto Sans" w:cs="Noto Sans"/>
          <w:szCs w:val="18"/>
          <w:lang w:val="fr-FR"/>
        </w:rPr>
        <w:br/>
        <w:t>Domino emploie plus de 3 000 personnes à travers le monde et ses produits sont vendus dans plus de 120 pays grâce à un réseau mondial de 29 filiales et de plus de 200 distributeurs. Domino possède des sites de production en Allemagne, en Chine, aux États-Unis, en Inde, au Royaume-Uni, en Suède et en Suisse.</w:t>
      </w:r>
      <w:r w:rsidR="003A1909" w:rsidRPr="00860ECF">
        <w:rPr>
          <w:rFonts w:ascii="Noto Sans" w:eastAsia="Gill Sans" w:hAnsi="Noto Sans" w:cs="Noto Sans"/>
          <w:szCs w:val="18"/>
          <w:lang w:val="fr-FR"/>
        </w:rPr>
        <w:br/>
      </w:r>
      <w:r w:rsidR="003A1909" w:rsidRPr="00860ECF">
        <w:rPr>
          <w:rFonts w:ascii="Noto Sans" w:eastAsia="Gill Sans" w:hAnsi="Noto Sans" w:cs="Noto Sans"/>
          <w:szCs w:val="18"/>
          <w:lang w:val="fr-FR"/>
        </w:rPr>
        <w:br/>
        <w:t xml:space="preserve">Depuis le 11 juin 2015, Domino est une division autonome de Brother Industries Ltd. </w:t>
      </w:r>
      <w:r w:rsidR="003A1909" w:rsidRPr="00860ECF">
        <w:rPr>
          <w:rFonts w:ascii="Noto Sans" w:eastAsia="Gill Sans" w:hAnsi="Noto Sans" w:cs="Noto Sans"/>
          <w:szCs w:val="18"/>
          <w:lang w:val="fr-FR"/>
        </w:rPr>
        <w:br/>
      </w:r>
      <w:r w:rsidR="003A1909" w:rsidRPr="00860ECF">
        <w:rPr>
          <w:rFonts w:ascii="Noto Sans" w:eastAsia="Gill Sans" w:hAnsi="Noto Sans" w:cs="Noto Sans"/>
          <w:szCs w:val="18"/>
          <w:lang w:val="fr-FR"/>
        </w:rPr>
        <w:br/>
        <w:t xml:space="preserve">Pour plus d'informations sur Domino, veuillez consulter </w:t>
      </w:r>
      <w:hyperlink r:id="rId12" w:history="1">
        <w:r w:rsidR="003A1909" w:rsidRPr="00860ECF">
          <w:rPr>
            <w:rStyle w:val="Hyperlink"/>
            <w:rFonts w:ascii="Noto Sans" w:eastAsia="Gill Sans" w:hAnsi="Noto Sans" w:cs="Noto Sans"/>
            <w:szCs w:val="18"/>
            <w:lang w:val="fr-FR"/>
          </w:rPr>
          <w:t>www.domino-printing.com</w:t>
        </w:r>
      </w:hyperlink>
      <w:r w:rsidR="003A1909" w:rsidRPr="00860ECF">
        <w:rPr>
          <w:rFonts w:ascii="Noto Sans" w:eastAsia="Gill Sans" w:hAnsi="Noto Sans" w:cs="Noto Sans"/>
          <w:szCs w:val="18"/>
          <w:lang w:val="fr-FR"/>
        </w:rPr>
        <w:t xml:space="preserve"> </w:t>
      </w:r>
      <w:r w:rsidR="003A1909" w:rsidRPr="00860ECF">
        <w:rPr>
          <w:rFonts w:ascii="Noto Sans" w:eastAsia="Gill Sans" w:hAnsi="Noto Sans" w:cs="Noto Sans"/>
          <w:szCs w:val="18"/>
          <w:lang w:val="fr-FR"/>
        </w:rPr>
        <w:br/>
      </w:r>
      <w:r w:rsidR="003A1909" w:rsidRPr="00860ECF">
        <w:rPr>
          <w:rFonts w:ascii="Noto Sans" w:eastAsia="Gill Sans" w:hAnsi="Noto Sans" w:cs="Noto Sans"/>
          <w:szCs w:val="18"/>
          <w:lang w:val="fr-FR"/>
        </w:rPr>
        <w:br/>
      </w:r>
      <w:r w:rsidR="003A1909" w:rsidRPr="00860ECF">
        <w:rPr>
          <w:rFonts w:ascii="Noto Sans" w:eastAsia="Gill Sans" w:hAnsi="Noto Sans" w:cs="Noto Sans"/>
          <w:b/>
          <w:bCs/>
          <w:szCs w:val="18"/>
          <w:lang w:val="fr-FR"/>
        </w:rPr>
        <w:t>Pour de plus amples renseignements, veuillez contacter :</w:t>
      </w:r>
      <w:r w:rsidR="003A1909" w:rsidRPr="00860ECF">
        <w:rPr>
          <w:rFonts w:ascii="Noto Sans" w:eastAsia="Gill Sans" w:hAnsi="Noto Sans" w:cs="Noto Sans"/>
          <w:b/>
          <w:szCs w:val="18"/>
          <w:lang w:val="fr-FR"/>
        </w:rPr>
        <w:br/>
      </w:r>
      <w:r w:rsidR="003A1909" w:rsidRPr="00860ECF">
        <w:rPr>
          <w:rFonts w:ascii="Noto Sans" w:eastAsia="Gill Sans" w:hAnsi="Noto Sans" w:cs="Noto Sans"/>
          <w:b/>
          <w:szCs w:val="18"/>
          <w:lang w:val="fr-FR"/>
        </w:rPr>
        <w:br/>
      </w:r>
      <w:bookmarkEnd w:id="0"/>
      <w:bookmarkEnd w:id="1"/>
      <w:r w:rsidR="003A1909" w:rsidRPr="00860ECF">
        <w:rPr>
          <w:rFonts w:ascii="Noto Sans" w:hAnsi="Noto Sans" w:cs="Noto Sans"/>
          <w:szCs w:val="18"/>
          <w:lang w:val="fr-FR"/>
        </w:rPr>
        <w:t>Kathrin Farr</w:t>
      </w:r>
      <w:r w:rsidR="003A1909" w:rsidRPr="00860ECF">
        <w:rPr>
          <w:rFonts w:ascii="Noto Sans" w:hAnsi="Noto Sans" w:cs="Noto Sans"/>
          <w:szCs w:val="18"/>
          <w:lang w:val="fr-FR"/>
        </w:rPr>
        <w:br/>
        <w:t>Responsable du contenu et rédacteur d'impression numérique</w:t>
      </w:r>
      <w:r w:rsidR="003A1909" w:rsidRPr="00860ECF">
        <w:rPr>
          <w:rFonts w:ascii="Noto Sans" w:hAnsi="Noto Sans" w:cs="Noto Sans"/>
          <w:szCs w:val="18"/>
          <w:lang w:val="fr-FR"/>
        </w:rPr>
        <w:br/>
        <w:t xml:space="preserve">Domino Printing Sciences </w:t>
      </w:r>
      <w:r w:rsidR="003A1909" w:rsidRPr="00860ECF">
        <w:rPr>
          <w:rFonts w:ascii="Noto Sans" w:hAnsi="Noto Sans" w:cs="Noto Sans"/>
          <w:szCs w:val="18"/>
          <w:lang w:val="fr-FR"/>
        </w:rPr>
        <w:br/>
        <w:t xml:space="preserve">Tél. : +44 (0) </w:t>
      </w:r>
      <w:hyperlink r:id="rId13" w:history="1">
        <w:r w:rsidR="003A1909" w:rsidRPr="00860ECF">
          <w:rPr>
            <w:rFonts w:ascii="Noto Sans" w:hAnsi="Noto Sans" w:cs="Noto Sans"/>
            <w:szCs w:val="18"/>
            <w:lang w:val="fr-FR"/>
          </w:rPr>
          <w:t>1954 782 551</w:t>
        </w:r>
      </w:hyperlink>
      <w:r w:rsidR="003A1909" w:rsidRPr="00860ECF">
        <w:rPr>
          <w:rFonts w:ascii="Noto Sans" w:hAnsi="Noto Sans" w:cs="Noto Sans"/>
          <w:szCs w:val="18"/>
          <w:lang w:val="fr-FR"/>
        </w:rPr>
        <w:br/>
      </w:r>
      <w:hyperlink r:id="rId14" w:history="1">
        <w:r w:rsidR="003A1909" w:rsidRPr="00860ECF">
          <w:rPr>
            <w:rStyle w:val="Hyperlink"/>
            <w:rFonts w:ascii="Noto Sans" w:hAnsi="Noto Sans" w:cs="Noto Sans"/>
            <w:szCs w:val="18"/>
            <w:lang w:val="fr-FR"/>
          </w:rPr>
          <w:t>Kathrin.Farr@domino-uk.com</w:t>
        </w:r>
      </w:hyperlink>
      <w:r w:rsidR="003A1909" w:rsidRPr="00860ECF">
        <w:rPr>
          <w:rFonts w:ascii="Noto Sans" w:hAnsi="Noto Sans" w:cs="Noto Sans"/>
          <w:szCs w:val="18"/>
          <w:lang w:val="fr-FR"/>
        </w:rPr>
        <w:t xml:space="preserve"> </w:t>
      </w:r>
      <w:r w:rsidR="003A1909" w:rsidRPr="00860ECF">
        <w:rPr>
          <w:rFonts w:ascii="Noto Sans" w:hAnsi="Noto Sans" w:cs="Noto Sans"/>
          <w:szCs w:val="18"/>
          <w:lang w:val="fr-FR"/>
        </w:rPr>
        <w:br/>
      </w:r>
      <w:r w:rsidR="003A1909" w:rsidRPr="00860ECF">
        <w:rPr>
          <w:rFonts w:ascii="Noto Sans" w:hAnsi="Noto Sans" w:cs="Noto Sans"/>
          <w:szCs w:val="18"/>
          <w:lang w:val="fr-FR"/>
        </w:rPr>
        <w:br/>
      </w:r>
      <w:r w:rsidR="00CB6991" w:rsidRPr="00CB6991">
        <w:rPr>
          <w:rFonts w:ascii="Noto Sans" w:hAnsi="Noto Sans" w:cs="Noto Sans"/>
          <w:szCs w:val="18"/>
          <w:lang w:val="fr-FR"/>
        </w:rPr>
        <w:lastRenderedPageBreak/>
        <w:t xml:space="preserve">Jade Taylor-Salazar </w:t>
      </w:r>
      <w:r w:rsidR="003A1909" w:rsidRPr="00860ECF">
        <w:rPr>
          <w:rFonts w:ascii="Noto Sans" w:hAnsi="Noto Sans" w:cs="Noto Sans"/>
          <w:szCs w:val="18"/>
          <w:lang w:val="fr-FR"/>
        </w:rPr>
        <w:br/>
        <w:t xml:space="preserve">Responsable des relations publiques </w:t>
      </w:r>
      <w:r w:rsidR="003A1909" w:rsidRPr="00860ECF">
        <w:rPr>
          <w:rFonts w:ascii="Noto Sans" w:hAnsi="Noto Sans" w:cs="Noto Sans"/>
          <w:szCs w:val="18"/>
          <w:lang w:val="fr-FR"/>
        </w:rPr>
        <w:br/>
      </w:r>
      <w:r w:rsidR="00CB6991" w:rsidRPr="00CB6991">
        <w:rPr>
          <w:rFonts w:ascii="Noto Sans" w:hAnsi="Noto Sans" w:cs="Noto Sans"/>
          <w:szCs w:val="18"/>
          <w:lang w:val="fr-FR"/>
        </w:rPr>
        <w:t xml:space="preserve">Domino Printing Sciences </w:t>
      </w:r>
      <w:r w:rsidR="00CB6991" w:rsidRPr="00CB6991">
        <w:rPr>
          <w:rFonts w:ascii="Noto Sans" w:hAnsi="Noto Sans" w:cs="Noto Sans"/>
          <w:szCs w:val="18"/>
          <w:lang w:val="fr-FR"/>
        </w:rPr>
        <w:br/>
      </w:r>
      <w:r w:rsidR="00CB6991" w:rsidRPr="00860ECF">
        <w:rPr>
          <w:rFonts w:ascii="Noto Sans" w:hAnsi="Noto Sans" w:cs="Noto Sans"/>
          <w:szCs w:val="18"/>
          <w:lang w:val="fr-FR"/>
        </w:rPr>
        <w:t>Tél</w:t>
      </w:r>
      <w:r w:rsidR="00CB6991">
        <w:rPr>
          <w:rFonts w:ascii="Noto Sans" w:hAnsi="Noto Sans" w:cs="Noto Sans"/>
          <w:szCs w:val="18"/>
          <w:lang w:val="fr-FR"/>
        </w:rPr>
        <w:t xml:space="preserve">. </w:t>
      </w:r>
      <w:r w:rsidR="00CB6991" w:rsidRPr="00CB6991">
        <w:rPr>
          <w:rFonts w:ascii="Noto Sans" w:hAnsi="Noto Sans" w:cs="Noto Sans"/>
          <w:szCs w:val="18"/>
          <w:lang w:val="fr-FR"/>
        </w:rPr>
        <w:t>: +44 (0) 1954 778780</w:t>
      </w:r>
      <w:r w:rsidR="00CB6991" w:rsidRPr="00CB6991">
        <w:rPr>
          <w:rFonts w:ascii="Noto Sans" w:hAnsi="Noto Sans" w:cs="Noto Sans"/>
          <w:szCs w:val="18"/>
          <w:lang w:val="fr-FR"/>
        </w:rPr>
        <w:br/>
      </w:r>
      <w:hyperlink r:id="rId15" w:history="1">
        <w:r w:rsidR="00CB6991" w:rsidRPr="00CB6991">
          <w:rPr>
            <w:rStyle w:val="Hyperlink"/>
            <w:rFonts w:ascii="Noto Sans" w:hAnsi="Noto Sans" w:cs="Noto Sans"/>
            <w:szCs w:val="18"/>
            <w:lang w:val="fr-FR"/>
          </w:rPr>
          <w:t>Jade.Taylor-Salazar@domino-uk.com</w:t>
        </w:r>
      </w:hyperlink>
    </w:p>
    <w:sectPr w:rsidR="003A1909" w:rsidRPr="00860ECF" w:rsidSect="000F6D00">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FBCC6" w14:textId="77777777" w:rsidR="0088223A" w:rsidRDefault="0088223A" w:rsidP="00785717">
      <w:pPr>
        <w:spacing w:line="240" w:lineRule="auto"/>
      </w:pPr>
      <w:r>
        <w:separator/>
      </w:r>
    </w:p>
  </w:endnote>
  <w:endnote w:type="continuationSeparator" w:id="0">
    <w:p w14:paraId="292E55B7" w14:textId="77777777" w:rsidR="0088223A" w:rsidRDefault="0088223A"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Bahnschrift Light"/>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64E9"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58455" w14:textId="77777777" w:rsidR="00785717" w:rsidRDefault="000F6D00" w:rsidP="00785717">
    <w:pPr>
      <w:pStyle w:val="Footer"/>
    </w:pPr>
    <w:r>
      <w:rPr>
        <w:noProof/>
      </w:rPr>
      <w:drawing>
        <wp:anchor distT="0" distB="0" distL="114300" distR="114300" simplePos="0" relativeHeight="251659264" behindDoc="0" locked="0" layoutInCell="1" allowOverlap="1" wp14:anchorId="16E66F78" wp14:editId="214F1CBF">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730E902B" wp14:editId="10BDB816">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0B02"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BB292" w14:textId="77777777" w:rsidR="0088223A" w:rsidRDefault="0088223A" w:rsidP="00785717">
      <w:pPr>
        <w:spacing w:line="240" w:lineRule="auto"/>
      </w:pPr>
      <w:r>
        <w:separator/>
      </w:r>
    </w:p>
  </w:footnote>
  <w:footnote w:type="continuationSeparator" w:id="0">
    <w:p w14:paraId="49863153" w14:textId="77777777" w:rsidR="0088223A" w:rsidRDefault="0088223A"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D9DD"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3B99" w14:textId="77777777" w:rsidR="000F6D00" w:rsidRDefault="002766D9">
    <w:pPr>
      <w:pStyle w:val="Header"/>
    </w:pPr>
    <w:r>
      <w:rPr>
        <w:noProof/>
      </w:rPr>
      <w:drawing>
        <wp:anchor distT="0" distB="0" distL="114300" distR="114300" simplePos="0" relativeHeight="251661312" behindDoc="0" locked="0" layoutInCell="1" allowOverlap="1" wp14:anchorId="5164AC61" wp14:editId="1E35F436">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3F34"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96"/>
    <w:rsid w:val="0002201E"/>
    <w:rsid w:val="000754FF"/>
    <w:rsid w:val="000F6D00"/>
    <w:rsid w:val="001D743C"/>
    <w:rsid w:val="002202E3"/>
    <w:rsid w:val="00240801"/>
    <w:rsid w:val="0027623F"/>
    <w:rsid w:val="002766D9"/>
    <w:rsid w:val="00357D2C"/>
    <w:rsid w:val="00372E92"/>
    <w:rsid w:val="003A135D"/>
    <w:rsid w:val="003A1909"/>
    <w:rsid w:val="003E5E49"/>
    <w:rsid w:val="00432A1B"/>
    <w:rsid w:val="005272B1"/>
    <w:rsid w:val="005524DB"/>
    <w:rsid w:val="005741C7"/>
    <w:rsid w:val="005E6C45"/>
    <w:rsid w:val="00647055"/>
    <w:rsid w:val="00660F46"/>
    <w:rsid w:val="00785717"/>
    <w:rsid w:val="00791A4F"/>
    <w:rsid w:val="008220B7"/>
    <w:rsid w:val="00823B77"/>
    <w:rsid w:val="00866525"/>
    <w:rsid w:val="0088223A"/>
    <w:rsid w:val="008916A8"/>
    <w:rsid w:val="008B6461"/>
    <w:rsid w:val="008E5E0C"/>
    <w:rsid w:val="008F3E38"/>
    <w:rsid w:val="00931996"/>
    <w:rsid w:val="009A1716"/>
    <w:rsid w:val="009A1DEC"/>
    <w:rsid w:val="009B3F01"/>
    <w:rsid w:val="009D6280"/>
    <w:rsid w:val="00A34918"/>
    <w:rsid w:val="00AB11DA"/>
    <w:rsid w:val="00AE32B8"/>
    <w:rsid w:val="00B23C3C"/>
    <w:rsid w:val="00B546C5"/>
    <w:rsid w:val="00B7088D"/>
    <w:rsid w:val="00BC7C15"/>
    <w:rsid w:val="00BD57F7"/>
    <w:rsid w:val="00C063FE"/>
    <w:rsid w:val="00C44603"/>
    <w:rsid w:val="00C541FE"/>
    <w:rsid w:val="00CB6991"/>
    <w:rsid w:val="00CD2F96"/>
    <w:rsid w:val="00CF1AD5"/>
    <w:rsid w:val="00D66051"/>
    <w:rsid w:val="00D71CD4"/>
    <w:rsid w:val="00D724A9"/>
    <w:rsid w:val="00E03029"/>
    <w:rsid w:val="00EC1C5A"/>
    <w:rsid w:val="00F82F7D"/>
    <w:rsid w:val="00FE7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89CA0"/>
  <w15:chartTrackingRefBased/>
  <w15:docId w15:val="{6ACD5D77-B7B5-4560-88A8-37D41BFF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f.co.uk/members/ram.aspx" TargetMode="External"/><Relationship Id="rId13" Type="http://schemas.openxmlformats.org/officeDocument/2006/relationships/hyperlink" Target="tel:+44%20(0)1954%20782%20551"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www.bsigroup.com/en-US/insights-and-media/insights/blogs/extended-producer-responsibility-epr-around-the-world/" TargetMode="External"/><Relationship Id="rId12" Type="http://schemas.openxmlformats.org/officeDocument/2006/relationships/hyperlink" Target="http://www.domino-printing.com"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fr-fr/blog/2024/emballage-connecte-et-l-engagement-des-consommateurs?utm_medium=non-paid&amp;utm_source=onlinepublication&amp;utm_content=pr-dp-EPR&amp;utm_campaign=2026-int-fr-Global-PR-DP-FY26-Q2" TargetMode="External"/><Relationship Id="rId11" Type="http://schemas.openxmlformats.org/officeDocument/2006/relationships/hyperlink" Target="https://www.domino-printing.com/en-gb/blog/2023/the-future-of-traceability-get-ready-for-the-digital-product-passport?utm_medium=non-paid&amp;utm_source=onlinepublication&amp;utm_content=pr-dp-EPR&amp;utm_campaign=2026-int-en-Global-PR-DP-FY26-Q2" TargetMode="External"/><Relationship Id="rId5" Type="http://schemas.openxmlformats.org/officeDocument/2006/relationships/endnotes" Target="endnotes.xml"/><Relationship Id="rId15" Type="http://schemas.openxmlformats.org/officeDocument/2006/relationships/hyperlink" Target="mailto:Jade.Taylor-Salazar@domino-uk.com" TargetMode="External"/><Relationship Id="rId23" Type="http://schemas.openxmlformats.org/officeDocument/2006/relationships/theme" Target="theme/theme1.xml"/><Relationship Id="rId10" Type="http://schemas.openxmlformats.org/officeDocument/2006/relationships/hyperlink" Target="https://www.domino-printing.com/fr-fr/blog/2026/ppwr-and-printing-inks"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plasticcollective.co/design-for-recyclability-2026-new-material-label-additive-restrictions/" TargetMode="External"/><Relationship Id="rId14" Type="http://schemas.openxmlformats.org/officeDocument/2006/relationships/hyperlink" Target="mailto:Kathrin.Farr@domino-uk.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1881</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5</cp:revision>
  <dcterms:created xsi:type="dcterms:W3CDTF">2026-09-03T13:35:00Z</dcterms:created>
  <dcterms:modified xsi:type="dcterms:W3CDTF">2026-09-03T14:06:00Z</dcterms:modified>
</cp:coreProperties>
</file>