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3AE82" w14:textId="77777777" w:rsidR="00B54233" w:rsidRPr="00B54233" w:rsidRDefault="00B54233" w:rsidP="00B54233">
      <w:pPr>
        <w:spacing w:before="120" w:after="120" w:line="240" w:lineRule="auto"/>
        <w:rPr>
          <w:rFonts w:ascii="Noto Sans" w:eastAsia="Times New Roman" w:hAnsi="Noto Sans" w:cs="Noto Sans"/>
          <w:b/>
          <w:bCs/>
          <w:sz w:val="28"/>
          <w:szCs w:val="28"/>
          <w:lang w:val="nl-NL"/>
        </w:rPr>
      </w:pPr>
      <w:r w:rsidRPr="00B54233">
        <w:rPr>
          <w:rFonts w:ascii="Noto Sans" w:eastAsia="Times New Roman" w:hAnsi="Noto Sans" w:cs="Noto Sans"/>
          <w:b/>
          <w:bCs/>
          <w:sz w:val="28"/>
          <w:szCs w:val="28"/>
          <w:lang w:val="nl"/>
        </w:rPr>
        <w:t>EPR voor verpakkingen: Van verpakkingsleverancier naar strategische merkpartner</w:t>
      </w:r>
    </w:p>
    <w:p w14:paraId="25DABA7F" w14:textId="6E15F4F5" w:rsidR="00B54233" w:rsidRPr="00B54233" w:rsidRDefault="00B54233" w:rsidP="00B54233">
      <w:pPr>
        <w:spacing w:before="120" w:after="120" w:line="240" w:lineRule="auto"/>
        <w:rPr>
          <w:rFonts w:ascii="Noto Sans" w:eastAsia="Times New Roman" w:hAnsi="Noto Sans" w:cs="Noto Sans"/>
          <w:i/>
          <w:iCs/>
          <w:sz w:val="22"/>
          <w:lang w:val="nl-NL"/>
        </w:rPr>
      </w:pPr>
      <w:r w:rsidRPr="00B54233">
        <w:rPr>
          <w:rFonts w:ascii="Noto Sans" w:eastAsia="Times New Roman" w:hAnsi="Noto Sans" w:cs="Noto Sans"/>
          <w:i/>
          <w:iCs/>
          <w:sz w:val="22"/>
          <w:lang w:val="nl"/>
        </w:rPr>
        <w:t xml:space="preserve">Wereldwijde regelgeving op het gebied van duurzaamheid zet merken ertoe aan hun verpakkingsstrategieën te herzien. </w:t>
      </w:r>
      <w:hyperlink r:id="rId6" w:history="1">
        <w:r w:rsidRPr="00B54233">
          <w:rPr>
            <w:rFonts w:ascii="Noto Sans" w:eastAsia="Times New Roman" w:hAnsi="Noto Sans" w:cs="Noto Sans"/>
            <w:i/>
            <w:iCs/>
            <w:color w:val="0000EE"/>
            <w:sz w:val="22"/>
            <w:u w:val="single"/>
            <w:lang w:val="nl"/>
          </w:rPr>
          <w:t>Verpakkingen zijn geëvolueerd</w:t>
        </w:r>
      </w:hyperlink>
      <w:r w:rsidRPr="00B54233">
        <w:rPr>
          <w:rFonts w:ascii="Noto Sans" w:eastAsia="Times New Roman" w:hAnsi="Noto Sans" w:cs="Noto Sans"/>
          <w:i/>
          <w:iCs/>
          <w:sz w:val="22"/>
          <w:lang w:val="nl"/>
        </w:rPr>
        <w:t xml:space="preserve"> van eenvoudige productbescherming tot een veelzijdige asset die niet alleen bescherming en naleving van regelgeving biedt, maar ook bijdraagt aan merkcommunicatie en klantbetrokkenheid.</w:t>
      </w:r>
    </w:p>
    <w:p w14:paraId="53316AFC" w14:textId="77777777" w:rsidR="00B54233" w:rsidRPr="00B54233" w:rsidRDefault="00B54233" w:rsidP="00B54233">
      <w:pPr>
        <w:spacing w:before="120" w:after="120" w:line="240" w:lineRule="auto"/>
        <w:rPr>
          <w:rFonts w:ascii="Noto Sans" w:eastAsia="Times New Roman" w:hAnsi="Noto Sans" w:cs="Noto Sans"/>
          <w:i/>
          <w:iCs/>
          <w:sz w:val="22"/>
          <w:lang w:val="nl-NL"/>
        </w:rPr>
      </w:pPr>
      <w:r w:rsidRPr="00B54233">
        <w:rPr>
          <w:rFonts w:ascii="Noto Sans" w:eastAsia="Times New Roman" w:hAnsi="Noto Sans" w:cs="Noto Sans"/>
          <w:i/>
          <w:iCs/>
          <w:sz w:val="22"/>
          <w:lang w:val="nl"/>
        </w:rPr>
        <w:t>Met de invoering van de EU Packaging and Packaging Waste Regulation (PPWR) en lokale regelingen voor Uitgebreide producentenverantwoordelijkheid (EPR) voor verpakkingen, zijn de herbruikbaarheid en recyclebaarheid van verpakkingen een belangrijk aandachtspunt geworden voor merkhouders.</w:t>
      </w:r>
    </w:p>
    <w:p w14:paraId="29E21F03" w14:textId="60EDCAFB" w:rsidR="00B54233" w:rsidRPr="00B54233" w:rsidRDefault="0034051F" w:rsidP="00B54233">
      <w:pPr>
        <w:spacing w:before="120" w:after="120" w:line="240" w:lineRule="auto"/>
        <w:rPr>
          <w:rFonts w:ascii="Noto Sans" w:eastAsia="Times New Roman" w:hAnsi="Noto Sans" w:cs="Noto Sans"/>
          <w:i/>
          <w:iCs/>
          <w:sz w:val="22"/>
          <w:lang w:val="nl-NL"/>
        </w:rPr>
      </w:pPr>
      <w:r>
        <w:rPr>
          <w:rFonts w:ascii="Noto Sans" w:hAnsi="Noto Sans" w:cs="Noto Sans"/>
          <w:i/>
          <w:iCs/>
          <w:sz w:val="22"/>
        </w:rPr>
        <w:t>Mike Barry, Commercial Director, Digital Printing</w:t>
      </w:r>
      <w:r w:rsidRPr="00ED5222">
        <w:rPr>
          <w:rFonts w:ascii="Noto Sans" w:hAnsi="Noto Sans" w:cs="Noto Sans"/>
          <w:i/>
          <w:iCs/>
          <w:sz w:val="22"/>
        </w:rPr>
        <w:t xml:space="preserve">, </w:t>
      </w:r>
      <w:r w:rsidR="00B54233" w:rsidRPr="00B54233">
        <w:rPr>
          <w:rFonts w:ascii="Noto Sans" w:eastAsia="Times New Roman" w:hAnsi="Noto Sans" w:cs="Noto Sans"/>
          <w:i/>
          <w:iCs/>
          <w:sz w:val="22"/>
          <w:lang w:val="nl"/>
        </w:rPr>
        <w:t>Domino, legt uit hoe label- en verpakkingsconverters merken ondersteunen bij 'Design for Recyclability'-initiatieven en naleving van regelgeving voor EPR voor verpakkingen.</w:t>
      </w:r>
    </w:p>
    <w:p w14:paraId="62CC8B48"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b/>
          <w:bCs/>
          <w:sz w:val="22"/>
          <w:lang w:val="nl"/>
        </w:rPr>
        <w:t>Recyclingprioriteit</w:t>
      </w:r>
      <w:r w:rsidRPr="00B54233">
        <w:rPr>
          <w:rFonts w:ascii="Noto Sans" w:eastAsia="Times New Roman" w:hAnsi="Noto Sans" w:cs="Noto Sans"/>
          <w:sz w:val="22"/>
          <w:lang w:val="nl"/>
        </w:rPr>
        <w:t xml:space="preserve"> </w:t>
      </w:r>
    </w:p>
    <w:p w14:paraId="5C083726"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In meer dan </w:t>
      </w:r>
      <w:hyperlink r:id="rId7" w:history="1">
        <w:r w:rsidRPr="00B54233">
          <w:rPr>
            <w:rFonts w:ascii="Noto Sans" w:eastAsia="Times New Roman" w:hAnsi="Noto Sans" w:cs="Noto Sans"/>
            <w:color w:val="0000EE"/>
            <w:sz w:val="22"/>
            <w:u w:val="single"/>
            <w:lang w:val="nl"/>
          </w:rPr>
          <w:t>70 landen wereldwijd</w:t>
        </w:r>
      </w:hyperlink>
      <w:r w:rsidRPr="00B54233">
        <w:rPr>
          <w:rFonts w:ascii="Noto Sans" w:eastAsia="Times New Roman" w:hAnsi="Noto Sans" w:cs="Noto Sans"/>
          <w:sz w:val="22"/>
          <w:lang w:val="nl"/>
        </w:rPr>
        <w:t xml:space="preserve"> worden inmiddels de regelingen voor Uitgebreide producentenverantwoordelijkheid (EPR) voor verpakkingen toegepast. Hoewel de reikwijdte van EPR-kaders per regio kan verschillen, vereist het systeem doorgaans dat merken zich registreren als producenten, verpakkingsvolumes rapporteren en EPR-heffingen betalen. </w:t>
      </w:r>
    </w:p>
    <w:p w14:paraId="42389F85"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Sommige EPR-kaders leggen een verplichting op om minder verpakkingsmateriaal te gebruiken en de recyclebaarheid ervan te verbeteren. Andere vereisen duidelijkere, gestandaardiseerde recyclinglabels om consumenten te helpen verpakkingen correct weg te gooien, met als doel vervuiling in recyclingstromen te elimineren en ervoor te zorgen dat al het recyclaat geschikt is voor hergebruik in de circulaire economie. </w:t>
      </w:r>
    </w:p>
    <w:p w14:paraId="114C8EAE"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Dit raakt elk verpakkingsonderdeel, inclusief labels, ondergronden en drukinkten.</w:t>
      </w:r>
    </w:p>
    <w:p w14:paraId="410A6920" w14:textId="77777777" w:rsidR="00B54233" w:rsidRPr="00B54233" w:rsidRDefault="00B54233" w:rsidP="00B54233">
      <w:pPr>
        <w:spacing w:before="120" w:after="120" w:line="240" w:lineRule="auto"/>
        <w:rPr>
          <w:rFonts w:ascii="Noto Sans" w:eastAsia="Times New Roman" w:hAnsi="Noto Sans" w:cs="Noto Sans"/>
          <w:b/>
          <w:bCs/>
          <w:sz w:val="22"/>
          <w:lang w:val="nl-NL"/>
        </w:rPr>
      </w:pPr>
      <w:r w:rsidRPr="00B54233">
        <w:rPr>
          <w:rFonts w:ascii="Noto Sans" w:eastAsia="Times New Roman" w:hAnsi="Noto Sans" w:cs="Noto Sans"/>
          <w:b/>
          <w:bCs/>
          <w:sz w:val="22"/>
          <w:lang w:val="nl"/>
        </w:rPr>
        <w:t>De implicaties van escalerende kosten</w:t>
      </w:r>
    </w:p>
    <w:p w14:paraId="476FC824"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EPR-kostenstructuren zijn doorgaans gebaseerd op het verpakkingsgewicht of het aantal verpakkingseenheden, waarbij de berekeningsmethoden per regio verschillen. Sommige landen hebben eco-gemoduleerde kostenstructuren ingevoerd om duurzamer verpakkingsontwerp en duurzamere materiaalkeuzes te belonen, en lightweighting met minder milieuvriendelijke materialen te ontmoedigen. </w:t>
      </w:r>
    </w:p>
    <w:p w14:paraId="265DECEA"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In het Verenigd Koninkrijk classificeert eco-modulatie verpakkingsafval binnen een stoplichtsysteem op basis van de </w:t>
      </w:r>
      <w:hyperlink r:id="rId8" w:history="1">
        <w:r w:rsidRPr="00B54233">
          <w:rPr>
            <w:rFonts w:ascii="Noto Sans" w:eastAsia="Times New Roman" w:hAnsi="Noto Sans" w:cs="Noto Sans"/>
            <w:color w:val="0000EE"/>
            <w:sz w:val="22"/>
            <w:u w:val="single"/>
            <w:lang w:val="nl"/>
          </w:rPr>
          <w:t>Recyclability Assessment Methodology (RAM)</w:t>
        </w:r>
      </w:hyperlink>
      <w:r w:rsidRPr="00B54233">
        <w:rPr>
          <w:rFonts w:ascii="Noto Sans" w:eastAsia="Times New Roman" w:hAnsi="Noto Sans" w:cs="Noto Sans"/>
          <w:sz w:val="22"/>
          <w:lang w:val="nl"/>
        </w:rPr>
        <w:t xml:space="preserve">. Materialen die op grote schaal worden gerecycled, profiteren van lagere heffingen, terwijl materialen die moeilijker te recyclen zijn hogere heffingen met zich </w:t>
      </w:r>
      <w:r w:rsidRPr="00B54233">
        <w:rPr>
          <w:rFonts w:ascii="Noto Sans" w:eastAsia="Times New Roman" w:hAnsi="Noto Sans" w:cs="Noto Sans"/>
          <w:sz w:val="22"/>
          <w:lang w:val="nl"/>
        </w:rPr>
        <w:lastRenderedPageBreak/>
        <w:t xml:space="preserve">meebrengen. Slechte inkt- of materiaalkeuzes kunnen anders recyclebare verpakkingen degraderen, wat resulteert in hogere heffingen voor merken. </w:t>
      </w:r>
    </w:p>
    <w:p w14:paraId="7C568CB2"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Door verpakkingsontwerp en materiaalkeuzes rechtstreeks aan kosten, recyclebaarheidsprestaties en de concurrentiepositie op de markt te koppelen, is het duidelijk dat EPR voor merken meer is dan puur een invuloefening. </w:t>
      </w:r>
    </w:p>
    <w:p w14:paraId="1F6071A4"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b/>
          <w:bCs/>
          <w:sz w:val="22"/>
          <w:lang w:val="nl"/>
        </w:rPr>
        <w:t>Recyclebaarheid van verpakkingen verbeteren en heffingen verlagen</w:t>
      </w:r>
    </w:p>
    <w:p w14:paraId="51F4667C"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Converters vervullen een cruciale rol door merken te helpen in te spelen op veranderende regelgeving. Tegelijkertijd maken ze de weg vrij voor duurzamere, circulaire verpakkingen. </w:t>
      </w:r>
    </w:p>
    <w:p w14:paraId="280C8EF2" w14:textId="6FE28D9B"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Naast rapportage, zetten EPR voor verpakkingen en de PPWR merken ertoe aan verpakkingen opnieuw te ontwerpen volgens de </w:t>
      </w:r>
      <w:hyperlink r:id="rId9" w:history="1">
        <w:r w:rsidRPr="00B54233">
          <w:rPr>
            <w:rFonts w:ascii="Noto Sans" w:eastAsia="Times New Roman" w:hAnsi="Noto Sans" w:cs="Noto Sans"/>
            <w:color w:val="0563C1" w:themeColor="hyperlink"/>
            <w:sz w:val="22"/>
            <w:u w:val="single"/>
            <w:lang w:val="nl"/>
          </w:rPr>
          <w:t>Design for Recyclability</w:t>
        </w:r>
      </w:hyperlink>
      <w:r w:rsidRPr="00B54233">
        <w:rPr>
          <w:rFonts w:ascii="Noto Sans" w:eastAsia="Times New Roman" w:hAnsi="Noto Sans" w:cs="Noto Sans"/>
          <w:sz w:val="22"/>
          <w:lang w:val="nl"/>
        </w:rPr>
        <w:t xml:space="preserve">-principes. Dit omvat de overstap naar breed recyclebare verpakkingsmaterialen, het gebruik van kleinere, gemakkelijk verwijderbare labels en het meewegen van de </w:t>
      </w:r>
      <w:hyperlink r:id="rId10" w:anchor="head3?utm_medium=non-paid&amp;utm_source=onlinepublication&amp;utm_content=pr-dp-EPR&amp;utm_campaign=2026-int-nl-Global-PR-DP-FY26-Q2" w:history="1">
        <w:r w:rsidRPr="00B54233">
          <w:rPr>
            <w:rFonts w:ascii="Noto Sans" w:eastAsia="Times New Roman" w:hAnsi="Noto Sans" w:cs="Noto Sans"/>
            <w:color w:val="0563C1" w:themeColor="hyperlink"/>
            <w:sz w:val="22"/>
            <w:u w:val="single"/>
            <w:lang w:val="nl"/>
          </w:rPr>
          <w:t>impact van inkten op recyclingprocessen</w:t>
        </w:r>
      </w:hyperlink>
      <w:r w:rsidRPr="00B54233">
        <w:rPr>
          <w:rFonts w:ascii="Noto Sans" w:eastAsia="Times New Roman" w:hAnsi="Noto Sans" w:cs="Noto Sans"/>
          <w:sz w:val="22"/>
          <w:lang w:val="nl"/>
        </w:rPr>
        <w:t xml:space="preserve">. </w:t>
      </w:r>
    </w:p>
    <w:p w14:paraId="04D4A2F9"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Dit is een uitstekende kans voor converters om waarde toe te voegen voor klanten door tijdens het hele proces nauw samen te werken met merken, verpakkingsontwerpers en materiaalleveranciers. Met een goed begrip van de lokale EPR-kostenstructuren voor verpakkingen en de PPWR-vereisten, in combinatie met expertise in printtechnologie, inkten en ondergronden, kunt u zich van de concurrentie onderscheiden. Converters helpen merken kosteneffectieve, conforme verpakkingen en labels te creëren, terwijl tegelijkertijd wordt voldaan aan marketingdoelstellingen met merkconforme kleuren en uitstekende printkwaliteit.</w:t>
      </w:r>
    </w:p>
    <w:p w14:paraId="6C7CE1C0"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In een wereld waarin verpakkingen nu even nauwgezet worden gecontroleerd als het product zelf, wordt toegang tot hoogwaardige informatie over de materiaalsamenstelling een doorslaggevende factor voor merken bij het kiezen van een verpakkingsleverancier. </w:t>
      </w:r>
    </w:p>
    <w:p w14:paraId="0DED84E7"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Naadloze toegang tot informatie, waaronder materiaalverklaringen over samenstelling en gewicht, evenals nalevingsdocumentatie voor de gebruikte inkten en kleefstoffen, kan de EPR-rapportage van merken transformeren. Deze informatie kan dienen als bewijs voor markttoezichthouders en interne duurzaamheidsaudits en kan, binnen de EU, helpen bij het opstellen van conformiteitsverklaringen onder de PPWR. </w:t>
      </w:r>
    </w:p>
    <w:p w14:paraId="6C105906" w14:textId="77777777" w:rsidR="00B54233" w:rsidRPr="00B54233" w:rsidRDefault="00B54233" w:rsidP="00B54233">
      <w:pPr>
        <w:spacing w:before="120" w:after="120" w:line="240" w:lineRule="auto"/>
        <w:rPr>
          <w:rFonts w:ascii="Noto Sans" w:eastAsia="Times New Roman" w:hAnsi="Noto Sans" w:cs="Noto Sans"/>
          <w:b/>
          <w:bCs/>
          <w:sz w:val="22"/>
          <w:lang w:val="nl-NL"/>
        </w:rPr>
      </w:pPr>
      <w:r w:rsidRPr="00B54233">
        <w:rPr>
          <w:rFonts w:ascii="Noto Sans" w:eastAsia="Times New Roman" w:hAnsi="Noto Sans" w:cs="Noto Sans"/>
          <w:b/>
          <w:bCs/>
          <w:sz w:val="22"/>
          <w:lang w:val="nl"/>
        </w:rPr>
        <w:t>Digitaal printen als een versneller</w:t>
      </w:r>
    </w:p>
    <w:p w14:paraId="4A34237B" w14:textId="34758404"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De focus op recyclebaarheid zal blijven evolueren en een nieuwe mate van flexibiliteit en wendbaarheid van zowel merken als converters vereisen. Met PPWR en EPR-regelgeving voor verpakkingen nog volop in ontwikkeling en met nieuwe initiatieven zoals </w:t>
      </w:r>
      <w:hyperlink r:id="rId11" w:history="1">
        <w:r w:rsidRPr="00B54233">
          <w:rPr>
            <w:rFonts w:ascii="Noto Sans" w:eastAsia="Times New Roman" w:hAnsi="Noto Sans" w:cs="Noto Sans"/>
            <w:color w:val="0000EE"/>
            <w:sz w:val="22"/>
            <w:u w:val="single"/>
            <w:lang w:val="nl"/>
          </w:rPr>
          <w:t>digitale productpaspoorten</w:t>
        </w:r>
      </w:hyperlink>
      <w:r w:rsidRPr="00B54233">
        <w:rPr>
          <w:rFonts w:ascii="Noto Sans" w:eastAsia="Times New Roman" w:hAnsi="Noto Sans" w:cs="Noto Sans"/>
          <w:sz w:val="22"/>
          <w:lang w:val="nl"/>
        </w:rPr>
        <w:t xml:space="preserve"> die voor de deur staan, moeten merken in staat zijn hun verpakkingsontwerpen snel aan te passen. </w:t>
      </w:r>
    </w:p>
    <w:p w14:paraId="4D41F987"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lastRenderedPageBreak/>
        <w:t xml:space="preserve">Digitale printtechnologie is essentieel om verpakkingen snel aan nieuwe regelgeving aan te passen. Converters met toegang tot digitale persen kunnen bovendien efficiënt kortere printruns van verpakkingsvariaties produceren, bijvoorbeeld van verpakkingen die regionale recyclingsymbolen vereisen. </w:t>
      </w:r>
    </w:p>
    <w:p w14:paraId="770E93B2"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Digitaal ondersteunt ook het toevoegen van variabele data-elementen, een belangrijke vereiste voor digitale productpaspoorten. Merken maken gebruik van geprinte, vaak geserialiseerde, QR-codes powered by GS1 om data over materiaal, recyclebaarheid en product- en verpakkingsnaleving te delen via een website of app.</w:t>
      </w:r>
    </w:p>
    <w:p w14:paraId="054503D6"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b/>
          <w:bCs/>
          <w:sz w:val="22"/>
          <w:lang w:val="nl"/>
        </w:rPr>
        <w:t xml:space="preserve">Voorbereiden op de toekomst </w:t>
      </w:r>
    </w:p>
    <w:p w14:paraId="43B0D912"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Hoewel er geen plannen zijn om EPR op EU-niveau te standaardiseren, zetten lokale overheden zich in om hun regelingen af te stemmen op de recyclebaarheidscriteria van de PPWR, EuPIA-naleving en de limieten voor gevaarlijke stoffen. De sector, inclusief merken, fabrikanten en instanties zoals GS1, stimuleert bovendien een grotere consistentie in data, rapportage en verpakkingsontwerp. </w:t>
      </w:r>
    </w:p>
    <w:p w14:paraId="72846772" w14:textId="77777777" w:rsidR="00B54233" w:rsidRPr="00B54233"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 xml:space="preserve">De verpakking wordt steeds meer een gereguleerd activum, een gegevensdrager en een kostenpost voor merken. Merken investeren in verpakkingen voor de toekomst. Dit betekent dat converters die vertrouwd zijn met lokale EPR-regelgeving voor verpakkingen, op de hoogte zijn van ontwikkelingen in recyclebare materialen en in staat zijn om gedetailleerde documentatie aan te leveren, een voorsprong zullen nemen. </w:t>
      </w:r>
    </w:p>
    <w:p w14:paraId="5C816D6F" w14:textId="77777777" w:rsidR="00B54233" w:rsidRPr="0034051F" w:rsidRDefault="00B54233" w:rsidP="00B54233">
      <w:pPr>
        <w:spacing w:before="120" w:after="120" w:line="240" w:lineRule="auto"/>
        <w:rPr>
          <w:rFonts w:ascii="Noto Sans" w:eastAsia="Times New Roman" w:hAnsi="Noto Sans" w:cs="Noto Sans"/>
          <w:sz w:val="22"/>
          <w:lang w:val="nl-NL"/>
        </w:rPr>
      </w:pPr>
      <w:r w:rsidRPr="00B54233">
        <w:rPr>
          <w:rFonts w:ascii="Noto Sans" w:eastAsia="Times New Roman" w:hAnsi="Noto Sans" w:cs="Noto Sans"/>
          <w:sz w:val="22"/>
          <w:lang w:val="nl"/>
        </w:rPr>
        <w:t>EINDE</w:t>
      </w:r>
    </w:p>
    <w:p w14:paraId="13570072" w14:textId="37E65E49" w:rsidR="00B51122" w:rsidRPr="00A62E09" w:rsidRDefault="00D66051" w:rsidP="00B51122">
      <w:pPr>
        <w:spacing w:line="240" w:lineRule="auto"/>
        <w:rPr>
          <w:rFonts w:ascii="Noto Sans" w:eastAsia="Gill Sans" w:hAnsi="Noto Sans" w:cs="Noto Sans"/>
          <w:b/>
          <w:bCs/>
          <w:szCs w:val="18"/>
          <w:lang w:val="nl"/>
        </w:rPr>
      </w:pPr>
      <w:r w:rsidRPr="00CD6370">
        <w:rPr>
          <w:rFonts w:ascii="Noto Sans" w:eastAsia="Gill Sans" w:hAnsi="Noto Sans" w:cs="Noto Sans"/>
          <w:szCs w:val="18"/>
          <w:lang w:val="nl-NL"/>
        </w:rPr>
        <w:br/>
      </w:r>
      <w:r w:rsidR="00B51122" w:rsidRPr="00A62E09">
        <w:rPr>
          <w:rFonts w:ascii="Noto Sans" w:eastAsia="Gill Sans" w:hAnsi="Noto Sans" w:cs="Noto Sans"/>
          <w:b/>
          <w:bCs/>
          <w:szCs w:val="18"/>
          <w:lang w:val="nl"/>
        </w:rPr>
        <w:t>Disclaimers</w:t>
      </w:r>
      <w:r w:rsidR="00B51122" w:rsidRPr="00A62E09">
        <w:rPr>
          <w:rFonts w:ascii="Noto Sans" w:eastAsia="Gill Sans" w:hAnsi="Noto Sans" w:cs="Noto Sans"/>
          <w:b/>
          <w:szCs w:val="18"/>
          <w:lang w:val="nl"/>
        </w:rPr>
        <w:br/>
      </w:r>
      <w:r w:rsidR="00B51122" w:rsidRPr="00A62E09">
        <w:rPr>
          <w:rFonts w:ascii="Noto Sans" w:eastAsia="Gill Sans" w:hAnsi="Noto Sans" w:cs="Noto Sans"/>
          <w:szCs w:val="18"/>
          <w:lang w:val="nl"/>
        </w:rPr>
        <w:br/>
      </w:r>
      <w:r w:rsidR="00B51122" w:rsidRPr="00A62E09">
        <w:rPr>
          <w:rFonts w:ascii="Noto Sans" w:hAnsi="Noto Sans" w:cs="Noto Sans"/>
          <w:b/>
          <w:bCs/>
          <w:szCs w:val="18"/>
          <w:lang w:val="nl"/>
        </w:rPr>
        <w:t>Inkten</w:t>
      </w:r>
      <w:r w:rsidR="00B51122" w:rsidRPr="00A62E09">
        <w:rPr>
          <w:rFonts w:ascii="Noto Sans" w:hAnsi="Noto Sans" w:cs="Noto Sans"/>
          <w:szCs w:val="18"/>
          <w:lang w:val="nl"/>
        </w:rPr>
        <w:br/>
        <w:t xml:space="preserve">De informatie in dit document is niet bedoeld als vervanging voor het uitvoeren van de relevante testen voor uw specifieke gebruik en omstandigheden. Domino UK Limited, Domino Benelux, noch enig ander bedrijf in het Dominoconcern is op enige wijze aansprakelijk voor het vertrouwen dat u stelt in dit document met betrekking tot de geschiktheid van een inkt voor uw specifieke toepassing. Dit document maakt geen deel uit van eventuele algemene voorwaarden tussen u en Domino. De juridische disclaimers v.1.0 van februari 2018 en de algemene verkoopvoorwaarden van Domino en met name de garanties en aansprakelijkheden daarin zijn van toepassing op alle door u gekochte producten. </w:t>
      </w:r>
      <w:r w:rsidR="00B51122" w:rsidRPr="00A62E09">
        <w:rPr>
          <w:rFonts w:ascii="Noto Sans" w:hAnsi="Noto Sans" w:cs="Noto Sans"/>
          <w:szCs w:val="18"/>
          <w:lang w:val="nl"/>
        </w:rPr>
        <w:br/>
      </w:r>
      <w:r w:rsidR="00B51122" w:rsidRPr="00A62E09">
        <w:rPr>
          <w:rFonts w:ascii="Noto Sans" w:hAnsi="Noto Sans" w:cs="Noto Sans"/>
          <w:szCs w:val="18"/>
          <w:lang w:val="nl"/>
        </w:rPr>
        <w:br/>
      </w:r>
      <w:r w:rsidR="00B51122" w:rsidRPr="00A62E09">
        <w:rPr>
          <w:rFonts w:ascii="Noto Sans" w:hAnsi="Noto Sans" w:cs="Noto Sans"/>
          <w:b/>
          <w:bCs/>
          <w:szCs w:val="18"/>
          <w:lang w:val="nl"/>
        </w:rPr>
        <w:t>Algemeen</w:t>
      </w:r>
      <w:r w:rsidR="00B51122" w:rsidRPr="00B51122">
        <w:rPr>
          <w:rFonts w:ascii="Noto Sans" w:hAnsi="Noto Sans" w:cs="Noto Sans"/>
          <w:szCs w:val="18"/>
          <w:lang w:val="nl"/>
        </w:rPr>
        <w:br/>
      </w:r>
      <w:r w:rsidR="00E12D5F" w:rsidRPr="00E12D5F">
        <w:rPr>
          <w:rFonts w:ascii="Noto Sans" w:hAnsi="Noto Sans" w:cs="Noto Sans"/>
          <w:szCs w:val="18"/>
          <w:lang w:val="nl"/>
        </w:rPr>
        <w:t>De informatie in dit persbericht wordt geacht juist en correct te zijn op de datum van publicatie door Domino. Wijzigingen in de omstandigheden na het tijdstip van publicatie kunnen de nauwkeurigheid van de informatie beïnvloeden.</w:t>
      </w:r>
      <w:r w:rsidR="00E12D5F">
        <w:rPr>
          <w:rFonts w:ascii="Noto Sans" w:hAnsi="Noto Sans" w:cs="Noto Sans"/>
          <w:szCs w:val="18"/>
          <w:lang w:val="nl"/>
        </w:rPr>
        <w:t xml:space="preserve"> </w:t>
      </w:r>
      <w:r w:rsidR="00B51122" w:rsidRPr="00A62E09">
        <w:rPr>
          <w:rFonts w:ascii="Noto Sans" w:hAnsi="Noto Sans" w:cs="Noto Sans"/>
          <w:szCs w:val="18"/>
          <w:lang w:val="nl"/>
        </w:rPr>
        <w:t>Alle aan prestatie gerelateerde cijfers en uitspraken die in dit document zijn vermeld, zijn verkregen onder specifieke omstandigheden en kunnen alleen onder vergelijkbare omstandigheden worden gerepliceerd. Specifieke productinformatie kunt u altijd verkrijgen van uw Domino Account Manager. Dit document maakt geen deel uit van eventuele algemene voorwaarden tussen u en Domino.</w:t>
      </w:r>
      <w:r w:rsidR="00B51122" w:rsidRPr="00A62E09">
        <w:rPr>
          <w:rFonts w:ascii="Noto Sans" w:hAnsi="Noto Sans" w:cs="Noto Sans"/>
          <w:szCs w:val="18"/>
          <w:lang w:val="nl"/>
        </w:rPr>
        <w:br/>
      </w:r>
      <w:r w:rsidR="00B51122" w:rsidRPr="00A62E09">
        <w:rPr>
          <w:rFonts w:ascii="Noto Sans" w:hAnsi="Noto Sans" w:cs="Noto Sans"/>
          <w:szCs w:val="18"/>
          <w:lang w:val="nl"/>
        </w:rPr>
        <w:br/>
      </w:r>
      <w:r w:rsidR="00B51122" w:rsidRPr="00A62E09">
        <w:rPr>
          <w:rFonts w:ascii="Noto Sans" w:hAnsi="Noto Sans" w:cs="Noto Sans"/>
          <w:b/>
          <w:bCs/>
          <w:szCs w:val="18"/>
          <w:lang w:val="nl"/>
        </w:rPr>
        <w:t>Afbeeldingen</w:t>
      </w:r>
      <w:r w:rsidR="00B51122" w:rsidRPr="00A62E09">
        <w:rPr>
          <w:rFonts w:ascii="Noto Sans" w:hAnsi="Noto Sans" w:cs="Noto Sans"/>
          <w:szCs w:val="18"/>
          <w:lang w:val="nl"/>
        </w:rPr>
        <w:br/>
      </w:r>
      <w:r w:rsidR="00B51122" w:rsidRPr="00A62E09">
        <w:rPr>
          <w:rFonts w:ascii="Noto Sans" w:hAnsi="Noto Sans" w:cs="Noto Sans"/>
          <w:szCs w:val="18"/>
          <w:lang w:val="nl"/>
        </w:rPr>
        <w:lastRenderedPageBreak/>
        <w:t xml:space="preserve">Afbeeldingen kunnen opties en upgrades tonen. De printkwaliteit kan verschillen afhankelijk van de verbruiksproducten, printer, substraten en andere factoren. Afbeeldingen en foto’s maken geen deel uit van eventuele algemene voorwaarden tussen u en Domino. </w:t>
      </w:r>
      <w:r w:rsidR="00B51122" w:rsidRPr="00A62E09">
        <w:rPr>
          <w:rFonts w:ascii="Noto Sans" w:hAnsi="Noto Sans" w:cs="Noto Sans"/>
          <w:szCs w:val="18"/>
          <w:lang w:val="nl"/>
        </w:rPr>
        <w:br/>
      </w:r>
      <w:r w:rsidR="00B51122" w:rsidRPr="00A62E09">
        <w:rPr>
          <w:rFonts w:ascii="Noto Sans" w:hAnsi="Noto Sans" w:cs="Noto Sans"/>
          <w:szCs w:val="18"/>
          <w:lang w:val="nl"/>
        </w:rPr>
        <w:br/>
      </w:r>
      <w:r w:rsidR="00B51122" w:rsidRPr="00A62E09">
        <w:rPr>
          <w:rFonts w:ascii="Noto Sans" w:hAnsi="Noto Sans" w:cs="Noto Sans"/>
          <w:b/>
          <w:bCs/>
          <w:szCs w:val="18"/>
          <w:lang w:val="nl"/>
        </w:rPr>
        <w:t>Video's</w:t>
      </w:r>
      <w:r w:rsidR="00B51122" w:rsidRPr="00A62E09">
        <w:rPr>
          <w:rFonts w:ascii="Noto Sans" w:hAnsi="Noto Sans" w:cs="Noto Sans"/>
          <w:szCs w:val="18"/>
          <w:lang w:val="nl"/>
        </w:rPr>
        <w:br/>
        <w:t>Deze video is ter illustratie en kan optionele extra’s bevatten. Prestatiecijfers zijn verkregen onder specifieke omstandigheden, individuele prestaties kunnen afwijken. Fouten en downtime op productielijnen kunnen onvermijdelijk zijn. Niets in deze video maakt enig onderdeel uit van een contract tussen u en Domino.</w:t>
      </w:r>
      <w:r w:rsidR="00B51122" w:rsidRPr="00A62E09">
        <w:rPr>
          <w:rFonts w:ascii="Noto Sans" w:hAnsi="Noto Sans" w:cs="Noto Sans"/>
          <w:szCs w:val="18"/>
          <w:lang w:val="nl"/>
        </w:rPr>
        <w:br/>
      </w:r>
      <w:r w:rsidR="00B51122" w:rsidRPr="00A62E09">
        <w:rPr>
          <w:rFonts w:ascii="Noto Sans" w:eastAsia="Gill Sans" w:hAnsi="Noto Sans" w:cs="Noto Sans"/>
          <w:szCs w:val="18"/>
          <w:lang w:val="nl"/>
        </w:rPr>
        <w:br/>
      </w:r>
      <w:bookmarkStart w:id="0" w:name="_Hlk61949672"/>
      <w:r w:rsidR="00B51122" w:rsidRPr="00A62E09">
        <w:rPr>
          <w:rFonts w:ascii="Noto Sans" w:eastAsia="Gill Sans" w:hAnsi="Noto Sans" w:cs="Noto Sans"/>
          <w:b/>
          <w:szCs w:val="18"/>
          <w:lang w:val="nl"/>
        </w:rPr>
        <w:br/>
      </w:r>
      <w:r w:rsidR="00B51122" w:rsidRPr="00A62E09">
        <w:rPr>
          <w:rFonts w:ascii="Noto Sans" w:eastAsia="Gill Sans" w:hAnsi="Noto Sans" w:cs="Noto Sans"/>
          <w:b/>
          <w:bCs/>
          <w:szCs w:val="18"/>
          <w:lang w:val="nl"/>
        </w:rPr>
        <w:t>Opmerkingen voor de redactie:</w:t>
      </w:r>
      <w:r w:rsidR="00B51122" w:rsidRPr="00A62E09">
        <w:rPr>
          <w:rFonts w:ascii="Noto Sans" w:eastAsia="Gill Sans" w:hAnsi="Noto Sans" w:cs="Noto Sans"/>
          <w:b/>
          <w:szCs w:val="18"/>
          <w:lang w:val="nl"/>
        </w:rPr>
        <w:br/>
      </w:r>
      <w:r w:rsidR="00B51122" w:rsidRPr="00A62E09">
        <w:rPr>
          <w:rFonts w:ascii="Noto Sans" w:eastAsia="Gill Sans" w:hAnsi="Noto Sans" w:cs="Noto Sans"/>
          <w:szCs w:val="18"/>
          <w:lang w:val="nl"/>
        </w:rPr>
        <w:br/>
      </w:r>
      <w:r w:rsidR="00B51122" w:rsidRPr="00A62E09">
        <w:rPr>
          <w:rFonts w:ascii="Noto Sans" w:eastAsia="Gill Sans" w:hAnsi="Noto Sans" w:cs="Noto Sans"/>
          <w:b/>
          <w:bCs/>
          <w:szCs w:val="18"/>
          <w:lang w:val="nl"/>
        </w:rPr>
        <w:t>Over Domino</w:t>
      </w:r>
      <w:r w:rsidR="00B51122" w:rsidRPr="00A62E09">
        <w:rPr>
          <w:rFonts w:ascii="Noto Sans" w:eastAsia="Gill Sans" w:hAnsi="Noto Sans" w:cs="Noto Sans"/>
          <w:b/>
          <w:szCs w:val="18"/>
          <w:lang w:val="nl"/>
        </w:rPr>
        <w:br/>
      </w:r>
      <w:r w:rsidR="00B51122" w:rsidRPr="00A62E09">
        <w:rPr>
          <w:rFonts w:ascii="Noto Sans" w:eastAsia="Gill Sans" w:hAnsi="Noto Sans" w:cs="Noto Sans"/>
          <w:szCs w:val="18"/>
          <w:lang w:val="nl"/>
        </w:rPr>
        <w:br/>
        <w:t>Digital Printing Solutions is een divisie binnen Domino Printing Sciences. Het bedrijf is opgericht in 1978 en heeft wereldwijd een reputatie opgebouwd voor zowel de ontwikkeling en productie van codeer-, markeer- en printtechnologieën als internationale aftermarketproducten en diensten aan haar klanten.  De divisie levert onder meer digitale inkjetprinters en besturingssystemen aan de grafische sector, met oplossingen voor een complete reeks toepassingen voor het printen van labels en variabele data.</w:t>
      </w:r>
      <w:r w:rsidR="00B51122" w:rsidRPr="00A62E09">
        <w:rPr>
          <w:rFonts w:ascii="Noto Sans" w:eastAsia="Gill Sans" w:hAnsi="Noto Sans" w:cs="Noto Sans"/>
          <w:szCs w:val="18"/>
          <w:lang w:val="nl"/>
        </w:rPr>
        <w:br/>
      </w:r>
      <w:r w:rsidR="00B51122" w:rsidRPr="00A62E09">
        <w:rPr>
          <w:rFonts w:ascii="Noto Sans" w:eastAsia="Gill Sans" w:hAnsi="Noto Sans" w:cs="Noto Sans"/>
          <w:szCs w:val="18"/>
          <w:lang w:val="nl"/>
        </w:rPr>
        <w:br/>
        <w:t>Alle printers van Domino leveren de hoge snelheid en kwaliteit die in commerciële printomgevingen vereist zijn. Ze zijn uitgerust met nieuwe functionaliteiten voor verschillende toepassingen, zoals etikettering, publicaties en veiligheidsdrukwerk, transacties, verpakkingen, plastic kaarten, tickets, spelkaarten en -formulieren en direct mail en de postsector.</w:t>
      </w:r>
      <w:r w:rsidR="00B51122" w:rsidRPr="00A62E09">
        <w:rPr>
          <w:rFonts w:ascii="Noto Sans" w:eastAsia="Gill Sans" w:hAnsi="Noto Sans" w:cs="Noto Sans"/>
          <w:szCs w:val="18"/>
          <w:lang w:val="nl"/>
        </w:rPr>
        <w:br/>
        <w:t>Bij Domino werken wereldwijd meer dan 3000 mensen. Wij zijn actief in ruim 120 landen via een wereldwijd netwerk van 29 dochterondernemingen en meer dan 200 distributeurs. De productiefaciliteiten van Domino zijn gevestigd in China, Duitsland, India, Zweden, Zwitserland, het Verenigd Koninkrijk en de VS.</w:t>
      </w:r>
      <w:r w:rsidR="00B51122" w:rsidRPr="00A62E09">
        <w:rPr>
          <w:rFonts w:ascii="Noto Sans" w:eastAsia="Gill Sans" w:hAnsi="Noto Sans" w:cs="Noto Sans"/>
          <w:szCs w:val="18"/>
          <w:lang w:val="nl"/>
        </w:rPr>
        <w:br/>
      </w:r>
      <w:r w:rsidR="00B51122" w:rsidRPr="00A62E09">
        <w:rPr>
          <w:rFonts w:ascii="Noto Sans" w:eastAsia="Gill Sans" w:hAnsi="Noto Sans" w:cs="Noto Sans"/>
          <w:szCs w:val="18"/>
          <w:lang w:val="nl"/>
        </w:rPr>
        <w:br/>
        <w:t xml:space="preserve">Op 11 juni 2015 werd Domino een zelfstandige divisie binnen Brother Industries Ltd. </w:t>
      </w:r>
      <w:r w:rsidR="00B51122" w:rsidRPr="00CD6370">
        <w:rPr>
          <w:rFonts w:ascii="Noto Sans" w:eastAsia="Gill Sans" w:hAnsi="Noto Sans" w:cs="Noto Sans"/>
          <w:szCs w:val="18"/>
          <w:lang w:val="nl-NL"/>
        </w:rPr>
        <w:br/>
      </w:r>
      <w:r w:rsidR="00B51122" w:rsidRPr="00CD6370">
        <w:rPr>
          <w:rFonts w:ascii="Noto Sans" w:eastAsia="Gill Sans" w:hAnsi="Noto Sans" w:cs="Noto Sans"/>
          <w:szCs w:val="18"/>
          <w:lang w:val="nl-NL"/>
        </w:rPr>
        <w:br/>
      </w:r>
      <w:r w:rsidR="00B51122" w:rsidRPr="00A62E09">
        <w:rPr>
          <w:rFonts w:ascii="Noto Sans" w:eastAsia="Gill Sans" w:hAnsi="Noto Sans" w:cs="Noto Sans"/>
          <w:szCs w:val="18"/>
          <w:lang w:val="nl"/>
        </w:rPr>
        <w:t xml:space="preserve">Ga voor meer informatie over Domino naar </w:t>
      </w:r>
      <w:hyperlink r:id="rId12" w:history="1">
        <w:r w:rsidR="00B51122" w:rsidRPr="00A62E09">
          <w:rPr>
            <w:rStyle w:val="Hyperlink"/>
            <w:rFonts w:ascii="Noto Sans" w:eastAsia="Gill Sans" w:hAnsi="Noto Sans" w:cs="Noto Sans"/>
            <w:szCs w:val="18"/>
            <w:lang w:val="nl"/>
          </w:rPr>
          <w:t>www.dominobenelux.com</w:t>
        </w:r>
      </w:hyperlink>
      <w:r w:rsidR="00B51122" w:rsidRPr="00A62E09">
        <w:rPr>
          <w:rFonts w:ascii="Noto Sans" w:eastAsia="Gill Sans" w:hAnsi="Noto Sans" w:cs="Noto Sans"/>
          <w:szCs w:val="18"/>
          <w:lang w:val="nl"/>
        </w:rPr>
        <w:t xml:space="preserve"> </w:t>
      </w:r>
      <w:r w:rsidR="00B51122" w:rsidRPr="00CD6370">
        <w:rPr>
          <w:rFonts w:ascii="Noto Sans" w:eastAsia="Gill Sans" w:hAnsi="Noto Sans" w:cs="Noto Sans"/>
          <w:szCs w:val="18"/>
          <w:lang w:val="nl-NL"/>
        </w:rPr>
        <w:br/>
      </w:r>
      <w:r w:rsidR="00B51122" w:rsidRPr="00CD6370">
        <w:rPr>
          <w:rFonts w:ascii="Noto Sans" w:eastAsia="Gill Sans" w:hAnsi="Noto Sans" w:cs="Noto Sans"/>
          <w:szCs w:val="18"/>
          <w:lang w:val="nl-NL"/>
        </w:rPr>
        <w:br/>
      </w:r>
      <w:r w:rsidR="00B51122" w:rsidRPr="00A62E09">
        <w:rPr>
          <w:rFonts w:ascii="Noto Sans" w:eastAsia="Gill Sans" w:hAnsi="Noto Sans" w:cs="Noto Sans"/>
          <w:b/>
          <w:bCs/>
          <w:szCs w:val="18"/>
          <w:lang w:val="nl"/>
        </w:rPr>
        <w:t>Voor meer informatie neemt u contact op met:</w:t>
      </w:r>
      <w:bookmarkEnd w:id="0"/>
    </w:p>
    <w:p w14:paraId="0BB8E3CB" w14:textId="18D40A73" w:rsidR="003A1909" w:rsidRPr="00B51122" w:rsidRDefault="00B51122" w:rsidP="00B51122">
      <w:pPr>
        <w:spacing w:line="240" w:lineRule="auto"/>
        <w:rPr>
          <w:rFonts w:ascii="Noto Sans" w:hAnsi="Noto Sans" w:cs="Noto Sans"/>
          <w:lang w:val="nl"/>
        </w:rPr>
      </w:pPr>
      <w:r w:rsidRPr="00A62E09">
        <w:rPr>
          <w:rFonts w:ascii="Noto Sans" w:hAnsi="Noto Sans" w:cs="Noto Sans"/>
          <w:szCs w:val="18"/>
          <w:lang w:val="nl"/>
        </w:rPr>
        <w:t>Kathrin Farr</w:t>
      </w:r>
      <w:r w:rsidRPr="00A62E09">
        <w:rPr>
          <w:rFonts w:ascii="Noto Sans" w:hAnsi="Noto Sans" w:cs="Noto Sans"/>
          <w:szCs w:val="18"/>
          <w:lang w:val="nl"/>
        </w:rPr>
        <w:br/>
        <w:t xml:space="preserve">Content Executive and Copywriter  </w:t>
      </w:r>
      <w:r w:rsidRPr="00A62E09">
        <w:rPr>
          <w:rFonts w:ascii="Noto Sans" w:hAnsi="Noto Sans" w:cs="Noto Sans"/>
          <w:szCs w:val="18"/>
          <w:lang w:val="nl"/>
        </w:rPr>
        <w:br/>
        <w:t>Domino Printing Sciences</w:t>
      </w:r>
      <w:r w:rsidRPr="00A62E09">
        <w:rPr>
          <w:rFonts w:ascii="Noto Sans" w:hAnsi="Noto Sans" w:cs="Noto Sans"/>
          <w:szCs w:val="18"/>
          <w:lang w:val="nl"/>
        </w:rPr>
        <w:br/>
        <w:t>Tel: +44 (0) 1954 782551</w:t>
      </w:r>
      <w:r w:rsidRPr="00A62E09">
        <w:rPr>
          <w:rFonts w:ascii="Noto Sans" w:hAnsi="Noto Sans" w:cs="Noto Sans"/>
          <w:szCs w:val="18"/>
          <w:lang w:val="nl"/>
        </w:rPr>
        <w:br/>
      </w:r>
      <w:hyperlink r:id="rId13" w:history="1">
        <w:r w:rsidRPr="00A62E09">
          <w:rPr>
            <w:rFonts w:ascii="Noto Sans" w:hAnsi="Noto Sans" w:cs="Noto Sans"/>
            <w:color w:val="0000FF"/>
            <w:szCs w:val="18"/>
            <w:u w:val="single"/>
            <w:lang w:val="nl"/>
          </w:rPr>
          <w:t>Kathrin.Farr@domino-uk.com</w:t>
        </w:r>
      </w:hyperlink>
      <w:r w:rsidRPr="00A62E09">
        <w:rPr>
          <w:rFonts w:ascii="Noto Sans" w:hAnsi="Noto Sans" w:cs="Noto Sans"/>
          <w:color w:val="0000FF"/>
          <w:szCs w:val="18"/>
          <w:u w:val="single"/>
          <w:lang w:val="nl"/>
        </w:rPr>
        <w:t xml:space="preserve"> </w:t>
      </w:r>
      <w:r w:rsidRPr="00A62E09">
        <w:rPr>
          <w:rFonts w:ascii="Noto Sans" w:hAnsi="Noto Sans" w:cs="Noto Sans"/>
          <w:color w:val="0000FF"/>
          <w:szCs w:val="18"/>
          <w:u w:val="single"/>
          <w:lang w:val="nl"/>
        </w:rPr>
        <w:br/>
      </w:r>
      <w:r w:rsidRPr="00A62E09">
        <w:rPr>
          <w:rFonts w:ascii="Noto Sans" w:hAnsi="Noto Sans" w:cs="Noto Sans"/>
          <w:szCs w:val="18"/>
          <w:lang w:val="nl"/>
        </w:rPr>
        <w:br/>
      </w:r>
      <w:r w:rsidR="00CD6370" w:rsidRPr="00CD6370">
        <w:rPr>
          <w:rFonts w:ascii="Noto Sans" w:hAnsi="Noto Sans" w:cs="Noto Sans"/>
          <w:szCs w:val="18"/>
          <w:lang w:val="nl"/>
        </w:rPr>
        <w:t xml:space="preserve">Jade Taylor-Salazar </w:t>
      </w:r>
      <w:r w:rsidR="00CD6370" w:rsidRPr="00CD6370">
        <w:rPr>
          <w:rFonts w:ascii="Noto Sans" w:hAnsi="Noto Sans" w:cs="Noto Sans"/>
          <w:szCs w:val="18"/>
          <w:lang w:val="nl"/>
        </w:rPr>
        <w:br/>
        <w:t xml:space="preserve">PR and Content Manager </w:t>
      </w:r>
      <w:r w:rsidR="00CD6370" w:rsidRPr="00CD6370">
        <w:rPr>
          <w:rFonts w:ascii="Noto Sans" w:hAnsi="Noto Sans" w:cs="Noto Sans"/>
          <w:szCs w:val="18"/>
          <w:lang w:val="nl"/>
        </w:rPr>
        <w:br/>
        <w:t xml:space="preserve">Domino Printing Sciences </w:t>
      </w:r>
      <w:r w:rsidR="00CD6370" w:rsidRPr="00CD6370">
        <w:rPr>
          <w:rFonts w:ascii="Noto Sans" w:hAnsi="Noto Sans" w:cs="Noto Sans"/>
          <w:szCs w:val="18"/>
          <w:lang w:val="nl"/>
        </w:rPr>
        <w:br/>
        <w:t>Tel: +44 (0) 1954 778780</w:t>
      </w:r>
      <w:r w:rsidR="00CD6370" w:rsidRPr="00CD6370">
        <w:rPr>
          <w:rFonts w:ascii="Noto Sans" w:hAnsi="Noto Sans" w:cs="Noto Sans"/>
          <w:szCs w:val="18"/>
          <w:lang w:val="nl"/>
        </w:rPr>
        <w:br/>
      </w:r>
      <w:hyperlink r:id="rId14" w:history="1">
        <w:r w:rsidR="00CD6370" w:rsidRPr="00CD6370">
          <w:rPr>
            <w:rStyle w:val="Hyperlink"/>
            <w:rFonts w:ascii="Noto Sans" w:hAnsi="Noto Sans" w:cs="Noto Sans"/>
            <w:szCs w:val="18"/>
            <w:lang w:val="nl"/>
          </w:rPr>
          <w:t>Jade.Taylor-Salazar@domino-uk.com</w:t>
        </w:r>
      </w:hyperlink>
      <w:r w:rsidR="003038E5" w:rsidRPr="003038E5">
        <w:rPr>
          <w:rFonts w:ascii="Noto Sans" w:hAnsi="Noto Sans" w:cs="Noto Sans"/>
          <w:szCs w:val="18"/>
          <w:lang w:val="nl"/>
        </w:rPr>
        <w:br/>
      </w:r>
      <w:r w:rsidRPr="00A62E09">
        <w:rPr>
          <w:rFonts w:ascii="Noto Sans" w:hAnsi="Noto Sans" w:cs="Noto Sans"/>
          <w:szCs w:val="18"/>
          <w:lang w:val="nl"/>
        </w:rPr>
        <w:br/>
      </w:r>
      <w:r w:rsidRPr="00A62E09">
        <w:rPr>
          <w:rFonts w:ascii="Noto Sans" w:hAnsi="Noto Sans" w:cs="Noto Sans"/>
          <w:szCs w:val="18"/>
          <w:lang w:val="nl"/>
        </w:rPr>
        <w:br/>
      </w:r>
    </w:p>
    <w:sectPr w:rsidR="003A1909" w:rsidRPr="00B51122"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8740" w14:textId="77777777" w:rsidR="00CD79C4" w:rsidRDefault="00CD79C4" w:rsidP="00785717">
      <w:pPr>
        <w:spacing w:line="240" w:lineRule="auto"/>
      </w:pPr>
      <w:r>
        <w:separator/>
      </w:r>
    </w:p>
  </w:endnote>
  <w:endnote w:type="continuationSeparator" w:id="0">
    <w:p w14:paraId="1853701A" w14:textId="77777777" w:rsidR="00CD79C4" w:rsidRDefault="00CD79C4"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Bahnschrift Light"/>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1E60"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645E" w14:textId="77777777" w:rsidR="00785717" w:rsidRDefault="000F6D00" w:rsidP="00785717">
    <w:pPr>
      <w:pStyle w:val="Footer"/>
    </w:pPr>
    <w:r>
      <w:rPr>
        <w:noProof/>
      </w:rPr>
      <w:drawing>
        <wp:anchor distT="0" distB="0" distL="114300" distR="114300" simplePos="0" relativeHeight="251659264" behindDoc="0" locked="0" layoutInCell="1" allowOverlap="1" wp14:anchorId="0DBFD8BB" wp14:editId="13EA269F">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18D86D71" wp14:editId="41EB4D0F">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791B"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8780" w14:textId="77777777" w:rsidR="00CD79C4" w:rsidRDefault="00CD79C4" w:rsidP="00785717">
      <w:pPr>
        <w:spacing w:line="240" w:lineRule="auto"/>
      </w:pPr>
      <w:r>
        <w:separator/>
      </w:r>
    </w:p>
  </w:footnote>
  <w:footnote w:type="continuationSeparator" w:id="0">
    <w:p w14:paraId="5E19736B" w14:textId="77777777" w:rsidR="00CD79C4" w:rsidRDefault="00CD79C4"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4ADB6"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F7C1" w14:textId="77777777" w:rsidR="000F6D00" w:rsidRDefault="002766D9">
    <w:pPr>
      <w:pStyle w:val="Header"/>
    </w:pPr>
    <w:r>
      <w:rPr>
        <w:noProof/>
      </w:rPr>
      <w:drawing>
        <wp:anchor distT="0" distB="0" distL="114300" distR="114300" simplePos="0" relativeHeight="251661312" behindDoc="0" locked="0" layoutInCell="1" allowOverlap="1" wp14:anchorId="762B58A7" wp14:editId="77F504A3">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D033"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8E5"/>
    <w:rsid w:val="0002201E"/>
    <w:rsid w:val="000F6D00"/>
    <w:rsid w:val="001D743C"/>
    <w:rsid w:val="002202E3"/>
    <w:rsid w:val="00240801"/>
    <w:rsid w:val="002766D9"/>
    <w:rsid w:val="003038E5"/>
    <w:rsid w:val="0034051F"/>
    <w:rsid w:val="00372E92"/>
    <w:rsid w:val="003A1909"/>
    <w:rsid w:val="00432A1B"/>
    <w:rsid w:val="005272B1"/>
    <w:rsid w:val="005524DB"/>
    <w:rsid w:val="005741C7"/>
    <w:rsid w:val="005E6C45"/>
    <w:rsid w:val="00647055"/>
    <w:rsid w:val="00660F46"/>
    <w:rsid w:val="00785717"/>
    <w:rsid w:val="00791A4F"/>
    <w:rsid w:val="008220B7"/>
    <w:rsid w:val="00823B77"/>
    <w:rsid w:val="008916A8"/>
    <w:rsid w:val="008B6461"/>
    <w:rsid w:val="008E5E0C"/>
    <w:rsid w:val="008F3E38"/>
    <w:rsid w:val="00931996"/>
    <w:rsid w:val="00940BF7"/>
    <w:rsid w:val="009A1716"/>
    <w:rsid w:val="009A1DEC"/>
    <w:rsid w:val="009A30D2"/>
    <w:rsid w:val="009D6280"/>
    <w:rsid w:val="00A34918"/>
    <w:rsid w:val="00AB11DA"/>
    <w:rsid w:val="00AF3089"/>
    <w:rsid w:val="00B23C3C"/>
    <w:rsid w:val="00B51122"/>
    <w:rsid w:val="00B54233"/>
    <w:rsid w:val="00B546C5"/>
    <w:rsid w:val="00B7088D"/>
    <w:rsid w:val="00B85689"/>
    <w:rsid w:val="00B900E8"/>
    <w:rsid w:val="00BC7C15"/>
    <w:rsid w:val="00C063FE"/>
    <w:rsid w:val="00C44603"/>
    <w:rsid w:val="00C541FE"/>
    <w:rsid w:val="00CD6370"/>
    <w:rsid w:val="00CD79C4"/>
    <w:rsid w:val="00CF1AD5"/>
    <w:rsid w:val="00D023ED"/>
    <w:rsid w:val="00D66051"/>
    <w:rsid w:val="00E03029"/>
    <w:rsid w:val="00E12D5F"/>
    <w:rsid w:val="00EC1C5A"/>
    <w:rsid w:val="00F658D1"/>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EBF4A"/>
  <w15:chartTrackingRefBased/>
  <w15:docId w15:val="{749591FB-5139-46AA-8464-A22C30570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f.co.uk/members/ram.aspx" TargetMode="External"/><Relationship Id="rId13" Type="http://schemas.openxmlformats.org/officeDocument/2006/relationships/hyperlink" Target="mailto:Kathrin.Farr@domino-uk.com"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bsigroup.com/en-US/insights-and-media/insights/blogs/extended-producer-responsibility-epr-around-the-world/" TargetMode="External"/><Relationship Id="rId12" Type="http://schemas.openxmlformats.org/officeDocument/2006/relationships/hyperlink" Target="http://www.dominobenelux.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nl-nl/blog/2024/slimme-verpakkingen-voor-customer-engagement?utm_medium=non-paid&amp;utm_source=onlinepublication&amp;utm_content=pr-dp-EPR&amp;utm_campaign=2026-int-nl-Global-PR-DP-FY26-Q2" TargetMode="External"/><Relationship Id="rId11" Type="http://schemas.openxmlformats.org/officeDocument/2006/relationships/hyperlink" Target="https://www.domino-printing.com/nl-nl/blog/2023/bereid-u-voor-op-het-digitale-productpaspoort?utm_medium=non-paid&amp;utm_source=onlinepublication&amp;utm_content=pr-dp-EPR&amp;utm_campaign=2026-int-en-Global-PR-DP-FY26-Q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domino-printing.com/nl-nl/blog/2026/ppwr-and-printing-inks"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plasticcollective.co/design-for-recyclability-2026-new-material-label-additive-restrictions/" TargetMode="External"/><Relationship Id="rId14" Type="http://schemas.openxmlformats.org/officeDocument/2006/relationships/hyperlink" Target="mailto:Jade.Taylor-Salazar@domino-uk.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1691</Words>
  <Characters>9642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4</cp:revision>
  <dcterms:created xsi:type="dcterms:W3CDTF">2026-09-03T13:14:00Z</dcterms:created>
  <dcterms:modified xsi:type="dcterms:W3CDTF">2026-09-03T14:07:00Z</dcterms:modified>
</cp:coreProperties>
</file>