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8EE4" w14:textId="29F42370" w:rsidR="00B23C89" w:rsidRPr="00D46ACD" w:rsidRDefault="00B23C89" w:rsidP="00B23C89">
      <w:pPr>
        <w:jc w:val="right"/>
      </w:pPr>
      <w:r w:rsidRPr="00D46ACD">
        <w:t>Katowice,</w:t>
      </w:r>
      <w:r w:rsidR="00286312" w:rsidRPr="00D46ACD">
        <w:t xml:space="preserve"> </w:t>
      </w:r>
      <w:r w:rsidR="005C1949">
        <w:t>2</w:t>
      </w:r>
      <w:r w:rsidR="00286312" w:rsidRPr="00D46ACD">
        <w:t>.</w:t>
      </w:r>
      <w:r w:rsidR="00510F23">
        <w:t>0</w:t>
      </w:r>
      <w:r w:rsidR="005C1949">
        <w:t>9</w:t>
      </w:r>
      <w:r w:rsidR="00286312" w:rsidRPr="00D46ACD">
        <w:t>.</w:t>
      </w:r>
      <w:r w:rsidR="001F533E" w:rsidRPr="00D46ACD">
        <w:t>202</w:t>
      </w:r>
      <w:r w:rsidR="00CC4433">
        <w:t>6</w:t>
      </w:r>
    </w:p>
    <w:p w14:paraId="0FD4D5F2" w14:textId="77777777" w:rsidR="00CC4433" w:rsidRDefault="00CC4433" w:rsidP="00262FCC">
      <w:pPr>
        <w:jc w:val="both"/>
        <w:rPr>
          <w:b/>
          <w:bCs/>
        </w:rPr>
      </w:pPr>
    </w:p>
    <w:p w14:paraId="6CC3A29E" w14:textId="7894C3D0" w:rsidR="001C55C5" w:rsidRPr="00C44FED" w:rsidRDefault="0088218F" w:rsidP="00E86535">
      <w:pPr>
        <w:jc w:val="center"/>
        <w:rPr>
          <w:b/>
          <w:bCs/>
        </w:rPr>
      </w:pPr>
      <w:r w:rsidRPr="0088218F">
        <w:rPr>
          <w:b/>
          <w:bCs/>
        </w:rPr>
        <w:t>TDJ Estate finalizuje zakup gruntu w Warszawie</w:t>
      </w:r>
      <w:r>
        <w:rPr>
          <w:b/>
          <w:bCs/>
        </w:rPr>
        <w:t xml:space="preserve"> za 41 mln zł</w:t>
      </w:r>
      <w:r w:rsidRPr="0088218F">
        <w:rPr>
          <w:b/>
          <w:bCs/>
        </w:rPr>
        <w:t>. Na Białołęce przygotowuje wieloetapową inwestycję mieszkaniową</w:t>
      </w:r>
    </w:p>
    <w:p w14:paraId="797D54A5" w14:textId="48C88854" w:rsidR="00BF6DFD" w:rsidRPr="008C08E8" w:rsidRDefault="00F50849" w:rsidP="001C55C5">
      <w:pPr>
        <w:jc w:val="both"/>
        <w:rPr>
          <w:b/>
          <w:bCs/>
        </w:rPr>
      </w:pPr>
      <w:r w:rsidRPr="008C08E8">
        <w:rPr>
          <w:b/>
          <w:bCs/>
        </w:rPr>
        <w:t xml:space="preserve">Deweloper TDJ Estate sfinalizował zakup nieruchomości o powierzchni ok. 10 tys. mkw. </w:t>
      </w:r>
      <w:r w:rsidR="00873A4B" w:rsidRPr="008C08E8">
        <w:rPr>
          <w:b/>
          <w:bCs/>
        </w:rPr>
        <w:t>w rejonie ul. M</w:t>
      </w:r>
      <w:r w:rsidRPr="008C08E8">
        <w:rPr>
          <w:b/>
          <w:bCs/>
        </w:rPr>
        <w:t>ikołaja Trąby</w:t>
      </w:r>
      <w:r w:rsidR="00873A4B" w:rsidRPr="008C08E8">
        <w:rPr>
          <w:b/>
          <w:bCs/>
        </w:rPr>
        <w:t xml:space="preserve"> i </w:t>
      </w:r>
      <w:r w:rsidR="008B6BFB" w:rsidRPr="008C08E8">
        <w:rPr>
          <w:b/>
          <w:bCs/>
        </w:rPr>
        <w:t>Aluzyjn</w:t>
      </w:r>
      <w:r w:rsidR="00873A4B" w:rsidRPr="008C08E8">
        <w:rPr>
          <w:b/>
          <w:bCs/>
        </w:rPr>
        <w:t>ej</w:t>
      </w:r>
      <w:r w:rsidRPr="008C08E8">
        <w:rPr>
          <w:b/>
          <w:bCs/>
        </w:rPr>
        <w:t xml:space="preserve"> na warszawskiej Białołęce. Wartość transakcji wyniosła 41 mln zł. Wraz z sąsiednim gruntem należącym już do spółki teren pozwoli na realizację wieloetapowej inwestycji obejmującej łącznie ok. 380 lokali mieszkalnych i usługowych. Rozpoczęcie budowy pierwszego etapu planowane jest na IV kwartał 2027 roku.</w:t>
      </w:r>
    </w:p>
    <w:p w14:paraId="6A5DC8C9" w14:textId="6932BE32" w:rsidR="008B6BFB" w:rsidRDefault="00147197" w:rsidP="00E47022">
      <w:pPr>
        <w:jc w:val="both"/>
      </w:pPr>
      <w:r w:rsidRPr="001325BE">
        <w:t xml:space="preserve">Finalizacja transakcji jest następstwem umowy przedwstępnej zawartej w lutym 2026 roku i kolejnym krokiem TDJ Estate w budowaniu obecności na warszawskim rynku mieszkaniowym. Na nowo zakupionej nieruchomości deweloper planuje realizację ok. </w:t>
      </w:r>
      <w:r w:rsidR="008B6BFB" w:rsidRPr="001325BE">
        <w:t>2</w:t>
      </w:r>
      <w:r w:rsidR="00A94157" w:rsidRPr="001325BE">
        <w:t>50</w:t>
      </w:r>
      <w:r w:rsidR="008B6BFB" w:rsidRPr="001325BE">
        <w:t xml:space="preserve"> </w:t>
      </w:r>
      <w:r w:rsidRPr="001325BE">
        <w:t>mieszkań wraz z lokalami usługowymi w parterze oraz garażem podziemnym.</w:t>
      </w:r>
      <w:r w:rsidR="000B67A2" w:rsidRPr="001325BE">
        <w:t xml:space="preserve"> Spółka jest obecnie na etapie prac projektowych, dlatego zakładana liczba mieszkań ma charakter szacunkowy i może ulec zmianie wraz z dalszym rozwojem projektu.</w:t>
      </w:r>
    </w:p>
    <w:p w14:paraId="2BD5C4D9" w14:textId="458A5829" w:rsidR="00147197" w:rsidRPr="00147197" w:rsidRDefault="00147197" w:rsidP="00147197">
      <w:pPr>
        <w:jc w:val="both"/>
        <w:rPr>
          <w:b/>
          <w:bCs/>
        </w:rPr>
      </w:pPr>
      <w:r w:rsidRPr="00147197">
        <w:rPr>
          <w:b/>
          <w:bCs/>
        </w:rPr>
        <w:t>TDJ Estate przygotowuje pierwsz</w:t>
      </w:r>
      <w:r w:rsidR="0092363A">
        <w:rPr>
          <w:b/>
          <w:bCs/>
        </w:rPr>
        <w:t>ą</w:t>
      </w:r>
      <w:r w:rsidRPr="00147197">
        <w:rPr>
          <w:b/>
          <w:bCs/>
        </w:rPr>
        <w:t xml:space="preserve"> </w:t>
      </w:r>
      <w:r w:rsidR="0092363A">
        <w:rPr>
          <w:b/>
          <w:bCs/>
        </w:rPr>
        <w:t>inwestycję</w:t>
      </w:r>
      <w:r w:rsidRPr="00147197">
        <w:rPr>
          <w:b/>
          <w:bCs/>
        </w:rPr>
        <w:t xml:space="preserve"> w Warszawie</w:t>
      </w:r>
    </w:p>
    <w:p w14:paraId="4A5E8975" w14:textId="289037CF" w:rsidR="00147197" w:rsidRDefault="00147197" w:rsidP="00147197">
      <w:pPr>
        <w:jc w:val="both"/>
      </w:pPr>
      <w:r w:rsidRPr="00E55C91">
        <w:t xml:space="preserve">Zakupiony grunt bezpośrednio sąsiaduje z nieruchomością należącą już do TDJ Estate. Dla tej części projektu trwa obecnie proces uzyskiwania pozwolenia na budowę inwestycji obejmującej ok. </w:t>
      </w:r>
      <w:r w:rsidR="008B6BFB" w:rsidRPr="00E55C91">
        <w:t>1</w:t>
      </w:r>
      <w:r w:rsidR="008B1C5E" w:rsidRPr="00E55C91">
        <w:t>20</w:t>
      </w:r>
      <w:r w:rsidR="008B6BFB" w:rsidRPr="00E55C91">
        <w:t xml:space="preserve"> </w:t>
      </w:r>
      <w:r w:rsidRPr="00E55C91">
        <w:t xml:space="preserve">mieszkań. </w:t>
      </w:r>
      <w:r w:rsidR="00E86086" w:rsidRPr="00E55C91">
        <w:t>Sąsiedztwo obu nieruchomości pozwoli na ich zagospodarowanie w ramach jednego, wieloetapowego przedsięwzięcia.</w:t>
      </w:r>
    </w:p>
    <w:p w14:paraId="6B47A7D3" w14:textId="1E059A74" w:rsidR="00983095" w:rsidRDefault="00983095" w:rsidP="00147197">
      <w:pPr>
        <w:jc w:val="both"/>
      </w:pPr>
      <w:r w:rsidRPr="00983095">
        <w:t xml:space="preserve">– </w:t>
      </w:r>
      <w:r w:rsidRPr="00983095">
        <w:rPr>
          <w:i/>
          <w:iCs/>
        </w:rPr>
        <w:t>Finalizacja transakcji jest dla nas kolejnym krokiem w budowaniu obecności TDJ Estate w Warszawie. Dotychczas koncentrowaliśmy się na zabezpieczeniu odpowiedniego potencjału inwestycyjnego,</w:t>
      </w:r>
      <w:r>
        <w:rPr>
          <w:i/>
          <w:iCs/>
        </w:rPr>
        <w:t xml:space="preserve"> a</w:t>
      </w:r>
      <w:r w:rsidRPr="00983095">
        <w:rPr>
          <w:i/>
          <w:iCs/>
        </w:rPr>
        <w:t xml:space="preserve"> teraz przechodzimy do etapu przygotowania konkretnych projektów. Białołęka będzie pierwszym miejscem, w którym przełożymy tę strategię na realizację wieloetapowej inwestycji mieszkaniowej. Warszawę traktujemy jako jeden z kluczowych kierunków dalszego rozwoju TDJ Estate i chcemy budować tutaj swoją obecność długoterminowo</w:t>
      </w:r>
      <w:r w:rsidRPr="00983095">
        <w:t xml:space="preserve"> – mówi</w:t>
      </w:r>
      <w:r w:rsidRPr="00983095">
        <w:rPr>
          <w:b/>
          <w:bCs/>
        </w:rPr>
        <w:t xml:space="preserve"> </w:t>
      </w:r>
      <w:r w:rsidR="00541506" w:rsidRPr="00541506">
        <w:rPr>
          <w:b/>
          <w:bCs/>
        </w:rPr>
        <w:t>Tomasz Wilczek, p.o. Prezesa Zarządu TDJ Estate</w:t>
      </w:r>
      <w:r w:rsidRPr="00983095">
        <w:t>.</w:t>
      </w:r>
    </w:p>
    <w:p w14:paraId="558F5A92" w14:textId="5E460871" w:rsidR="00763E98" w:rsidRDefault="00BE3883" w:rsidP="00E47022">
      <w:pPr>
        <w:jc w:val="both"/>
      </w:pPr>
      <w:r w:rsidRPr="00BE3883">
        <w:t>Projekt przy ul. Mikołaja Trąby ma być realizowany etapami. Start budowy pierwszej części inwestycji zaplanowano na IV kwartał 2027 roku, natomiast zakończenie trzeciego i ostatniego etapu przewidywane jest na IV kwartał 2031 roku.</w:t>
      </w:r>
    </w:p>
    <w:p w14:paraId="55019BD3" w14:textId="218C7150" w:rsidR="000927B8" w:rsidRDefault="001C43AA" w:rsidP="00CC4433">
      <w:pPr>
        <w:jc w:val="both"/>
      </w:pPr>
      <w:r w:rsidRPr="00E55C91">
        <w:t xml:space="preserve">Wejście do Warszawy stanowi element szerszej strategii dywersyfikacji geograficznej TDJ Estate. Spółka wywodząca się ze Śląska i rozwijająca projekty mieszkaniowe w Katowicach, Krakowie, Zabrzu i Bielsku-Białej rozbudowuje bank ziemi poza swoim </w:t>
      </w:r>
      <w:r w:rsidRPr="00E55C91">
        <w:lastRenderedPageBreak/>
        <w:t xml:space="preserve">macierzystym rynkiem. Łączny potencjał mieszkaniowy gruntów posiadanych </w:t>
      </w:r>
      <w:r w:rsidR="00397403" w:rsidRPr="00E55C91">
        <w:t xml:space="preserve">i zabezpieczonych </w:t>
      </w:r>
      <w:r w:rsidR="00F13679" w:rsidRPr="00E55C91">
        <w:t xml:space="preserve">poprzez </w:t>
      </w:r>
      <w:r w:rsidR="00397403" w:rsidRPr="00E55C91">
        <w:t xml:space="preserve">umowy przedwstępne </w:t>
      </w:r>
      <w:r w:rsidRPr="00E55C91">
        <w:t>przez TDJ Estate w Warszawie wynosi</w:t>
      </w:r>
      <w:r w:rsidR="00F13679" w:rsidRPr="00E55C91">
        <w:t xml:space="preserve"> obecnie</w:t>
      </w:r>
      <w:r w:rsidRPr="00E55C91">
        <w:t xml:space="preserve"> ok. </w:t>
      </w:r>
      <w:r w:rsidR="00EB3073" w:rsidRPr="00E55C91">
        <w:t xml:space="preserve">700 </w:t>
      </w:r>
      <w:r w:rsidRPr="00E55C91">
        <w:t>lokali. Celem spółki pozostaje zabezpieczenie w stolicy terenów pozwalających na realizację ponad 1 tys. mieszkań.</w:t>
      </w:r>
    </w:p>
    <w:p w14:paraId="228AB729" w14:textId="2F393FAC" w:rsidR="00842D0E" w:rsidRPr="00AB48A7" w:rsidRDefault="00842D0E" w:rsidP="00DC3A02">
      <w:pPr>
        <w:jc w:val="both"/>
        <w:rPr>
          <w:sz w:val="20"/>
          <w:szCs w:val="20"/>
        </w:rPr>
      </w:pPr>
      <w:r w:rsidRPr="00AB48A7">
        <w:rPr>
          <w:sz w:val="20"/>
          <w:szCs w:val="20"/>
        </w:rPr>
        <w:t>*** </w:t>
      </w:r>
    </w:p>
    <w:p w14:paraId="3EA15744" w14:textId="6987A22A" w:rsidR="00842D0E" w:rsidRPr="007B02F6" w:rsidRDefault="005A439C" w:rsidP="00842D0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Invest </w:t>
      </w:r>
      <w:r w:rsidR="0078107B" w:rsidRPr="0078107B">
        <w:rPr>
          <w:b/>
          <w:bCs/>
          <w:sz w:val="18"/>
          <w:szCs w:val="18"/>
        </w:rPr>
        <w:t>TDJ Estate</w:t>
      </w:r>
      <w:r w:rsidR="0078107B" w:rsidRPr="0078107B">
        <w:rPr>
          <w:sz w:val="18"/>
          <w:szCs w:val="18"/>
        </w:rPr>
        <w:t xml:space="preserve"> jest częścią grupy TDJ, rodzinnej firmy inwestycyjnej, która buduje długoterminową wartość, realizując projekty w 4 obszarach: Equity, Growth, Capital Markets, Philanthropy.</w:t>
      </w:r>
      <w:r w:rsidR="00D96A20">
        <w:rPr>
          <w:sz w:val="18"/>
          <w:szCs w:val="18"/>
        </w:rPr>
        <w:t xml:space="preserve"> </w:t>
      </w:r>
      <w:r w:rsidR="0078107B" w:rsidRPr="0078107B">
        <w:rPr>
          <w:sz w:val="18"/>
          <w:szCs w:val="18"/>
        </w:rPr>
        <w:t xml:space="preserve">W portfolio </w:t>
      </w:r>
      <w:r>
        <w:rPr>
          <w:sz w:val="18"/>
          <w:szCs w:val="18"/>
        </w:rPr>
        <w:t xml:space="preserve">spółki </w:t>
      </w:r>
      <w:r w:rsidR="0078107B" w:rsidRPr="0078107B">
        <w:rPr>
          <w:sz w:val="18"/>
          <w:szCs w:val="18"/>
        </w:rPr>
        <w:t xml:space="preserve">znajdują się nagradzane inwestycje biurowe i mieszkaniowe. </w:t>
      </w:r>
    </w:p>
    <w:p w14:paraId="4E9DAE75" w14:textId="1868CCCB" w:rsidR="00842D0E" w:rsidRPr="007B02F6" w:rsidRDefault="00842D0E" w:rsidP="00842D0E">
      <w:pPr>
        <w:jc w:val="both"/>
        <w:rPr>
          <w:sz w:val="18"/>
          <w:szCs w:val="18"/>
        </w:rPr>
      </w:pPr>
      <w:r w:rsidRPr="007B02F6">
        <w:rPr>
          <w:sz w:val="18"/>
          <w:szCs w:val="18"/>
        </w:rPr>
        <w:t xml:space="preserve">Flagową inwestycją </w:t>
      </w:r>
      <w:r w:rsidR="005A439C">
        <w:rPr>
          <w:sz w:val="18"/>
          <w:szCs w:val="18"/>
        </w:rPr>
        <w:t xml:space="preserve">dewelopera </w:t>
      </w:r>
      <w:r w:rsidRPr="007B02F6">
        <w:rPr>
          <w:sz w:val="18"/>
          <w:szCs w:val="18"/>
        </w:rPr>
        <w:t xml:space="preserve">jest kompleks </w:t>
      </w:r>
      <w:proofErr w:type="gramStart"/>
      <w:r w:rsidRPr="007B02F6">
        <w:rPr>
          <w:sz w:val="18"/>
          <w:szCs w:val="18"/>
        </w:rPr>
        <w:t>biurowy .KTW</w:t>
      </w:r>
      <w:proofErr w:type="gramEnd"/>
      <w:r w:rsidRPr="007B02F6">
        <w:rPr>
          <w:sz w:val="18"/>
          <w:szCs w:val="18"/>
        </w:rPr>
        <w:t xml:space="preserve"> – jeden z symboli nowoczesnej architektury Katowic, zlokalizowany w Strefie Kultury, w bezpośrednim sąsiedztwie Spodka i Międzynarodowego Centrum Kongresowego. Projekt zdobył liczne nagrody, w tym European Property Awards oraz Nagrodę Roku SARP, i uchodzi za jedną z</w:t>
      </w:r>
      <w:r>
        <w:rPr>
          <w:sz w:val="18"/>
          <w:szCs w:val="18"/>
        </w:rPr>
        <w:t> </w:t>
      </w:r>
      <w:r w:rsidRPr="007B02F6">
        <w:rPr>
          <w:sz w:val="18"/>
          <w:szCs w:val="18"/>
        </w:rPr>
        <w:t>najbardziej znaczących i rozpoznawalnych inwestycji komercyjnych ostatniej dekady w Polsce.</w:t>
      </w:r>
    </w:p>
    <w:p w14:paraId="123AA7C8" w14:textId="1BF3401D" w:rsidR="00842D0E" w:rsidRPr="00D75C18" w:rsidRDefault="001E60A0" w:rsidP="00842D0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Spółka </w:t>
      </w:r>
      <w:r w:rsidR="005A439C">
        <w:rPr>
          <w:sz w:val="18"/>
          <w:szCs w:val="18"/>
        </w:rPr>
        <w:t xml:space="preserve">Invest </w:t>
      </w:r>
      <w:r w:rsidR="00842D0E" w:rsidRPr="00D75C18">
        <w:rPr>
          <w:sz w:val="18"/>
          <w:szCs w:val="18"/>
        </w:rPr>
        <w:t>TDJ Estate sprzedał</w:t>
      </w:r>
      <w:r>
        <w:rPr>
          <w:sz w:val="18"/>
          <w:szCs w:val="18"/>
        </w:rPr>
        <w:t>a</w:t>
      </w:r>
      <w:r w:rsidR="00842D0E" w:rsidRPr="00D75C18">
        <w:rPr>
          <w:sz w:val="18"/>
          <w:szCs w:val="18"/>
        </w:rPr>
        <w:t xml:space="preserve"> już ponad </w:t>
      </w:r>
      <w:r w:rsidR="009D4399">
        <w:rPr>
          <w:sz w:val="18"/>
          <w:szCs w:val="18"/>
        </w:rPr>
        <w:t xml:space="preserve">3000 </w:t>
      </w:r>
      <w:r w:rsidR="00842D0E" w:rsidRPr="00D75C18">
        <w:rPr>
          <w:sz w:val="18"/>
          <w:szCs w:val="18"/>
        </w:rPr>
        <w:t>mieszkań</w:t>
      </w:r>
      <w:r w:rsidR="00842D0E">
        <w:rPr>
          <w:sz w:val="18"/>
          <w:szCs w:val="18"/>
        </w:rPr>
        <w:t>,</w:t>
      </w:r>
      <w:r w:rsidR="00842D0E" w:rsidRPr="00D75C18">
        <w:rPr>
          <w:sz w:val="18"/>
          <w:szCs w:val="18"/>
        </w:rPr>
        <w:t xml:space="preserve"> W </w:t>
      </w:r>
      <w:r>
        <w:rPr>
          <w:sz w:val="18"/>
          <w:szCs w:val="18"/>
        </w:rPr>
        <w:t xml:space="preserve">jej </w:t>
      </w:r>
      <w:r w:rsidR="00842D0E" w:rsidRPr="00D75C18">
        <w:rPr>
          <w:sz w:val="18"/>
          <w:szCs w:val="18"/>
        </w:rPr>
        <w:t xml:space="preserve">portfolio znajduje się m.in. katowicka </w:t>
      </w:r>
      <w:r w:rsidR="00842D0E" w:rsidRPr="00F20A2E">
        <w:rPr>
          <w:sz w:val="18"/>
          <w:szCs w:val="18"/>
        </w:rPr>
        <w:t>Pierwsza Dzielnica</w:t>
      </w:r>
      <w:r w:rsidR="00842D0E" w:rsidRPr="00D75C18">
        <w:rPr>
          <w:sz w:val="18"/>
          <w:szCs w:val="18"/>
        </w:rPr>
        <w:t xml:space="preserve"> – nowoczesna, wieloetapowa inwestycja</w:t>
      </w:r>
      <w:r w:rsidR="00842D0E">
        <w:rPr>
          <w:sz w:val="18"/>
          <w:szCs w:val="18"/>
        </w:rPr>
        <w:t xml:space="preserve"> znajdująca się w</w:t>
      </w:r>
      <w:r w:rsidR="00842D0E" w:rsidRPr="00D75C18">
        <w:rPr>
          <w:sz w:val="18"/>
          <w:szCs w:val="18"/>
        </w:rPr>
        <w:t xml:space="preserve"> Stref</w:t>
      </w:r>
      <w:r w:rsidR="00842D0E">
        <w:rPr>
          <w:sz w:val="18"/>
          <w:szCs w:val="18"/>
        </w:rPr>
        <w:t xml:space="preserve">ie </w:t>
      </w:r>
      <w:r w:rsidR="00842D0E" w:rsidRPr="00D75C18">
        <w:rPr>
          <w:sz w:val="18"/>
          <w:szCs w:val="18"/>
        </w:rPr>
        <w:t xml:space="preserve">Kultury, nagrodzona m.in. w konkursie </w:t>
      </w:r>
      <w:r w:rsidR="00842D0E" w:rsidRPr="00F20A2E">
        <w:rPr>
          <w:sz w:val="18"/>
          <w:szCs w:val="18"/>
        </w:rPr>
        <w:t>European Property Awards</w:t>
      </w:r>
      <w:r w:rsidR="00842D0E" w:rsidRPr="00D75C18">
        <w:rPr>
          <w:sz w:val="18"/>
          <w:szCs w:val="18"/>
        </w:rPr>
        <w:t>.</w:t>
      </w:r>
    </w:p>
    <w:p w14:paraId="6F435EFF" w14:textId="44F558F1" w:rsidR="00842D0E" w:rsidRPr="00D75C18" w:rsidRDefault="00842D0E" w:rsidP="00842D0E">
      <w:pPr>
        <w:jc w:val="both"/>
        <w:rPr>
          <w:sz w:val="18"/>
          <w:szCs w:val="18"/>
        </w:rPr>
      </w:pPr>
      <w:r w:rsidRPr="00D75C18">
        <w:rPr>
          <w:sz w:val="18"/>
          <w:szCs w:val="18"/>
        </w:rPr>
        <w:t>Do innych, rozpoznawalnych na Górnym Śląsku inwestycji dewelopera należą m.in.: zakończone</w:t>
      </w:r>
      <w:r>
        <w:rPr>
          <w:sz w:val="18"/>
          <w:szCs w:val="18"/>
        </w:rPr>
        <w:t xml:space="preserve"> </w:t>
      </w:r>
      <w:r w:rsidRPr="00F20A2E">
        <w:rPr>
          <w:sz w:val="18"/>
          <w:szCs w:val="18"/>
        </w:rPr>
        <w:t>Osiedle Franciszkańskie</w:t>
      </w:r>
      <w:r w:rsidRPr="00D75C18">
        <w:rPr>
          <w:sz w:val="18"/>
          <w:szCs w:val="18"/>
        </w:rPr>
        <w:t xml:space="preserve"> liczące ponad 1300 mieszkań, </w:t>
      </w:r>
      <w:r w:rsidRPr="00F20A2E">
        <w:rPr>
          <w:sz w:val="18"/>
          <w:szCs w:val="18"/>
        </w:rPr>
        <w:t>Osiedle Bardowskiego</w:t>
      </w:r>
      <w:r w:rsidRPr="00D75C18">
        <w:rPr>
          <w:sz w:val="18"/>
          <w:szCs w:val="18"/>
        </w:rPr>
        <w:t xml:space="preserve">, </w:t>
      </w:r>
      <w:r w:rsidRPr="00F20A2E">
        <w:rPr>
          <w:sz w:val="18"/>
          <w:szCs w:val="18"/>
        </w:rPr>
        <w:t>Dobrynów</w:t>
      </w:r>
      <w:r w:rsidRPr="00D75C18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F20A2E">
        <w:rPr>
          <w:sz w:val="18"/>
          <w:szCs w:val="18"/>
        </w:rPr>
        <w:t>Sarnie Osiedle</w:t>
      </w:r>
      <w:r w:rsidRPr="00D75C18">
        <w:rPr>
          <w:sz w:val="18"/>
          <w:szCs w:val="18"/>
        </w:rPr>
        <w:t xml:space="preserve"> w Bielsku-Białej, </w:t>
      </w:r>
      <w:r>
        <w:rPr>
          <w:sz w:val="18"/>
          <w:szCs w:val="18"/>
        </w:rPr>
        <w:t>a</w:t>
      </w:r>
      <w:r w:rsidR="0078107B">
        <w:rPr>
          <w:sz w:val="18"/>
          <w:szCs w:val="18"/>
        </w:rPr>
        <w:t> </w:t>
      </w:r>
      <w:r>
        <w:rPr>
          <w:sz w:val="18"/>
          <w:szCs w:val="18"/>
        </w:rPr>
        <w:t xml:space="preserve">także </w:t>
      </w:r>
      <w:r w:rsidRPr="00F20A2E">
        <w:rPr>
          <w:sz w:val="18"/>
          <w:szCs w:val="18"/>
        </w:rPr>
        <w:t>Zielona Dolina</w:t>
      </w:r>
      <w:r w:rsidRPr="00D75C18">
        <w:rPr>
          <w:sz w:val="18"/>
          <w:szCs w:val="18"/>
        </w:rPr>
        <w:t xml:space="preserve"> w Zabrzu oraz najnowsza inwestycja – </w:t>
      </w:r>
      <w:r w:rsidRPr="00F20A2E">
        <w:rPr>
          <w:sz w:val="18"/>
          <w:szCs w:val="18"/>
        </w:rPr>
        <w:t>Osiedle Hierowskiego</w:t>
      </w:r>
      <w:r w:rsidRPr="00D75C18">
        <w:rPr>
          <w:sz w:val="18"/>
          <w:szCs w:val="18"/>
        </w:rPr>
        <w:t xml:space="preserve"> w Katowicach.</w:t>
      </w:r>
    </w:p>
    <w:p w14:paraId="06A05773" w14:textId="2F016E47" w:rsidR="00842D0E" w:rsidRPr="00D75C18" w:rsidRDefault="00842D0E" w:rsidP="00842D0E">
      <w:pPr>
        <w:jc w:val="both"/>
        <w:rPr>
          <w:sz w:val="18"/>
          <w:szCs w:val="18"/>
        </w:rPr>
      </w:pPr>
      <w:r w:rsidRPr="00D75C18">
        <w:rPr>
          <w:sz w:val="18"/>
          <w:szCs w:val="18"/>
        </w:rPr>
        <w:t xml:space="preserve">Deweloper realizuje również inwestycje w Krakowie – </w:t>
      </w:r>
      <w:r w:rsidRPr="00F20A2E">
        <w:rPr>
          <w:sz w:val="18"/>
          <w:szCs w:val="18"/>
        </w:rPr>
        <w:t>Osiedle Imbramowskie</w:t>
      </w:r>
      <w:r w:rsidR="0027345A">
        <w:rPr>
          <w:sz w:val="18"/>
          <w:szCs w:val="18"/>
        </w:rPr>
        <w:t xml:space="preserve"> </w:t>
      </w:r>
      <w:r w:rsidR="0027345A" w:rsidRPr="00427099">
        <w:rPr>
          <w:sz w:val="18"/>
          <w:szCs w:val="18"/>
        </w:rPr>
        <w:t xml:space="preserve">oraz </w:t>
      </w:r>
      <w:r w:rsidR="0078107B">
        <w:rPr>
          <w:sz w:val="18"/>
          <w:szCs w:val="18"/>
        </w:rPr>
        <w:t>O</w:t>
      </w:r>
      <w:r w:rsidRPr="00427099">
        <w:rPr>
          <w:sz w:val="18"/>
          <w:szCs w:val="18"/>
        </w:rPr>
        <w:t>siedle Meiera.</w:t>
      </w:r>
    </w:p>
    <w:p w14:paraId="50477F2A" w14:textId="77777777" w:rsidR="00842D0E" w:rsidRPr="007B02F6" w:rsidRDefault="00842D0E" w:rsidP="00842D0E">
      <w:pPr>
        <w:jc w:val="both"/>
        <w:rPr>
          <w:sz w:val="18"/>
          <w:szCs w:val="18"/>
        </w:rPr>
      </w:pPr>
      <w:r w:rsidRPr="007B02F6">
        <w:rPr>
          <w:sz w:val="18"/>
          <w:szCs w:val="18"/>
        </w:rPr>
        <w:t>Spółka realizuje swoją strategię z uwzględnieniem zasad zrównoważonego rozwoju i społecznej odpowiedzialności biznesu – dba o relacje z lokalnymi społecznościami, jakość przestrzeni publicznej oraz długoterminowy wpływ swoich inwestycji na otoczenie.</w:t>
      </w:r>
    </w:p>
    <w:p w14:paraId="04E5E7C9" w14:textId="25DEB8EE" w:rsidR="004A0967" w:rsidRDefault="00842D0E" w:rsidP="004079E2">
      <w:pPr>
        <w:jc w:val="both"/>
        <w:rPr>
          <w:rStyle w:val="Hipercze"/>
          <w:sz w:val="18"/>
          <w:szCs w:val="18"/>
        </w:rPr>
      </w:pPr>
      <w:r w:rsidRPr="007B02F6">
        <w:rPr>
          <w:sz w:val="18"/>
          <w:szCs w:val="18"/>
        </w:rPr>
        <w:t xml:space="preserve">Więcej informacji na stronie: </w:t>
      </w:r>
      <w:hyperlink r:id="rId7" w:history="1">
        <w:r w:rsidRPr="007B02F6">
          <w:rPr>
            <w:rStyle w:val="Hipercze"/>
            <w:sz w:val="18"/>
            <w:szCs w:val="18"/>
          </w:rPr>
          <w:t>www.tdjestate.pl</w:t>
        </w:r>
      </w:hyperlink>
    </w:p>
    <w:sectPr w:rsidR="004A09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7E8F" w14:textId="77777777" w:rsidR="002820FE" w:rsidRDefault="002820FE" w:rsidP="001F533E">
      <w:pPr>
        <w:spacing w:after="0" w:line="240" w:lineRule="auto"/>
      </w:pPr>
      <w:r>
        <w:separator/>
      </w:r>
    </w:p>
  </w:endnote>
  <w:endnote w:type="continuationSeparator" w:id="0">
    <w:p w14:paraId="4E51E8F1" w14:textId="77777777" w:rsidR="002820FE" w:rsidRDefault="002820FE" w:rsidP="001F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2A00" w14:textId="69187AC6" w:rsidR="008378EA" w:rsidRPr="00260191" w:rsidRDefault="008378EA">
    <w:pPr>
      <w:pStyle w:val="Stopka"/>
      <w:rPr>
        <w:sz w:val="20"/>
        <w:szCs w:val="20"/>
      </w:rPr>
    </w:pPr>
    <w:r w:rsidRPr="00260191">
      <w:rPr>
        <w:sz w:val="20"/>
        <w:szCs w:val="20"/>
      </w:rPr>
      <w:t xml:space="preserve">Kontakt dla mediów: </w:t>
    </w:r>
    <w:hyperlink r:id="rId1" w:history="1">
      <w:r w:rsidR="00260191" w:rsidRPr="00260191">
        <w:rPr>
          <w:rStyle w:val="Hipercze"/>
          <w:sz w:val="20"/>
          <w:szCs w:val="20"/>
        </w:rPr>
        <w:t>press@tdjestate.pl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623B" w14:textId="77777777" w:rsidR="002820FE" w:rsidRDefault="002820FE" w:rsidP="001F533E">
      <w:pPr>
        <w:spacing w:after="0" w:line="240" w:lineRule="auto"/>
      </w:pPr>
      <w:r>
        <w:separator/>
      </w:r>
    </w:p>
  </w:footnote>
  <w:footnote w:type="continuationSeparator" w:id="0">
    <w:p w14:paraId="61849AB4" w14:textId="77777777" w:rsidR="002820FE" w:rsidRDefault="002820FE" w:rsidP="001F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51B6" w14:textId="1FCFD613" w:rsidR="001F533E" w:rsidRDefault="001F533E">
    <w:pPr>
      <w:pStyle w:val="Nagwek"/>
    </w:pPr>
    <w:r>
      <w:rPr>
        <w:noProof/>
      </w:rPr>
      <w:drawing>
        <wp:inline distT="0" distB="0" distL="0" distR="0" wp14:anchorId="7D1965DC" wp14:editId="16E06CD6">
          <wp:extent cx="1231315" cy="1089660"/>
          <wp:effectExtent l="0" t="0" r="0" b="0"/>
          <wp:docPr id="13372711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719" cy="10944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FE7"/>
    <w:multiLevelType w:val="multilevel"/>
    <w:tmpl w:val="81BCB0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25B11"/>
    <w:multiLevelType w:val="multilevel"/>
    <w:tmpl w:val="A62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E33CB"/>
    <w:multiLevelType w:val="multilevel"/>
    <w:tmpl w:val="5760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13B36"/>
    <w:multiLevelType w:val="multilevel"/>
    <w:tmpl w:val="9560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730E5"/>
    <w:multiLevelType w:val="multilevel"/>
    <w:tmpl w:val="1BE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F0513"/>
    <w:multiLevelType w:val="multilevel"/>
    <w:tmpl w:val="BEB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C3B71"/>
    <w:multiLevelType w:val="multilevel"/>
    <w:tmpl w:val="1DC8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207181">
    <w:abstractNumId w:val="3"/>
  </w:num>
  <w:num w:numId="2" w16cid:durableId="644237864">
    <w:abstractNumId w:val="6"/>
  </w:num>
  <w:num w:numId="3" w16cid:durableId="320472250">
    <w:abstractNumId w:val="0"/>
  </w:num>
  <w:num w:numId="4" w16cid:durableId="682131393">
    <w:abstractNumId w:val="5"/>
  </w:num>
  <w:num w:numId="5" w16cid:durableId="521817972">
    <w:abstractNumId w:val="4"/>
  </w:num>
  <w:num w:numId="6" w16cid:durableId="244342025">
    <w:abstractNumId w:val="1"/>
  </w:num>
  <w:num w:numId="7" w16cid:durableId="1203178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03"/>
    <w:rsid w:val="00000B1E"/>
    <w:rsid w:val="0000579A"/>
    <w:rsid w:val="000122B7"/>
    <w:rsid w:val="000134A8"/>
    <w:rsid w:val="000138E8"/>
    <w:rsid w:val="00015DE8"/>
    <w:rsid w:val="00016677"/>
    <w:rsid w:val="000220D9"/>
    <w:rsid w:val="00027974"/>
    <w:rsid w:val="00032522"/>
    <w:rsid w:val="000412F4"/>
    <w:rsid w:val="000434B5"/>
    <w:rsid w:val="00043A71"/>
    <w:rsid w:val="00043EEE"/>
    <w:rsid w:val="000441EC"/>
    <w:rsid w:val="000509FE"/>
    <w:rsid w:val="000513F9"/>
    <w:rsid w:val="00052246"/>
    <w:rsid w:val="00056A75"/>
    <w:rsid w:val="00057F47"/>
    <w:rsid w:val="00061AF7"/>
    <w:rsid w:val="00066958"/>
    <w:rsid w:val="000761D8"/>
    <w:rsid w:val="00083940"/>
    <w:rsid w:val="00087A22"/>
    <w:rsid w:val="00091802"/>
    <w:rsid w:val="000920C2"/>
    <w:rsid w:val="000927B8"/>
    <w:rsid w:val="0009393E"/>
    <w:rsid w:val="0009668C"/>
    <w:rsid w:val="000A292F"/>
    <w:rsid w:val="000A6436"/>
    <w:rsid w:val="000B0748"/>
    <w:rsid w:val="000B0E9E"/>
    <w:rsid w:val="000B1E00"/>
    <w:rsid w:val="000B235F"/>
    <w:rsid w:val="000B24A0"/>
    <w:rsid w:val="000B67A2"/>
    <w:rsid w:val="000C18D6"/>
    <w:rsid w:val="000C2CE5"/>
    <w:rsid w:val="000C5302"/>
    <w:rsid w:val="000C7BD7"/>
    <w:rsid w:val="000C7D3A"/>
    <w:rsid w:val="000D1A8F"/>
    <w:rsid w:val="000D1D52"/>
    <w:rsid w:val="000D432E"/>
    <w:rsid w:val="000D68BF"/>
    <w:rsid w:val="000E15CE"/>
    <w:rsid w:val="000E30BC"/>
    <w:rsid w:val="000E4664"/>
    <w:rsid w:val="000E5047"/>
    <w:rsid w:val="000F10C2"/>
    <w:rsid w:val="000F30E1"/>
    <w:rsid w:val="000F7C2E"/>
    <w:rsid w:val="0010366B"/>
    <w:rsid w:val="00103E99"/>
    <w:rsid w:val="00110517"/>
    <w:rsid w:val="00114A68"/>
    <w:rsid w:val="001208E3"/>
    <w:rsid w:val="00120E09"/>
    <w:rsid w:val="00120E15"/>
    <w:rsid w:val="001325BE"/>
    <w:rsid w:val="0014186F"/>
    <w:rsid w:val="00143FEA"/>
    <w:rsid w:val="00147197"/>
    <w:rsid w:val="001517F2"/>
    <w:rsid w:val="001519DE"/>
    <w:rsid w:val="00151F8D"/>
    <w:rsid w:val="001565C0"/>
    <w:rsid w:val="001603EE"/>
    <w:rsid w:val="00160821"/>
    <w:rsid w:val="00165899"/>
    <w:rsid w:val="0017044E"/>
    <w:rsid w:val="001708E4"/>
    <w:rsid w:val="00172D6F"/>
    <w:rsid w:val="00175A7F"/>
    <w:rsid w:val="00180378"/>
    <w:rsid w:val="00181114"/>
    <w:rsid w:val="001817BF"/>
    <w:rsid w:val="0018228D"/>
    <w:rsid w:val="00186715"/>
    <w:rsid w:val="001923B8"/>
    <w:rsid w:val="001933E1"/>
    <w:rsid w:val="00194473"/>
    <w:rsid w:val="001956A9"/>
    <w:rsid w:val="00197FA3"/>
    <w:rsid w:val="001A1D60"/>
    <w:rsid w:val="001A1FE4"/>
    <w:rsid w:val="001B2CF4"/>
    <w:rsid w:val="001C090A"/>
    <w:rsid w:val="001C179D"/>
    <w:rsid w:val="001C19B8"/>
    <w:rsid w:val="001C2E15"/>
    <w:rsid w:val="001C43AA"/>
    <w:rsid w:val="001C55C5"/>
    <w:rsid w:val="001C647A"/>
    <w:rsid w:val="001C70C1"/>
    <w:rsid w:val="001D62D8"/>
    <w:rsid w:val="001D79B1"/>
    <w:rsid w:val="001E044E"/>
    <w:rsid w:val="001E3246"/>
    <w:rsid w:val="001E60A0"/>
    <w:rsid w:val="001E6C19"/>
    <w:rsid w:val="001E7356"/>
    <w:rsid w:val="001F533E"/>
    <w:rsid w:val="00203BE8"/>
    <w:rsid w:val="00207AC9"/>
    <w:rsid w:val="002108B0"/>
    <w:rsid w:val="00214530"/>
    <w:rsid w:val="002165B6"/>
    <w:rsid w:val="0022295E"/>
    <w:rsid w:val="00223382"/>
    <w:rsid w:val="0022391F"/>
    <w:rsid w:val="00225792"/>
    <w:rsid w:val="002260BD"/>
    <w:rsid w:val="0022651A"/>
    <w:rsid w:val="00227C31"/>
    <w:rsid w:val="00231F4D"/>
    <w:rsid w:val="002321B7"/>
    <w:rsid w:val="00233D33"/>
    <w:rsid w:val="0023403F"/>
    <w:rsid w:val="00240D95"/>
    <w:rsid w:val="00243122"/>
    <w:rsid w:val="002518E9"/>
    <w:rsid w:val="00260191"/>
    <w:rsid w:val="0026135C"/>
    <w:rsid w:val="00262FCC"/>
    <w:rsid w:val="00263560"/>
    <w:rsid w:val="00265F1A"/>
    <w:rsid w:val="00267AD6"/>
    <w:rsid w:val="0027345A"/>
    <w:rsid w:val="00280662"/>
    <w:rsid w:val="002820FE"/>
    <w:rsid w:val="00284AF0"/>
    <w:rsid w:val="00286312"/>
    <w:rsid w:val="0029750B"/>
    <w:rsid w:val="002A046C"/>
    <w:rsid w:val="002A1AE8"/>
    <w:rsid w:val="002B6414"/>
    <w:rsid w:val="002B78D0"/>
    <w:rsid w:val="002C07A6"/>
    <w:rsid w:val="002C71C5"/>
    <w:rsid w:val="002D1FCD"/>
    <w:rsid w:val="002D477C"/>
    <w:rsid w:val="002D51CC"/>
    <w:rsid w:val="002E0FDA"/>
    <w:rsid w:val="002E1B03"/>
    <w:rsid w:val="002E6AA4"/>
    <w:rsid w:val="002E7F6C"/>
    <w:rsid w:val="002F4BA9"/>
    <w:rsid w:val="00300129"/>
    <w:rsid w:val="00300DFF"/>
    <w:rsid w:val="00302E15"/>
    <w:rsid w:val="00304F13"/>
    <w:rsid w:val="003069A8"/>
    <w:rsid w:val="00311C63"/>
    <w:rsid w:val="00313CC0"/>
    <w:rsid w:val="003159DA"/>
    <w:rsid w:val="00315CB1"/>
    <w:rsid w:val="003215D1"/>
    <w:rsid w:val="00322B68"/>
    <w:rsid w:val="00322D80"/>
    <w:rsid w:val="0032384F"/>
    <w:rsid w:val="0032482D"/>
    <w:rsid w:val="0032647D"/>
    <w:rsid w:val="003264F3"/>
    <w:rsid w:val="00326FFD"/>
    <w:rsid w:val="00333A36"/>
    <w:rsid w:val="003349CF"/>
    <w:rsid w:val="003372B9"/>
    <w:rsid w:val="00337308"/>
    <w:rsid w:val="00337633"/>
    <w:rsid w:val="00342509"/>
    <w:rsid w:val="003433D1"/>
    <w:rsid w:val="00346976"/>
    <w:rsid w:val="00346DA1"/>
    <w:rsid w:val="00347683"/>
    <w:rsid w:val="003510F8"/>
    <w:rsid w:val="00351DE9"/>
    <w:rsid w:val="00355C79"/>
    <w:rsid w:val="00355F4E"/>
    <w:rsid w:val="003564D4"/>
    <w:rsid w:val="0036237F"/>
    <w:rsid w:val="00362729"/>
    <w:rsid w:val="00362F0E"/>
    <w:rsid w:val="003648B2"/>
    <w:rsid w:val="00370D18"/>
    <w:rsid w:val="00374CDC"/>
    <w:rsid w:val="00376D46"/>
    <w:rsid w:val="0038099D"/>
    <w:rsid w:val="00381B47"/>
    <w:rsid w:val="00383EB3"/>
    <w:rsid w:val="00390332"/>
    <w:rsid w:val="003928AD"/>
    <w:rsid w:val="00393AB9"/>
    <w:rsid w:val="0039493A"/>
    <w:rsid w:val="00394F7E"/>
    <w:rsid w:val="003955AA"/>
    <w:rsid w:val="0039709A"/>
    <w:rsid w:val="00397403"/>
    <w:rsid w:val="00397C36"/>
    <w:rsid w:val="003A0046"/>
    <w:rsid w:val="003A3446"/>
    <w:rsid w:val="003A428D"/>
    <w:rsid w:val="003A4337"/>
    <w:rsid w:val="003A4869"/>
    <w:rsid w:val="003B0D1A"/>
    <w:rsid w:val="003B3881"/>
    <w:rsid w:val="003B3DB8"/>
    <w:rsid w:val="003B4B55"/>
    <w:rsid w:val="003B4D6E"/>
    <w:rsid w:val="003C47C5"/>
    <w:rsid w:val="003D3023"/>
    <w:rsid w:val="003E57D2"/>
    <w:rsid w:val="003E5F84"/>
    <w:rsid w:val="003E692B"/>
    <w:rsid w:val="00401980"/>
    <w:rsid w:val="00403456"/>
    <w:rsid w:val="004050EF"/>
    <w:rsid w:val="0040512D"/>
    <w:rsid w:val="004079E2"/>
    <w:rsid w:val="00412D9C"/>
    <w:rsid w:val="00424AA5"/>
    <w:rsid w:val="00427099"/>
    <w:rsid w:val="00427A19"/>
    <w:rsid w:val="004335C1"/>
    <w:rsid w:val="00437077"/>
    <w:rsid w:val="00437356"/>
    <w:rsid w:val="00447B97"/>
    <w:rsid w:val="00451E78"/>
    <w:rsid w:val="00460CAF"/>
    <w:rsid w:val="004648F2"/>
    <w:rsid w:val="0046564B"/>
    <w:rsid w:val="00473E87"/>
    <w:rsid w:val="004761DE"/>
    <w:rsid w:val="00480C9F"/>
    <w:rsid w:val="0048231E"/>
    <w:rsid w:val="0048548C"/>
    <w:rsid w:val="0048563F"/>
    <w:rsid w:val="0048601B"/>
    <w:rsid w:val="004922DB"/>
    <w:rsid w:val="004A0967"/>
    <w:rsid w:val="004A0EAE"/>
    <w:rsid w:val="004A7479"/>
    <w:rsid w:val="004B4BA3"/>
    <w:rsid w:val="004C2E98"/>
    <w:rsid w:val="004C32EB"/>
    <w:rsid w:val="004C35A3"/>
    <w:rsid w:val="004C4044"/>
    <w:rsid w:val="004C4867"/>
    <w:rsid w:val="004C7147"/>
    <w:rsid w:val="004D31EB"/>
    <w:rsid w:val="004E020B"/>
    <w:rsid w:val="004E3B79"/>
    <w:rsid w:val="004E5C0A"/>
    <w:rsid w:val="004F109C"/>
    <w:rsid w:val="004F15EC"/>
    <w:rsid w:val="004F1ED1"/>
    <w:rsid w:val="00500934"/>
    <w:rsid w:val="005015B8"/>
    <w:rsid w:val="00501C45"/>
    <w:rsid w:val="00504B18"/>
    <w:rsid w:val="00504CB3"/>
    <w:rsid w:val="0050564C"/>
    <w:rsid w:val="00505A17"/>
    <w:rsid w:val="00507283"/>
    <w:rsid w:val="00510F23"/>
    <w:rsid w:val="00511669"/>
    <w:rsid w:val="00515B35"/>
    <w:rsid w:val="0052070C"/>
    <w:rsid w:val="0052095B"/>
    <w:rsid w:val="00525644"/>
    <w:rsid w:val="00536C7A"/>
    <w:rsid w:val="00541506"/>
    <w:rsid w:val="00541B79"/>
    <w:rsid w:val="005448B0"/>
    <w:rsid w:val="00544A72"/>
    <w:rsid w:val="00552259"/>
    <w:rsid w:val="005526F2"/>
    <w:rsid w:val="00553DE5"/>
    <w:rsid w:val="00554B42"/>
    <w:rsid w:val="00564FD5"/>
    <w:rsid w:val="00566A29"/>
    <w:rsid w:val="0056722F"/>
    <w:rsid w:val="005710FF"/>
    <w:rsid w:val="0057124B"/>
    <w:rsid w:val="00574B6B"/>
    <w:rsid w:val="00577EC2"/>
    <w:rsid w:val="00581E88"/>
    <w:rsid w:val="00584361"/>
    <w:rsid w:val="00585943"/>
    <w:rsid w:val="00591C04"/>
    <w:rsid w:val="00593C9A"/>
    <w:rsid w:val="005949E1"/>
    <w:rsid w:val="005A076D"/>
    <w:rsid w:val="005A439C"/>
    <w:rsid w:val="005A7F6E"/>
    <w:rsid w:val="005B0802"/>
    <w:rsid w:val="005B0EB3"/>
    <w:rsid w:val="005B2B6D"/>
    <w:rsid w:val="005B53D6"/>
    <w:rsid w:val="005C085F"/>
    <w:rsid w:val="005C1949"/>
    <w:rsid w:val="005C374F"/>
    <w:rsid w:val="005C3DA3"/>
    <w:rsid w:val="005C5CD3"/>
    <w:rsid w:val="005C5E53"/>
    <w:rsid w:val="005C5E62"/>
    <w:rsid w:val="005D6944"/>
    <w:rsid w:val="005D6F56"/>
    <w:rsid w:val="005E186D"/>
    <w:rsid w:val="005E4AFA"/>
    <w:rsid w:val="005E79CE"/>
    <w:rsid w:val="005F20C1"/>
    <w:rsid w:val="00607EF5"/>
    <w:rsid w:val="00610CED"/>
    <w:rsid w:val="00611C08"/>
    <w:rsid w:val="006134BF"/>
    <w:rsid w:val="00616FE8"/>
    <w:rsid w:val="00622E66"/>
    <w:rsid w:val="00623933"/>
    <w:rsid w:val="0062562D"/>
    <w:rsid w:val="00630E8D"/>
    <w:rsid w:val="00631404"/>
    <w:rsid w:val="00635FD2"/>
    <w:rsid w:val="00641981"/>
    <w:rsid w:val="00642292"/>
    <w:rsid w:val="00644090"/>
    <w:rsid w:val="00645569"/>
    <w:rsid w:val="006456FC"/>
    <w:rsid w:val="00650F4B"/>
    <w:rsid w:val="006512D4"/>
    <w:rsid w:val="00651A28"/>
    <w:rsid w:val="00652FD8"/>
    <w:rsid w:val="00656F50"/>
    <w:rsid w:val="00657D04"/>
    <w:rsid w:val="00657F74"/>
    <w:rsid w:val="006651CD"/>
    <w:rsid w:val="00683A4A"/>
    <w:rsid w:val="0068532C"/>
    <w:rsid w:val="00686D93"/>
    <w:rsid w:val="00687470"/>
    <w:rsid w:val="00691EF8"/>
    <w:rsid w:val="006938E0"/>
    <w:rsid w:val="00694309"/>
    <w:rsid w:val="006965DD"/>
    <w:rsid w:val="00697DC9"/>
    <w:rsid w:val="00697DEF"/>
    <w:rsid w:val="006A3617"/>
    <w:rsid w:val="006A6328"/>
    <w:rsid w:val="006B0312"/>
    <w:rsid w:val="006B1C9E"/>
    <w:rsid w:val="006C1483"/>
    <w:rsid w:val="006C2A42"/>
    <w:rsid w:val="006C5266"/>
    <w:rsid w:val="006C6C37"/>
    <w:rsid w:val="006C6F81"/>
    <w:rsid w:val="006D001A"/>
    <w:rsid w:val="006D304E"/>
    <w:rsid w:val="006D39D2"/>
    <w:rsid w:val="006D3EE8"/>
    <w:rsid w:val="006E39ED"/>
    <w:rsid w:val="006F31ED"/>
    <w:rsid w:val="006F7DEC"/>
    <w:rsid w:val="00700448"/>
    <w:rsid w:val="007050D0"/>
    <w:rsid w:val="007063D1"/>
    <w:rsid w:val="00707A02"/>
    <w:rsid w:val="00711D71"/>
    <w:rsid w:val="00712621"/>
    <w:rsid w:val="00712F2B"/>
    <w:rsid w:val="00714463"/>
    <w:rsid w:val="00716B1B"/>
    <w:rsid w:val="00716E08"/>
    <w:rsid w:val="007176BE"/>
    <w:rsid w:val="007267AC"/>
    <w:rsid w:val="0073290E"/>
    <w:rsid w:val="00733EE6"/>
    <w:rsid w:val="00734A18"/>
    <w:rsid w:val="00734DED"/>
    <w:rsid w:val="0073629F"/>
    <w:rsid w:val="007362E2"/>
    <w:rsid w:val="007365CD"/>
    <w:rsid w:val="007407C5"/>
    <w:rsid w:val="00753DAE"/>
    <w:rsid w:val="0075518E"/>
    <w:rsid w:val="0075661B"/>
    <w:rsid w:val="00757760"/>
    <w:rsid w:val="00757A7D"/>
    <w:rsid w:val="00762B01"/>
    <w:rsid w:val="00762D80"/>
    <w:rsid w:val="007638A5"/>
    <w:rsid w:val="00763E98"/>
    <w:rsid w:val="00765973"/>
    <w:rsid w:val="0077246D"/>
    <w:rsid w:val="00775AFC"/>
    <w:rsid w:val="00775F51"/>
    <w:rsid w:val="00776A1D"/>
    <w:rsid w:val="007806E2"/>
    <w:rsid w:val="0078107B"/>
    <w:rsid w:val="00782375"/>
    <w:rsid w:val="0078473A"/>
    <w:rsid w:val="007854E1"/>
    <w:rsid w:val="007934D3"/>
    <w:rsid w:val="00797184"/>
    <w:rsid w:val="00797623"/>
    <w:rsid w:val="007A3937"/>
    <w:rsid w:val="007A4E14"/>
    <w:rsid w:val="007B7BC8"/>
    <w:rsid w:val="007C0585"/>
    <w:rsid w:val="007C0CE0"/>
    <w:rsid w:val="007C1A73"/>
    <w:rsid w:val="007C5C86"/>
    <w:rsid w:val="007C61A4"/>
    <w:rsid w:val="007D0082"/>
    <w:rsid w:val="007D1CE8"/>
    <w:rsid w:val="007D2457"/>
    <w:rsid w:val="007E001B"/>
    <w:rsid w:val="007E26C4"/>
    <w:rsid w:val="007E409F"/>
    <w:rsid w:val="007E75A6"/>
    <w:rsid w:val="007F0973"/>
    <w:rsid w:val="007F4E87"/>
    <w:rsid w:val="007F559B"/>
    <w:rsid w:val="007F76A5"/>
    <w:rsid w:val="007F784A"/>
    <w:rsid w:val="00800556"/>
    <w:rsid w:val="008014AC"/>
    <w:rsid w:val="008023F2"/>
    <w:rsid w:val="00812F78"/>
    <w:rsid w:val="008138CF"/>
    <w:rsid w:val="0081700D"/>
    <w:rsid w:val="00820E19"/>
    <w:rsid w:val="00821E22"/>
    <w:rsid w:val="00824528"/>
    <w:rsid w:val="008268DC"/>
    <w:rsid w:val="008305EF"/>
    <w:rsid w:val="0083326E"/>
    <w:rsid w:val="008350B4"/>
    <w:rsid w:val="0083588E"/>
    <w:rsid w:val="008363F3"/>
    <w:rsid w:val="008378EA"/>
    <w:rsid w:val="00841817"/>
    <w:rsid w:val="00842D0E"/>
    <w:rsid w:val="00844F01"/>
    <w:rsid w:val="008455A9"/>
    <w:rsid w:val="00845B45"/>
    <w:rsid w:val="008530E2"/>
    <w:rsid w:val="00857EDA"/>
    <w:rsid w:val="008632DF"/>
    <w:rsid w:val="00867ACF"/>
    <w:rsid w:val="008708B9"/>
    <w:rsid w:val="0087145B"/>
    <w:rsid w:val="008722C3"/>
    <w:rsid w:val="00873A4B"/>
    <w:rsid w:val="008747C2"/>
    <w:rsid w:val="00874B67"/>
    <w:rsid w:val="00876ED5"/>
    <w:rsid w:val="0088218F"/>
    <w:rsid w:val="008854CB"/>
    <w:rsid w:val="00892C5E"/>
    <w:rsid w:val="00894BAC"/>
    <w:rsid w:val="0089584F"/>
    <w:rsid w:val="008A183B"/>
    <w:rsid w:val="008A44C5"/>
    <w:rsid w:val="008B1C5E"/>
    <w:rsid w:val="008B2A38"/>
    <w:rsid w:val="008B4E13"/>
    <w:rsid w:val="008B6BFB"/>
    <w:rsid w:val="008C0856"/>
    <w:rsid w:val="008C08E8"/>
    <w:rsid w:val="008C0CA4"/>
    <w:rsid w:val="008C16CA"/>
    <w:rsid w:val="008C1BEE"/>
    <w:rsid w:val="008C274C"/>
    <w:rsid w:val="008C4938"/>
    <w:rsid w:val="008D0B4E"/>
    <w:rsid w:val="008D279D"/>
    <w:rsid w:val="008D4687"/>
    <w:rsid w:val="008D7330"/>
    <w:rsid w:val="008D79D0"/>
    <w:rsid w:val="008F0D74"/>
    <w:rsid w:val="008F2C5D"/>
    <w:rsid w:val="00903C56"/>
    <w:rsid w:val="00903FF7"/>
    <w:rsid w:val="0091199B"/>
    <w:rsid w:val="00916AC6"/>
    <w:rsid w:val="00916F7C"/>
    <w:rsid w:val="00921869"/>
    <w:rsid w:val="0092363A"/>
    <w:rsid w:val="00927262"/>
    <w:rsid w:val="0092797E"/>
    <w:rsid w:val="00932920"/>
    <w:rsid w:val="00935B4B"/>
    <w:rsid w:val="009378B4"/>
    <w:rsid w:val="0094055C"/>
    <w:rsid w:val="00941341"/>
    <w:rsid w:val="00943AA1"/>
    <w:rsid w:val="00943F09"/>
    <w:rsid w:val="00944E65"/>
    <w:rsid w:val="009465F1"/>
    <w:rsid w:val="009513CB"/>
    <w:rsid w:val="00951A01"/>
    <w:rsid w:val="00952A1F"/>
    <w:rsid w:val="0095635B"/>
    <w:rsid w:val="00957E3F"/>
    <w:rsid w:val="00960CA2"/>
    <w:rsid w:val="00962154"/>
    <w:rsid w:val="009628F2"/>
    <w:rsid w:val="00964E4D"/>
    <w:rsid w:val="00966D3E"/>
    <w:rsid w:val="00967935"/>
    <w:rsid w:val="00972747"/>
    <w:rsid w:val="00976C20"/>
    <w:rsid w:val="00980C7A"/>
    <w:rsid w:val="00983095"/>
    <w:rsid w:val="00984330"/>
    <w:rsid w:val="00985333"/>
    <w:rsid w:val="009871B3"/>
    <w:rsid w:val="00993D53"/>
    <w:rsid w:val="00994022"/>
    <w:rsid w:val="0099511D"/>
    <w:rsid w:val="009958D2"/>
    <w:rsid w:val="00997CE5"/>
    <w:rsid w:val="009A4E8F"/>
    <w:rsid w:val="009A5840"/>
    <w:rsid w:val="009B04CA"/>
    <w:rsid w:val="009B2BCC"/>
    <w:rsid w:val="009B321F"/>
    <w:rsid w:val="009B53B6"/>
    <w:rsid w:val="009C0A60"/>
    <w:rsid w:val="009C5DC7"/>
    <w:rsid w:val="009C6DD7"/>
    <w:rsid w:val="009D13E5"/>
    <w:rsid w:val="009D1428"/>
    <w:rsid w:val="009D4399"/>
    <w:rsid w:val="009D70B9"/>
    <w:rsid w:val="009D7595"/>
    <w:rsid w:val="009E1213"/>
    <w:rsid w:val="009E1282"/>
    <w:rsid w:val="009E217B"/>
    <w:rsid w:val="009F2724"/>
    <w:rsid w:val="009F5CA8"/>
    <w:rsid w:val="00A002F8"/>
    <w:rsid w:val="00A003B1"/>
    <w:rsid w:val="00A01F39"/>
    <w:rsid w:val="00A03FBD"/>
    <w:rsid w:val="00A11835"/>
    <w:rsid w:val="00A14F6C"/>
    <w:rsid w:val="00A17B97"/>
    <w:rsid w:val="00A2594D"/>
    <w:rsid w:val="00A259DC"/>
    <w:rsid w:val="00A2607E"/>
    <w:rsid w:val="00A32AB8"/>
    <w:rsid w:val="00A32B0E"/>
    <w:rsid w:val="00A330C8"/>
    <w:rsid w:val="00A3320F"/>
    <w:rsid w:val="00A428EC"/>
    <w:rsid w:val="00A43BE3"/>
    <w:rsid w:val="00A51E12"/>
    <w:rsid w:val="00A53446"/>
    <w:rsid w:val="00A54977"/>
    <w:rsid w:val="00A6229E"/>
    <w:rsid w:val="00A646B6"/>
    <w:rsid w:val="00A646DA"/>
    <w:rsid w:val="00A65EBB"/>
    <w:rsid w:val="00A67A38"/>
    <w:rsid w:val="00A70734"/>
    <w:rsid w:val="00A70858"/>
    <w:rsid w:val="00A72555"/>
    <w:rsid w:val="00A75032"/>
    <w:rsid w:val="00A75D81"/>
    <w:rsid w:val="00A8289B"/>
    <w:rsid w:val="00A85E3D"/>
    <w:rsid w:val="00A87C42"/>
    <w:rsid w:val="00A92FC3"/>
    <w:rsid w:val="00A94157"/>
    <w:rsid w:val="00AA3D4C"/>
    <w:rsid w:val="00AA5B51"/>
    <w:rsid w:val="00AB42D3"/>
    <w:rsid w:val="00AC2D33"/>
    <w:rsid w:val="00AC4086"/>
    <w:rsid w:val="00AC45C4"/>
    <w:rsid w:val="00AC6673"/>
    <w:rsid w:val="00AD23B9"/>
    <w:rsid w:val="00AD2670"/>
    <w:rsid w:val="00AD5671"/>
    <w:rsid w:val="00AD75AE"/>
    <w:rsid w:val="00AE170B"/>
    <w:rsid w:val="00AE4B76"/>
    <w:rsid w:val="00AE4DBB"/>
    <w:rsid w:val="00AE63EF"/>
    <w:rsid w:val="00AF2FA1"/>
    <w:rsid w:val="00AF3503"/>
    <w:rsid w:val="00AF4B5A"/>
    <w:rsid w:val="00AF580B"/>
    <w:rsid w:val="00AF64B2"/>
    <w:rsid w:val="00B05CC0"/>
    <w:rsid w:val="00B06F46"/>
    <w:rsid w:val="00B17ED5"/>
    <w:rsid w:val="00B21F23"/>
    <w:rsid w:val="00B23C89"/>
    <w:rsid w:val="00B23FB1"/>
    <w:rsid w:val="00B2415F"/>
    <w:rsid w:val="00B2554E"/>
    <w:rsid w:val="00B25798"/>
    <w:rsid w:val="00B27320"/>
    <w:rsid w:val="00B3626D"/>
    <w:rsid w:val="00B37CAF"/>
    <w:rsid w:val="00B40BCB"/>
    <w:rsid w:val="00B4524C"/>
    <w:rsid w:val="00B4619B"/>
    <w:rsid w:val="00B55780"/>
    <w:rsid w:val="00B6188A"/>
    <w:rsid w:val="00B70395"/>
    <w:rsid w:val="00B71073"/>
    <w:rsid w:val="00B75D52"/>
    <w:rsid w:val="00B763EC"/>
    <w:rsid w:val="00B80172"/>
    <w:rsid w:val="00B814B6"/>
    <w:rsid w:val="00B83969"/>
    <w:rsid w:val="00B85857"/>
    <w:rsid w:val="00B9170D"/>
    <w:rsid w:val="00B931F8"/>
    <w:rsid w:val="00B93798"/>
    <w:rsid w:val="00B94C11"/>
    <w:rsid w:val="00BA2919"/>
    <w:rsid w:val="00BA3A60"/>
    <w:rsid w:val="00BB13B6"/>
    <w:rsid w:val="00BB1935"/>
    <w:rsid w:val="00BB2C3B"/>
    <w:rsid w:val="00BB2DEC"/>
    <w:rsid w:val="00BB30BD"/>
    <w:rsid w:val="00BB401D"/>
    <w:rsid w:val="00BB5E52"/>
    <w:rsid w:val="00BB6321"/>
    <w:rsid w:val="00BC1CB1"/>
    <w:rsid w:val="00BC342F"/>
    <w:rsid w:val="00BC7951"/>
    <w:rsid w:val="00BD2765"/>
    <w:rsid w:val="00BD5295"/>
    <w:rsid w:val="00BD74BB"/>
    <w:rsid w:val="00BE0E3B"/>
    <w:rsid w:val="00BE15FB"/>
    <w:rsid w:val="00BE3883"/>
    <w:rsid w:val="00BE61D5"/>
    <w:rsid w:val="00BF1A15"/>
    <w:rsid w:val="00BF29A7"/>
    <w:rsid w:val="00BF2B0E"/>
    <w:rsid w:val="00BF3516"/>
    <w:rsid w:val="00BF3EDE"/>
    <w:rsid w:val="00BF4221"/>
    <w:rsid w:val="00BF6DFD"/>
    <w:rsid w:val="00C05B90"/>
    <w:rsid w:val="00C06325"/>
    <w:rsid w:val="00C06621"/>
    <w:rsid w:val="00C1038E"/>
    <w:rsid w:val="00C10B0E"/>
    <w:rsid w:val="00C15B54"/>
    <w:rsid w:val="00C15FA7"/>
    <w:rsid w:val="00C2015B"/>
    <w:rsid w:val="00C2538A"/>
    <w:rsid w:val="00C3233F"/>
    <w:rsid w:val="00C409CA"/>
    <w:rsid w:val="00C41314"/>
    <w:rsid w:val="00C434A9"/>
    <w:rsid w:val="00C44FED"/>
    <w:rsid w:val="00C5338E"/>
    <w:rsid w:val="00C54C53"/>
    <w:rsid w:val="00C5503B"/>
    <w:rsid w:val="00C560F3"/>
    <w:rsid w:val="00C6071B"/>
    <w:rsid w:val="00C63082"/>
    <w:rsid w:val="00C66340"/>
    <w:rsid w:val="00C72870"/>
    <w:rsid w:val="00C779CB"/>
    <w:rsid w:val="00C83C2E"/>
    <w:rsid w:val="00C8761A"/>
    <w:rsid w:val="00C87F3E"/>
    <w:rsid w:val="00C90BA1"/>
    <w:rsid w:val="00C92FE9"/>
    <w:rsid w:val="00C95721"/>
    <w:rsid w:val="00C9591D"/>
    <w:rsid w:val="00C96A4C"/>
    <w:rsid w:val="00C96B31"/>
    <w:rsid w:val="00C97570"/>
    <w:rsid w:val="00CA1A90"/>
    <w:rsid w:val="00CA28EC"/>
    <w:rsid w:val="00CA4AB8"/>
    <w:rsid w:val="00CA65D6"/>
    <w:rsid w:val="00CB3A27"/>
    <w:rsid w:val="00CB5FA0"/>
    <w:rsid w:val="00CB7ECF"/>
    <w:rsid w:val="00CC00BF"/>
    <w:rsid w:val="00CC4433"/>
    <w:rsid w:val="00CC452F"/>
    <w:rsid w:val="00CC49C9"/>
    <w:rsid w:val="00CC5528"/>
    <w:rsid w:val="00CC56FC"/>
    <w:rsid w:val="00CD09AE"/>
    <w:rsid w:val="00CD22F0"/>
    <w:rsid w:val="00CD27AE"/>
    <w:rsid w:val="00CD3FD5"/>
    <w:rsid w:val="00CD5CCE"/>
    <w:rsid w:val="00CD73C8"/>
    <w:rsid w:val="00CD762E"/>
    <w:rsid w:val="00CE050F"/>
    <w:rsid w:val="00CE531A"/>
    <w:rsid w:val="00CE7145"/>
    <w:rsid w:val="00CF0005"/>
    <w:rsid w:val="00CF6520"/>
    <w:rsid w:val="00CF6F1D"/>
    <w:rsid w:val="00D00474"/>
    <w:rsid w:val="00D0408A"/>
    <w:rsid w:val="00D065E0"/>
    <w:rsid w:val="00D119EB"/>
    <w:rsid w:val="00D147DF"/>
    <w:rsid w:val="00D17710"/>
    <w:rsid w:val="00D178FF"/>
    <w:rsid w:val="00D215D8"/>
    <w:rsid w:val="00D25EF8"/>
    <w:rsid w:val="00D26180"/>
    <w:rsid w:val="00D31D34"/>
    <w:rsid w:val="00D34D9A"/>
    <w:rsid w:val="00D36634"/>
    <w:rsid w:val="00D423F5"/>
    <w:rsid w:val="00D438FE"/>
    <w:rsid w:val="00D45EF4"/>
    <w:rsid w:val="00D4671F"/>
    <w:rsid w:val="00D46ACD"/>
    <w:rsid w:val="00D47378"/>
    <w:rsid w:val="00D55316"/>
    <w:rsid w:val="00D60430"/>
    <w:rsid w:val="00D70716"/>
    <w:rsid w:val="00D713E2"/>
    <w:rsid w:val="00D71C36"/>
    <w:rsid w:val="00D77F36"/>
    <w:rsid w:val="00D80A0E"/>
    <w:rsid w:val="00D82169"/>
    <w:rsid w:val="00D845D6"/>
    <w:rsid w:val="00D84B78"/>
    <w:rsid w:val="00D84DAF"/>
    <w:rsid w:val="00D8708F"/>
    <w:rsid w:val="00D96906"/>
    <w:rsid w:val="00D96984"/>
    <w:rsid w:val="00D96A20"/>
    <w:rsid w:val="00DB1703"/>
    <w:rsid w:val="00DB2767"/>
    <w:rsid w:val="00DB7410"/>
    <w:rsid w:val="00DC3A02"/>
    <w:rsid w:val="00DC6543"/>
    <w:rsid w:val="00DC71FB"/>
    <w:rsid w:val="00DC7688"/>
    <w:rsid w:val="00DD23B6"/>
    <w:rsid w:val="00DD307F"/>
    <w:rsid w:val="00DD5B49"/>
    <w:rsid w:val="00DF0B9B"/>
    <w:rsid w:val="00DF1185"/>
    <w:rsid w:val="00DF3FA9"/>
    <w:rsid w:val="00DF47F0"/>
    <w:rsid w:val="00DF5285"/>
    <w:rsid w:val="00DF7502"/>
    <w:rsid w:val="00E20283"/>
    <w:rsid w:val="00E204E9"/>
    <w:rsid w:val="00E21D95"/>
    <w:rsid w:val="00E220C2"/>
    <w:rsid w:val="00E221E3"/>
    <w:rsid w:val="00E23573"/>
    <w:rsid w:val="00E23E1F"/>
    <w:rsid w:val="00E25E3D"/>
    <w:rsid w:val="00E269F8"/>
    <w:rsid w:val="00E27758"/>
    <w:rsid w:val="00E309FC"/>
    <w:rsid w:val="00E3546C"/>
    <w:rsid w:val="00E42129"/>
    <w:rsid w:val="00E47022"/>
    <w:rsid w:val="00E479FA"/>
    <w:rsid w:val="00E47B23"/>
    <w:rsid w:val="00E55A67"/>
    <w:rsid w:val="00E55C91"/>
    <w:rsid w:val="00E5643F"/>
    <w:rsid w:val="00E60817"/>
    <w:rsid w:val="00E60C02"/>
    <w:rsid w:val="00E62E33"/>
    <w:rsid w:val="00E64A7B"/>
    <w:rsid w:val="00E65FC8"/>
    <w:rsid w:val="00E6683F"/>
    <w:rsid w:val="00E72DA6"/>
    <w:rsid w:val="00E86086"/>
    <w:rsid w:val="00E86535"/>
    <w:rsid w:val="00E86AF1"/>
    <w:rsid w:val="00E90C0D"/>
    <w:rsid w:val="00E920C1"/>
    <w:rsid w:val="00E93457"/>
    <w:rsid w:val="00E93B99"/>
    <w:rsid w:val="00E95FE2"/>
    <w:rsid w:val="00EA305E"/>
    <w:rsid w:val="00EA525C"/>
    <w:rsid w:val="00EA5981"/>
    <w:rsid w:val="00EA7F91"/>
    <w:rsid w:val="00EB0148"/>
    <w:rsid w:val="00EB3073"/>
    <w:rsid w:val="00EB404F"/>
    <w:rsid w:val="00EB6342"/>
    <w:rsid w:val="00EB68E3"/>
    <w:rsid w:val="00EC0C4A"/>
    <w:rsid w:val="00EC28D2"/>
    <w:rsid w:val="00EC36FE"/>
    <w:rsid w:val="00EC4D29"/>
    <w:rsid w:val="00ED0744"/>
    <w:rsid w:val="00ED5FD5"/>
    <w:rsid w:val="00EE6F6E"/>
    <w:rsid w:val="00EE7FFE"/>
    <w:rsid w:val="00EF1187"/>
    <w:rsid w:val="00EF24E5"/>
    <w:rsid w:val="00EF4E2F"/>
    <w:rsid w:val="00EF62A4"/>
    <w:rsid w:val="00EF64CD"/>
    <w:rsid w:val="00EF7D14"/>
    <w:rsid w:val="00F04B36"/>
    <w:rsid w:val="00F10C87"/>
    <w:rsid w:val="00F11E48"/>
    <w:rsid w:val="00F12D38"/>
    <w:rsid w:val="00F13679"/>
    <w:rsid w:val="00F136DD"/>
    <w:rsid w:val="00F1483F"/>
    <w:rsid w:val="00F22230"/>
    <w:rsid w:val="00F312CF"/>
    <w:rsid w:val="00F31715"/>
    <w:rsid w:val="00F31E35"/>
    <w:rsid w:val="00F34313"/>
    <w:rsid w:val="00F36134"/>
    <w:rsid w:val="00F4173A"/>
    <w:rsid w:val="00F42FAD"/>
    <w:rsid w:val="00F43516"/>
    <w:rsid w:val="00F44469"/>
    <w:rsid w:val="00F459B9"/>
    <w:rsid w:val="00F45AAA"/>
    <w:rsid w:val="00F5083F"/>
    <w:rsid w:val="00F50849"/>
    <w:rsid w:val="00F50986"/>
    <w:rsid w:val="00F562B1"/>
    <w:rsid w:val="00F56C8D"/>
    <w:rsid w:val="00F57596"/>
    <w:rsid w:val="00F576EC"/>
    <w:rsid w:val="00F6522C"/>
    <w:rsid w:val="00F709F9"/>
    <w:rsid w:val="00F83D8C"/>
    <w:rsid w:val="00F84A7A"/>
    <w:rsid w:val="00F84BD2"/>
    <w:rsid w:val="00FA03EF"/>
    <w:rsid w:val="00FA092E"/>
    <w:rsid w:val="00FA1DCF"/>
    <w:rsid w:val="00FA4200"/>
    <w:rsid w:val="00FA63D2"/>
    <w:rsid w:val="00FA7F72"/>
    <w:rsid w:val="00FB4B23"/>
    <w:rsid w:val="00FB58A2"/>
    <w:rsid w:val="00FB6414"/>
    <w:rsid w:val="00FC11DF"/>
    <w:rsid w:val="00FC16E7"/>
    <w:rsid w:val="00FC58C7"/>
    <w:rsid w:val="00FC5CDF"/>
    <w:rsid w:val="00FD0685"/>
    <w:rsid w:val="00FD0D73"/>
    <w:rsid w:val="00FD3000"/>
    <w:rsid w:val="00FE157B"/>
    <w:rsid w:val="00FE419A"/>
    <w:rsid w:val="00FF26E1"/>
    <w:rsid w:val="00FF5691"/>
    <w:rsid w:val="00FF6572"/>
    <w:rsid w:val="00FF6DB3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BECDB"/>
  <w15:chartTrackingRefBased/>
  <w15:docId w15:val="{4817F8A6-30C7-4EA4-B794-85D39E2E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1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1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1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1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1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1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1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1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1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1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1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1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1B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1B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1B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1B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1B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1B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1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1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1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1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1B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1B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1B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1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1B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1B0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33E"/>
  </w:style>
  <w:style w:type="paragraph" w:styleId="Stopka">
    <w:name w:val="footer"/>
    <w:basedOn w:val="Normalny"/>
    <w:link w:val="StopkaZnak"/>
    <w:uiPriority w:val="99"/>
    <w:unhideWhenUsed/>
    <w:rsid w:val="001F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33E"/>
  </w:style>
  <w:style w:type="character" w:styleId="Hipercze">
    <w:name w:val="Hyperlink"/>
    <w:basedOn w:val="Domylnaczcionkaakapitu"/>
    <w:uiPriority w:val="99"/>
    <w:unhideWhenUsed/>
    <w:rsid w:val="00A002F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2F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64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64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4F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0C9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8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8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86D"/>
    <w:rPr>
      <w:vertAlign w:val="superscript"/>
    </w:rPr>
  </w:style>
  <w:style w:type="character" w:customStyle="1" w:styleId="apple-converted-space">
    <w:name w:val="apple-converted-space"/>
    <w:basedOn w:val="Domylnaczcionkaakapitu"/>
    <w:rsid w:val="008D0B4E"/>
  </w:style>
  <w:style w:type="character" w:customStyle="1" w:styleId="normaltextrun">
    <w:name w:val="normaltextrun"/>
    <w:basedOn w:val="Domylnaczcionkaakapitu"/>
    <w:rsid w:val="00821E22"/>
  </w:style>
  <w:style w:type="paragraph" w:customStyle="1" w:styleId="xxxmsonormal">
    <w:name w:val="x_xxmsonormal"/>
    <w:basedOn w:val="Normalny"/>
    <w:rsid w:val="00623933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3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djestat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tdjestat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633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Dałkowska</dc:creator>
  <cp:keywords/>
  <dc:description/>
  <cp:lastModifiedBy>Ostrowski, Piotr</cp:lastModifiedBy>
  <cp:revision>21</cp:revision>
  <dcterms:created xsi:type="dcterms:W3CDTF">2026-08-04T12:47:00Z</dcterms:created>
  <dcterms:modified xsi:type="dcterms:W3CDTF">2026-09-02T13:19:00Z</dcterms:modified>
</cp:coreProperties>
</file>