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F99BC" w14:textId="4C460075" w:rsidR="00482EA1" w:rsidRDefault="00482EA1" w:rsidP="008B3E1B">
      <w:pPr>
        <w:jc w:val="right"/>
        <w:rPr>
          <w:rFonts w:ascii="Aptos" w:eastAsia="Aptos" w:hAnsi="Aptos" w:cs="Arial"/>
          <w:b/>
          <w:bCs/>
        </w:rPr>
      </w:pPr>
      <w:r>
        <w:rPr>
          <w:rFonts w:ascii="Aptos" w:eastAsia="Aptos" w:hAnsi="Aptos" w:cs="Arial"/>
          <w:b/>
          <w:bCs/>
        </w:rPr>
        <w:t xml:space="preserve">Warszawa, </w:t>
      </w:r>
      <w:r w:rsidR="008B3E1B">
        <w:rPr>
          <w:rFonts w:ascii="Aptos" w:eastAsia="Aptos" w:hAnsi="Aptos" w:cs="Arial"/>
          <w:b/>
          <w:bCs/>
        </w:rPr>
        <w:t>0</w:t>
      </w:r>
      <w:r w:rsidR="00005116">
        <w:rPr>
          <w:rFonts w:ascii="Aptos" w:eastAsia="Aptos" w:hAnsi="Aptos" w:cs="Arial"/>
          <w:b/>
          <w:bCs/>
        </w:rPr>
        <w:t>2</w:t>
      </w:r>
      <w:r w:rsidR="2A458142" w:rsidRPr="731F8BB9">
        <w:rPr>
          <w:rFonts w:ascii="Aptos" w:eastAsia="Aptos" w:hAnsi="Aptos" w:cs="Arial"/>
          <w:b/>
          <w:bCs/>
        </w:rPr>
        <w:t>.0</w:t>
      </w:r>
      <w:r w:rsidR="008B3E1B">
        <w:rPr>
          <w:rFonts w:ascii="Aptos" w:eastAsia="Aptos" w:hAnsi="Aptos" w:cs="Arial"/>
          <w:b/>
          <w:bCs/>
        </w:rPr>
        <w:t>9</w:t>
      </w:r>
      <w:r w:rsidR="2A458142" w:rsidRPr="731F8BB9">
        <w:rPr>
          <w:rFonts w:ascii="Aptos" w:eastAsia="Aptos" w:hAnsi="Aptos" w:cs="Arial"/>
          <w:b/>
          <w:bCs/>
        </w:rPr>
        <w:t>.2026</w:t>
      </w:r>
      <w:r>
        <w:rPr>
          <w:rFonts w:ascii="Aptos" w:eastAsia="Aptos" w:hAnsi="Aptos" w:cs="Arial"/>
          <w:b/>
          <w:bCs/>
        </w:rPr>
        <w:t xml:space="preserve"> r.</w:t>
      </w:r>
      <w:r w:rsidR="008B3E1B">
        <w:rPr>
          <w:rFonts w:ascii="Aptos" w:eastAsia="Aptos" w:hAnsi="Aptos" w:cs="Arial"/>
          <w:b/>
          <w:bCs/>
        </w:rPr>
        <w:br/>
      </w:r>
    </w:p>
    <w:p w14:paraId="3AE8B2E2" w14:textId="3D6DA666" w:rsidR="00EF1551" w:rsidRDefault="00EF1551" w:rsidP="00EF1551">
      <w:pPr>
        <w:jc w:val="center"/>
        <w:rPr>
          <w:rFonts w:ascii="Aptos" w:eastAsia="Aptos" w:hAnsi="Aptos" w:cs="Arial"/>
          <w:b/>
          <w:bCs/>
        </w:rPr>
      </w:pPr>
      <w:r>
        <w:rPr>
          <w:rFonts w:ascii="Aptos" w:eastAsia="Aptos" w:hAnsi="Aptos" w:cs="Arial"/>
          <w:b/>
          <w:bCs/>
        </w:rPr>
        <w:t>INFORMACJA PRASOWA</w:t>
      </w:r>
    </w:p>
    <w:p w14:paraId="34F692AC" w14:textId="77777777" w:rsidR="0077620B" w:rsidRPr="0077620B" w:rsidRDefault="0077620B" w:rsidP="0077620B">
      <w:pPr>
        <w:rPr>
          <w:b/>
          <w:bCs/>
        </w:rPr>
      </w:pPr>
      <w:r w:rsidRPr="0077620B">
        <w:rPr>
          <w:b/>
          <w:bCs/>
        </w:rPr>
        <w:t>Transformacja polskiego ciepłownictwa nabiera tempa. Respect Energy nawiązuje strategiczną współpracę z Grupą Ferox</w:t>
      </w:r>
    </w:p>
    <w:p w14:paraId="7265A347" w14:textId="5839F9C6" w:rsidR="0077620B" w:rsidRPr="00005116" w:rsidRDefault="0077620B" w:rsidP="00EF1551">
      <w:pPr>
        <w:jc w:val="both"/>
        <w:rPr>
          <w:b/>
        </w:rPr>
      </w:pPr>
      <w:r w:rsidRPr="0077620B">
        <w:rPr>
          <w:b/>
        </w:rPr>
        <w:t xml:space="preserve">Integracja sektora ciepła i elektroenergetyki nabiera tempa dzięki łączeniu unikalnych kompetencji. </w:t>
      </w:r>
      <w:r w:rsidR="00005116" w:rsidRPr="00005116">
        <w:rPr>
          <w:b/>
          <w:bCs/>
        </w:rPr>
        <w:t>Respect Energy S.A. oraz Grupa Ferox ogłaszają rozpoczęcie współpracy, której celem jest przyspieszenie transformacji polskich przedsiębiorstw ciepłowniczych (PEC). </w:t>
      </w:r>
      <w:r w:rsidRPr="0077620B">
        <w:rPr>
          <w:b/>
        </w:rPr>
        <w:t xml:space="preserve">Synergia rynkowego know-how Respect Energy oraz technologicznego zaplecza Grupy Ferox to strategiczny krok </w:t>
      </w:r>
      <w:r w:rsidR="00EF1551">
        <w:rPr>
          <w:b/>
        </w:rPr>
        <w:br/>
      </w:r>
      <w:r w:rsidRPr="0077620B">
        <w:rPr>
          <w:b/>
        </w:rPr>
        <w:t>w budowaniu silnej pozycji na rosnącym rynku usług bilansujących i rozwiązań Power-to-Heat.</w:t>
      </w:r>
    </w:p>
    <w:p w14:paraId="4035CFFB" w14:textId="5D2E6733" w:rsidR="0077620B" w:rsidRPr="0077620B" w:rsidRDefault="0077620B" w:rsidP="00EF1551">
      <w:pPr>
        <w:jc w:val="both"/>
      </w:pPr>
      <w:r w:rsidRPr="0077620B">
        <w:t xml:space="preserve">Współpraca z Grupą Ferox – doświadczonym dostawcą i serwisem urządzeń wytwarzających energię, w szczególności silników kogeneracyjnych, pomp ciepła </w:t>
      </w:r>
      <w:r w:rsidR="00EF1551">
        <w:br/>
      </w:r>
      <w:r w:rsidRPr="0077620B">
        <w:t>i kotłów elektrodowych – to odpowiedź na rosnący potencjał i wyzwania związane ze stabilizacją Krajowego Systemu Elektroenergetycznego (KSE). Dynamiczny rozwój odnawialnych źródeł energii (OZE) sprawia, że system ten potrzebuje nowych, elastycznych mocy. Coraz większą siłę stanowią w tym kontekście lokalne przedsiębiorstwa ciepłownicze (PEC), które dzięki odpowiedniej infrastrukturze mogą aktywnie uczestniczyć w bilansowaniu. Z tego bezpośrednio wynikać będzie intensywny rozwój rynku urządzeń takich jak układy kogeneracyjne, kotły elektrodowe oraz pompy ciepła.</w:t>
      </w:r>
    </w:p>
    <w:p w14:paraId="6B78AD51" w14:textId="77777777" w:rsidR="0077620B" w:rsidRPr="0077620B" w:rsidRDefault="0077620B" w:rsidP="00EF1551">
      <w:pPr>
        <w:jc w:val="both"/>
      </w:pPr>
      <w:r w:rsidRPr="0077620B">
        <w:t>Nawiązanie relacji partnerskich pomiędzy firmami jest naturalną konsekwencją wzrostu organicznego oraz silnej obecności obu podmiotów na nowym rynku. Jak wynika z prognoz zawartych w KPEiK oraz planach rozwoju PSE, rynek technologii wspierających elastyczność sieci ulegnie radykalnemu zwiększeniu. Szacuje się, że potencjał samych kotłów elektrycznych w Polsce osiągnie poziom blisko 2,5 GW do 2040 roku. Równolegle prognozowany jest bardzo dynamiczny przyrost mocy zainstalowanej w przemysłowych pompach ciepła, co łącznie stworzy potężne narzędzie do stabilizacji sieci i efektywnego zagospodarowania nadwyżek darmowej energii z OZE.</w:t>
      </w:r>
    </w:p>
    <w:p w14:paraId="0F9DF42A" w14:textId="77777777" w:rsidR="0077620B" w:rsidRPr="0077620B" w:rsidRDefault="0077620B" w:rsidP="00EF1551">
      <w:pPr>
        <w:jc w:val="both"/>
      </w:pPr>
      <w:r w:rsidRPr="0077620B">
        <w:t xml:space="preserve">Wspólne działania operacyjne obu spółek stanowią idealną odpowiedź na potrzeby nowoczesnego systemu, który bezwzględnie wymaga sterowalnych, lokalnych źródeł. Świetną referencją pokazującą stabilność tej infrastruktury jest PEC Mińsk Mazowiecki, gdzie Grupa Ferox realizuje autoryzowany serwis silników gazowych, gwarantując niezawodność produkcji ciepła i energii elektrycznej. Niebawem, dzięki współpracy obu firm do grona PEC wchodzących na rynek usług bilansujących przy aktywnym wsparciu Respect Energy, dołączą nowe podmioty zainteresowane integracją elektroenergetyki z ciepłownictwem. Dzięki współpracy opartej o sprawdzony model, partnerzy pomogą </w:t>
      </w:r>
      <w:r w:rsidRPr="0077620B">
        <w:lastRenderedPageBreak/>
        <w:t>budować rentowne modele transformacji, wzmacniając przy tym lokalne bezpieczeństwo energetyczne.</w:t>
      </w:r>
    </w:p>
    <w:p w14:paraId="39ACACED" w14:textId="37B52872" w:rsidR="0077620B" w:rsidRPr="0077620B" w:rsidRDefault="0077620B" w:rsidP="00EF1551">
      <w:pPr>
        <w:jc w:val="both"/>
      </w:pPr>
      <w:r w:rsidRPr="0077620B">
        <w:rPr>
          <w:i/>
        </w:rPr>
        <w:t>„Wejście w tę współpracę to kluczowy element strategicznego rozwoju Grupy REH oraz naszego silniejszego wejścia w łączenie sektorów poprzez wykorzystanie elastyczności sieci w ramach tzw. DUB’ów (Dostawców Usług Bilansujących). Integrując nasze know-how zakresie rynków energii z potężnym zapleczem technologicznym naszego partnera, dostarczamy samorządom i przedsiębiorstwom gotowe, opłacalne modele transformacji energetycznej.”</w:t>
      </w:r>
      <w:r w:rsidR="00EF1551">
        <w:rPr>
          <w:i/>
        </w:rPr>
        <w:tab/>
      </w:r>
      <w:r w:rsidRPr="0077620B">
        <w:rPr>
          <w:i/>
        </w:rPr>
        <w:br/>
      </w:r>
      <w:r w:rsidRPr="0077620B">
        <w:rPr>
          <w:b/>
        </w:rPr>
        <w:t>– Roch Baranowski, Prezes Zarządu Respect Energy Holding S.A.</w:t>
      </w:r>
    </w:p>
    <w:p w14:paraId="3072C662" w14:textId="3BDD6DF7" w:rsidR="0077620B" w:rsidRPr="0077620B" w:rsidRDefault="0077620B" w:rsidP="00EF1551">
      <w:pPr>
        <w:jc w:val="both"/>
      </w:pPr>
      <w:r w:rsidRPr="0077620B">
        <w:rPr>
          <w:i/>
        </w:rPr>
        <w:t>„Dla naszej firmy to ważny kamień milowy w rozwoju. Grupa Ferox od dekad wspiera sektor ciepłowniczy i elektroenergetyczny w budowie źródeł wytwarzania, w tym silników, pomp ciepła i kotłów elektrodowych. Teraz chcemy wspierać branżę w kolejnym skoku transformacyjnym w stronę rynku elektroenergetycznego, współpracując z godnym zaufania polskim podmiotem, jakim jest Respect Energy.”</w:t>
      </w:r>
      <w:r w:rsidR="00EF1551">
        <w:rPr>
          <w:i/>
        </w:rPr>
        <w:tab/>
      </w:r>
      <w:r w:rsidRPr="0077620B">
        <w:rPr>
          <w:i/>
        </w:rPr>
        <w:br/>
      </w:r>
      <w:r w:rsidRPr="0077620B">
        <w:rPr>
          <w:b/>
        </w:rPr>
        <w:t>– Krzysztof Tomaszewski, Prezes Zarządu Ferox Energy Systems sp. z o.o.</w:t>
      </w:r>
    </w:p>
    <w:p w14:paraId="3E315F9D" w14:textId="2DDDADAE" w:rsidR="0077620B" w:rsidRPr="0077620B" w:rsidRDefault="0077620B" w:rsidP="00EF1551">
      <w:pPr>
        <w:jc w:val="both"/>
      </w:pPr>
      <w:r w:rsidRPr="0077620B">
        <w:rPr>
          <w:i/>
        </w:rPr>
        <w:t xml:space="preserve">„Potrzeba integrowania sektorów poprzez umiejętne zarządzanie układami w PEC – silnikami, kotłami czy pompami – to dzisiaj fundament. To już nie tylko inwestycje </w:t>
      </w:r>
      <w:r w:rsidR="00EF1551">
        <w:rPr>
          <w:i/>
        </w:rPr>
        <w:br/>
      </w:r>
      <w:r w:rsidRPr="0077620B">
        <w:rPr>
          <w:i/>
        </w:rPr>
        <w:t xml:space="preserve">w CAPEX, to mądry OPEX i generowanie nowych </w:t>
      </w:r>
      <w:proofErr w:type="spellStart"/>
      <w:r w:rsidRPr="0077620B">
        <w:rPr>
          <w:i/>
        </w:rPr>
        <w:t>cash</w:t>
      </w:r>
      <w:proofErr w:type="spellEnd"/>
      <w:r w:rsidRPr="0077620B">
        <w:rPr>
          <w:i/>
        </w:rPr>
        <w:t xml:space="preserve"> </w:t>
      </w:r>
      <w:proofErr w:type="spellStart"/>
      <w:r w:rsidRPr="0077620B">
        <w:rPr>
          <w:i/>
        </w:rPr>
        <w:t>flow</w:t>
      </w:r>
      <w:proofErr w:type="spellEnd"/>
      <w:r w:rsidRPr="0077620B">
        <w:rPr>
          <w:i/>
        </w:rPr>
        <w:t>, które stabilizują pracę na całych układach, aby można było dokonywać arbitrażu pomiędzy rynkami ciepła i energii elektrycznej. Ten nowy model będzie uodparniał PEC-e i pozwalał czerpać przychody</w:t>
      </w:r>
      <w:r w:rsidR="00EF1551">
        <w:rPr>
          <w:i/>
        </w:rPr>
        <w:br/>
      </w:r>
      <w:r w:rsidRPr="0077620B">
        <w:rPr>
          <w:i/>
        </w:rPr>
        <w:t xml:space="preserve"> z obydwu rynków jednocześnie. Z takimi podmiotami jak Respect, FEROX może zaoferować szeroką paletę modeli współpracy i prawdziwych przełomów biznesowo-technologicznych.”</w:t>
      </w:r>
      <w:r w:rsidRPr="0077620B">
        <w:rPr>
          <w:i/>
        </w:rPr>
        <w:br/>
      </w:r>
      <w:r w:rsidRPr="0077620B">
        <w:rPr>
          <w:b/>
        </w:rPr>
        <w:t>– Jakub Mamak, Prezes Zarządu Ferox Automation sp. z o.o.</w:t>
      </w:r>
    </w:p>
    <w:p w14:paraId="60BD673D" w14:textId="4330107F" w:rsidR="00EF1551" w:rsidRPr="00EF1551" w:rsidRDefault="0077620B" w:rsidP="00EF1551">
      <w:pPr>
        <w:jc w:val="both"/>
      </w:pPr>
      <w:r w:rsidRPr="0077620B">
        <w:rPr>
          <w:i/>
        </w:rPr>
        <w:t>„Ta współpraca to kolejny krok w skalowaniu gałęzi Power-to-Heat w Respect Energy. Dzięki niej projekty ciepłownicze nabierają tempa i skali. W Respect doskonale wiemy, jak rentowne modele mają pomóc w przemianie całego sektora, bo rozwój PEC-ów i ich transformacja nie mogą opierać się wyłącznie na dotacjach czy innych środkach publicznych. Bez prywatnych, w szczególności rodzimych, inwestorów nie da rady dokonać transformacji uodparniającej polski system ciepłownictwa i elektroenergetyki na niestabilność oraz zmienność geopolityczną.”</w:t>
      </w:r>
      <w:r w:rsidR="00EF1551">
        <w:rPr>
          <w:i/>
        </w:rPr>
        <w:tab/>
      </w:r>
      <w:r w:rsidRPr="0077620B">
        <w:rPr>
          <w:i/>
        </w:rPr>
        <w:br/>
      </w:r>
      <w:r w:rsidRPr="0077620B">
        <w:rPr>
          <w:b/>
        </w:rPr>
        <w:t>– Dr hab. Tomasz Gackowski, prof. UW, Dyrektor Inwestycji i Power-to-Heat w Respect Energy</w:t>
      </w:r>
    </w:p>
    <w:p w14:paraId="3107C0EE" w14:textId="77777777" w:rsidR="00EF1551" w:rsidRDefault="00EF1551" w:rsidP="0077620B">
      <w:pPr>
        <w:rPr>
          <w:b/>
          <w:bCs/>
        </w:rPr>
      </w:pPr>
    </w:p>
    <w:p w14:paraId="06B1385F" w14:textId="46A131FE" w:rsidR="0077620B" w:rsidRPr="0077620B" w:rsidRDefault="0077620B" w:rsidP="0077620B">
      <w:pPr>
        <w:rPr>
          <w:b/>
          <w:bCs/>
        </w:rPr>
      </w:pPr>
      <w:r w:rsidRPr="0077620B">
        <w:rPr>
          <w:b/>
          <w:bCs/>
        </w:rPr>
        <w:t>O Grupie Respect Energy</w:t>
      </w:r>
    </w:p>
    <w:p w14:paraId="57CC3854" w14:textId="77777777" w:rsidR="0077620B" w:rsidRPr="0077620B" w:rsidRDefault="0077620B" w:rsidP="00EF1551">
      <w:pPr>
        <w:jc w:val="both"/>
      </w:pPr>
      <w:r w:rsidRPr="0077620B">
        <w:t xml:space="preserve">Respect Energy to obecna międzynarodowo grupa z dominującym polskim kapitałem, działająca obecnie na 27 rynkach europejskich i dostarczająca klientom energię w 100% </w:t>
      </w:r>
      <w:r w:rsidRPr="0077620B">
        <w:lastRenderedPageBreak/>
        <w:t>pochodzącą ze źródeł odnawialnych. Spółka obraca energią, odkupuje ją od wytwórców, realizuje kompleksowe projekty deweloperskie OZE oraz inwestuje we własną infrastrukturę wytwórczą, skutecznie wyznaczając standardy na rynkach zielonej energii i usług Power-to-Heat.</w:t>
      </w:r>
    </w:p>
    <w:p w14:paraId="5099C19C" w14:textId="77777777" w:rsidR="0077620B" w:rsidRPr="0077620B" w:rsidRDefault="0077620B" w:rsidP="0077620B">
      <w:pPr>
        <w:rPr>
          <w:b/>
          <w:bCs/>
        </w:rPr>
      </w:pPr>
      <w:r w:rsidRPr="0077620B">
        <w:rPr>
          <w:b/>
          <w:bCs/>
        </w:rPr>
        <w:t>O Grupie Ferox</w:t>
      </w:r>
    </w:p>
    <w:p w14:paraId="35A5685F" w14:textId="77777777" w:rsidR="0077620B" w:rsidRPr="0077620B" w:rsidRDefault="0077620B" w:rsidP="00EF1551">
      <w:pPr>
        <w:jc w:val="both"/>
      </w:pPr>
      <w:r w:rsidRPr="0077620B">
        <w:t>Grupa Ferox (w tym Ferox Energy Systems i Ferox Automation) to firma funkcjonująca w branży od dekad, będąca liderem na rynku we wdrażaniu kompleksowych rozwiązań w obszarze układów kogeneracyjnych i trigeneracyjnych.</w:t>
      </w:r>
    </w:p>
    <w:p w14:paraId="25A1D12A" w14:textId="77777777" w:rsidR="0077620B" w:rsidRPr="0077620B" w:rsidRDefault="0077620B" w:rsidP="00EF1551">
      <w:pPr>
        <w:jc w:val="both"/>
      </w:pPr>
      <w:r w:rsidRPr="0077620B">
        <w:t>Oferuje zaawansowane wsparcie na każdym etapie inwestycji, jest integratorem multitechnologicznych inwestycji– od dostaw, przez budowę "pod klucz", automatyzację, integracje systemów aż po profesjonalny serwis nowoczesnych silników, pomp ciepła, kotłów elektrodowych i instalacji optymalizujących koszty energii.</w:t>
      </w:r>
    </w:p>
    <w:p w14:paraId="57375426" w14:textId="637EC23E" w:rsidR="00F02776" w:rsidRDefault="00F02776"/>
    <w:sectPr w:rsidR="00F02776">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AC83" w14:textId="77777777" w:rsidR="00523206" w:rsidRDefault="00523206" w:rsidP="000267BA">
      <w:pPr>
        <w:spacing w:after="0" w:line="240" w:lineRule="auto"/>
      </w:pPr>
      <w:r>
        <w:separator/>
      </w:r>
    </w:p>
  </w:endnote>
  <w:endnote w:type="continuationSeparator" w:id="0">
    <w:p w14:paraId="47FF5FD7" w14:textId="77777777" w:rsidR="00523206" w:rsidRDefault="00523206" w:rsidP="0002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5DB3" w14:textId="1BF52F99" w:rsidR="000267BA" w:rsidRDefault="000267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8CF9" w14:textId="7F347EE6" w:rsidR="000267BA" w:rsidRDefault="000267B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1344" w14:textId="59647DA1" w:rsidR="000267BA" w:rsidRDefault="000267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83C2" w14:textId="77777777" w:rsidR="00523206" w:rsidRDefault="00523206" w:rsidP="000267BA">
      <w:pPr>
        <w:spacing w:after="0" w:line="240" w:lineRule="auto"/>
      </w:pPr>
      <w:r>
        <w:separator/>
      </w:r>
    </w:p>
  </w:footnote>
  <w:footnote w:type="continuationSeparator" w:id="0">
    <w:p w14:paraId="38407C94" w14:textId="77777777" w:rsidR="00523206" w:rsidRDefault="00523206" w:rsidP="00026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F78E1"/>
    <w:multiLevelType w:val="hybridMultilevel"/>
    <w:tmpl w:val="104235D4"/>
    <w:lvl w:ilvl="0" w:tplc="6A524104">
      <w:start w:val="1"/>
      <w:numFmt w:val="bullet"/>
      <w:lvlText w:val=""/>
      <w:lvlJc w:val="left"/>
      <w:pPr>
        <w:ind w:left="720" w:hanging="360"/>
      </w:pPr>
      <w:rPr>
        <w:rFonts w:ascii="Symbol" w:hAnsi="Symbol" w:hint="default"/>
      </w:rPr>
    </w:lvl>
    <w:lvl w:ilvl="1" w:tplc="A880DD88">
      <w:start w:val="1"/>
      <w:numFmt w:val="bullet"/>
      <w:lvlText w:val="o"/>
      <w:lvlJc w:val="left"/>
      <w:pPr>
        <w:ind w:left="1440" w:hanging="360"/>
      </w:pPr>
      <w:rPr>
        <w:rFonts w:ascii="Courier New" w:hAnsi="Courier New" w:hint="default"/>
      </w:rPr>
    </w:lvl>
    <w:lvl w:ilvl="2" w:tplc="4AC85A64">
      <w:start w:val="1"/>
      <w:numFmt w:val="bullet"/>
      <w:lvlText w:val=""/>
      <w:lvlJc w:val="left"/>
      <w:pPr>
        <w:ind w:left="2160" w:hanging="360"/>
      </w:pPr>
      <w:rPr>
        <w:rFonts w:ascii="Wingdings" w:hAnsi="Wingdings" w:hint="default"/>
      </w:rPr>
    </w:lvl>
    <w:lvl w:ilvl="3" w:tplc="26FE697E">
      <w:start w:val="1"/>
      <w:numFmt w:val="bullet"/>
      <w:lvlText w:val=""/>
      <w:lvlJc w:val="left"/>
      <w:pPr>
        <w:ind w:left="2880" w:hanging="360"/>
      </w:pPr>
      <w:rPr>
        <w:rFonts w:ascii="Symbol" w:hAnsi="Symbol" w:hint="default"/>
      </w:rPr>
    </w:lvl>
    <w:lvl w:ilvl="4" w:tplc="A3E6240C">
      <w:start w:val="1"/>
      <w:numFmt w:val="bullet"/>
      <w:lvlText w:val="o"/>
      <w:lvlJc w:val="left"/>
      <w:pPr>
        <w:ind w:left="3600" w:hanging="360"/>
      </w:pPr>
      <w:rPr>
        <w:rFonts w:ascii="Courier New" w:hAnsi="Courier New" w:hint="default"/>
      </w:rPr>
    </w:lvl>
    <w:lvl w:ilvl="5" w:tplc="32343F26">
      <w:start w:val="1"/>
      <w:numFmt w:val="bullet"/>
      <w:lvlText w:val=""/>
      <w:lvlJc w:val="left"/>
      <w:pPr>
        <w:ind w:left="4320" w:hanging="360"/>
      </w:pPr>
      <w:rPr>
        <w:rFonts w:ascii="Wingdings" w:hAnsi="Wingdings" w:hint="default"/>
      </w:rPr>
    </w:lvl>
    <w:lvl w:ilvl="6" w:tplc="065C76FA">
      <w:start w:val="1"/>
      <w:numFmt w:val="bullet"/>
      <w:lvlText w:val=""/>
      <w:lvlJc w:val="left"/>
      <w:pPr>
        <w:ind w:left="5040" w:hanging="360"/>
      </w:pPr>
      <w:rPr>
        <w:rFonts w:ascii="Symbol" w:hAnsi="Symbol" w:hint="default"/>
      </w:rPr>
    </w:lvl>
    <w:lvl w:ilvl="7" w:tplc="B22018E4">
      <w:start w:val="1"/>
      <w:numFmt w:val="bullet"/>
      <w:lvlText w:val="o"/>
      <w:lvlJc w:val="left"/>
      <w:pPr>
        <w:ind w:left="5760" w:hanging="360"/>
      </w:pPr>
      <w:rPr>
        <w:rFonts w:ascii="Courier New" w:hAnsi="Courier New" w:hint="default"/>
      </w:rPr>
    </w:lvl>
    <w:lvl w:ilvl="8" w:tplc="320EA674">
      <w:start w:val="1"/>
      <w:numFmt w:val="bullet"/>
      <w:lvlText w:val=""/>
      <w:lvlJc w:val="left"/>
      <w:pPr>
        <w:ind w:left="6480" w:hanging="360"/>
      </w:pPr>
      <w:rPr>
        <w:rFonts w:ascii="Wingdings" w:hAnsi="Wingdings" w:hint="default"/>
      </w:rPr>
    </w:lvl>
  </w:abstractNum>
  <w:num w:numId="1" w16cid:durableId="11326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A4F633"/>
    <w:rsid w:val="00005116"/>
    <w:rsid w:val="000267BA"/>
    <w:rsid w:val="00060498"/>
    <w:rsid w:val="00325A4C"/>
    <w:rsid w:val="00396FF7"/>
    <w:rsid w:val="00482EA1"/>
    <w:rsid w:val="00523206"/>
    <w:rsid w:val="0077620B"/>
    <w:rsid w:val="008632FC"/>
    <w:rsid w:val="00872584"/>
    <w:rsid w:val="008B3E1B"/>
    <w:rsid w:val="00A8757F"/>
    <w:rsid w:val="00AD1690"/>
    <w:rsid w:val="00B86219"/>
    <w:rsid w:val="00EF1551"/>
    <w:rsid w:val="00F02776"/>
    <w:rsid w:val="1AAC8F27"/>
    <w:rsid w:val="2A458142"/>
    <w:rsid w:val="2ECC461B"/>
    <w:rsid w:val="359C08B1"/>
    <w:rsid w:val="3AA4F633"/>
    <w:rsid w:val="3C493C1E"/>
    <w:rsid w:val="4764DF9C"/>
    <w:rsid w:val="4CFED85C"/>
    <w:rsid w:val="56128AE1"/>
    <w:rsid w:val="731F8BB9"/>
    <w:rsid w:val="739A938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E989"/>
  <w15:chartTrackingRefBased/>
  <w15:docId w15:val="{2F85A4B4-81A6-48F1-A113-9863CDF7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rsid w:val="731F8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unhideWhenUsed/>
    <w:qFormat/>
    <w:rsid w:val="731F8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unhideWhenUsed/>
    <w:qFormat/>
    <w:rsid w:val="731F8BB9"/>
    <w:pPr>
      <w:keepNext/>
      <w:keepLines/>
      <w:spacing w:before="160" w:after="80"/>
      <w:outlineLvl w:val="2"/>
    </w:pPr>
    <w:rPr>
      <w:rFonts w:eastAsiaTheme="majorEastAsia" w:cstheme="majorBidi"/>
      <w:color w:val="0F4761" w:themeColor="accent1" w:themeShade="BF"/>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0267BA"/>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0267BA"/>
  </w:style>
  <w:style w:type="paragraph" w:styleId="Akapitzlist">
    <w:name w:val="List Paragraph"/>
    <w:basedOn w:val="Normalny"/>
    <w:uiPriority w:val="34"/>
    <w:qFormat/>
    <w:rsid w:val="731F8BB9"/>
    <w:pPr>
      <w:ind w:left="720"/>
      <w:contextualSpacing/>
    </w:pPr>
  </w:style>
  <w:style w:type="paragraph" w:styleId="NormalnyWeb">
    <w:name w:val="Normal (Web)"/>
    <w:basedOn w:val="Normalny"/>
    <w:uiPriority w:val="99"/>
    <w:semiHidden/>
    <w:unhideWhenUsed/>
    <w:rsid w:val="000051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FA8F03D9BA864688B8A74B009A52A7" ma:contentTypeVersion="15" ma:contentTypeDescription="Create a new document." ma:contentTypeScope="" ma:versionID="0f9b69692b5936dace9f78b43472c255">
  <xsd:schema xmlns:xsd="http://www.w3.org/2001/XMLSchema" xmlns:xs="http://www.w3.org/2001/XMLSchema" xmlns:p="http://schemas.microsoft.com/office/2006/metadata/properties" xmlns:ns1="http://schemas.microsoft.com/sharepoint/v3" xmlns:ns2="9b4472d8-45b8-4184-ab59-d2fc63282f4c" xmlns:ns3="98ce7cf7-00f9-438a-a302-ff600fd259c9" targetNamespace="http://schemas.microsoft.com/office/2006/metadata/properties" ma:root="true" ma:fieldsID="33787e62114210812d897f2a864269f1" ns1:_="" ns2:_="" ns3:_="">
    <xsd:import namespace="http://schemas.microsoft.com/sharepoint/v3"/>
    <xsd:import namespace="9b4472d8-45b8-4184-ab59-d2fc63282f4c"/>
    <xsd:import namespace="98ce7cf7-00f9-438a-a302-ff600fd259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472d8-45b8-4184-ab59-d2fc63282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b8107f-cbb3-40a0-b194-a91bd68e13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e7cf7-00f9-438a-a302-ff600fd259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06940c-43ca-43a0-99bb-4b8b1bad91ac}" ma:internalName="TaxCatchAll" ma:showField="CatchAllData" ma:web="98ce7cf7-00f9-438a-a302-ff600fd25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ce7cf7-00f9-438a-a302-ff600fd259c9" xsi:nil="true"/>
    <_ip_UnifiedCompliancePolicyUIAction xmlns="http://schemas.microsoft.com/sharepoint/v3" xsi:nil="true"/>
    <lcf76f155ced4ddcb4097134ff3c332f xmlns="9b4472d8-45b8-4184-ab59-d2fc63282f4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E6AFBB4-BC54-417B-BB82-528873719262}">
  <ds:schemaRefs>
    <ds:schemaRef ds:uri="http://schemas.microsoft.com/sharepoint/v3/contenttype/forms"/>
  </ds:schemaRefs>
</ds:datastoreItem>
</file>

<file path=customXml/itemProps2.xml><?xml version="1.0" encoding="utf-8"?>
<ds:datastoreItem xmlns:ds="http://schemas.openxmlformats.org/officeDocument/2006/customXml" ds:itemID="{3A632840-8B3F-462B-97E9-2F32E01B9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472d8-45b8-4184-ab59-d2fc63282f4c"/>
    <ds:schemaRef ds:uri="98ce7cf7-00f9-438a-a302-ff600fd25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1F7E7-7C16-4429-AC53-B38BE68E217B}">
  <ds:schemaRefs>
    <ds:schemaRef ds:uri="http://schemas.microsoft.com/office/2006/metadata/properties"/>
    <ds:schemaRef ds:uri="http://schemas.microsoft.com/office/infopath/2007/PartnerControls"/>
    <ds:schemaRef ds:uri="98ce7cf7-00f9-438a-a302-ff600fd259c9"/>
    <ds:schemaRef ds:uri="http://schemas.microsoft.com/sharepoint/v3"/>
    <ds:schemaRef ds:uri="9b4472d8-45b8-4184-ab59-d2fc63282f4c"/>
  </ds:schemaRefs>
</ds:datastoreItem>
</file>

<file path=docMetadata/LabelInfo.xml><?xml version="1.0" encoding="utf-8"?>
<clbl:labelList xmlns:clbl="http://schemas.microsoft.com/office/2020/mipLabelMetadata">
  <clbl:label id="{22fb6d45-cc6d-4840-9405-dc3f5cc76b08}" enabled="1" method="Privileged" siteId="{6f94038b-b90c-410d-8588-47828f1a475a}"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852</Words>
  <Characters>5114</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Chatys</dc:creator>
  <cp:keywords/>
  <dc:description/>
  <cp:lastModifiedBy>Wojciech Chatys</cp:lastModifiedBy>
  <cp:revision>11</cp:revision>
  <dcterms:created xsi:type="dcterms:W3CDTF">2026-07-13T10:54:00Z</dcterms:created>
  <dcterms:modified xsi:type="dcterms:W3CDTF">2026-08-31T13:49:00Z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0x0101002EFA8F03D9BA864688B8A74B009A52A7</vt:lpwstr>
  </property>
  <property fmtid="{D5CDD505-2E9C-101B-9397-08002B2CF9AE}" pid="3" name="MediaServiceImageTags">
    <vt:lpwstr/>
  </property>
</Properties>
</file>