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376C3" w14:textId="77777777" w:rsidR="00CF5A4E" w:rsidRPr="00CF5A4E" w:rsidRDefault="00CF5A4E" w:rsidP="00CF5A4E">
      <w:pPr>
        <w:spacing w:after="160" w:line="259" w:lineRule="auto"/>
        <w:rPr>
          <w:rFonts w:ascii="Noto Sans" w:eastAsiaTheme="minorHAnsi" w:hAnsi="Noto Sans" w:cs="Noto Sans"/>
          <w:b/>
          <w:bCs/>
          <w:sz w:val="28"/>
          <w:szCs w:val="28"/>
        </w:rPr>
      </w:pPr>
      <w:r w:rsidRPr="00CF5A4E">
        <w:rPr>
          <w:rFonts w:ascii="Noto Sans" w:eastAsiaTheme="minorHAnsi" w:hAnsi="Noto Sans" w:cs="Noto Sans"/>
          <w:b/>
          <w:bCs/>
          <w:sz w:val="28"/>
          <w:szCs w:val="28"/>
          <w:lang w:val="pt-PT"/>
        </w:rPr>
        <w:t>A automatização e a transparência sustentam os novos modelos de construção</w:t>
      </w:r>
    </w:p>
    <w:p w14:paraId="46700343" w14:textId="39CC6718" w:rsidR="00CF5A4E" w:rsidRPr="00CF5A4E" w:rsidRDefault="00CF5A4E" w:rsidP="00CF5A4E">
      <w:pPr>
        <w:spacing w:after="160" w:line="259" w:lineRule="auto"/>
        <w:jc w:val="both"/>
        <w:rPr>
          <w:rFonts w:ascii="Noto Sans" w:eastAsiaTheme="minorHAnsi" w:hAnsi="Noto Sans" w:cs="Noto Sans"/>
          <w:i/>
          <w:iCs/>
          <w:sz w:val="22"/>
        </w:rPr>
      </w:pPr>
      <w:r w:rsidRPr="00CF5A4E">
        <w:rPr>
          <w:rFonts w:ascii="Noto Sans" w:eastAsiaTheme="minorHAnsi" w:hAnsi="Noto Sans" w:cs="Noto Sans"/>
          <w:i/>
          <w:iCs/>
          <w:sz w:val="22"/>
          <w:lang w:val="pt-PT"/>
        </w:rPr>
        <w:t>A indústria da construção precisa de se adaptar rapidamente aos desafios apresentados pelo envelhecimento da força de trabalho, juntamente com as novas exigências regulamentares de transparência</w:t>
      </w:r>
      <w:r w:rsidRPr="00CF5A4E">
        <w:rPr>
          <w:rFonts w:ascii="Noto Sans" w:eastAsiaTheme="minorHAnsi" w:hAnsi="Noto Sans" w:cs="Noto Sans"/>
          <w:sz w:val="22"/>
          <w:lang w:val="pt-PT"/>
        </w:rPr>
        <w:t xml:space="preserve">, </w:t>
      </w:r>
      <w:r w:rsidRPr="00CF5A4E">
        <w:rPr>
          <w:rFonts w:ascii="Noto Sans" w:eastAsiaTheme="minorHAnsi" w:hAnsi="Noto Sans" w:cs="Noto Sans"/>
          <w:i/>
          <w:iCs/>
          <w:sz w:val="22"/>
          <w:lang w:val="pt-PT"/>
        </w:rPr>
        <w:t xml:space="preserve">tudo enquanto continua a fornecer a infraestrutura, os edifícios e as instalações industriais necessárias para sustentar o crescimento global. Os fabricantes de produtos para o setor da construção, apesar de também enfrentarem uma escassez de mão-de-obra qualificada, desempenham um papel fundamental na utilização da automatização para apoiar as empresas de construção na transição para modelos de construção mais industrializados, permitindo que o conhecimento especializado seja aplicado onde acrescenta mais valor, como explica Rob Ellinor, Global Building and Construction Sector Manager da </w:t>
      </w:r>
      <w:hyperlink r:id="rId6" w:history="1">
        <w:r w:rsidRPr="00062543">
          <w:rPr>
            <w:rStyle w:val="Hyperlink"/>
            <w:rFonts w:ascii="Noto Sans" w:eastAsiaTheme="minorHAnsi" w:hAnsi="Noto Sans" w:cs="Noto Sans"/>
            <w:i/>
            <w:iCs/>
            <w:sz w:val="22"/>
            <w:lang w:val="pt-PT"/>
          </w:rPr>
          <w:t>Domino Printing Sciences</w:t>
        </w:r>
      </w:hyperlink>
      <w:r w:rsidRPr="00CF5A4E">
        <w:rPr>
          <w:rFonts w:ascii="Noto Sans" w:eastAsiaTheme="minorHAnsi" w:hAnsi="Noto Sans" w:cs="Noto Sans"/>
          <w:i/>
          <w:iCs/>
          <w:sz w:val="22"/>
          <w:lang w:val="pt-PT"/>
        </w:rPr>
        <w:t>.</w:t>
      </w:r>
    </w:p>
    <w:p w14:paraId="5239F4CF" w14:textId="77777777" w:rsidR="00CF5A4E" w:rsidRPr="00CF5A4E" w:rsidRDefault="00CF5A4E" w:rsidP="00CF5A4E">
      <w:pPr>
        <w:spacing w:after="160" w:line="259" w:lineRule="auto"/>
        <w:jc w:val="both"/>
        <w:rPr>
          <w:rFonts w:ascii="Noto Sans" w:eastAsiaTheme="minorHAnsi" w:hAnsi="Noto Sans" w:cs="Noto Sans"/>
          <w:b/>
          <w:bCs/>
          <w:sz w:val="22"/>
        </w:rPr>
      </w:pPr>
      <w:r w:rsidRPr="00CF5A4E">
        <w:rPr>
          <w:rFonts w:ascii="Noto Sans" w:eastAsiaTheme="minorHAnsi" w:hAnsi="Noto Sans" w:cs="Noto Sans"/>
          <w:b/>
          <w:bCs/>
          <w:sz w:val="22"/>
          <w:lang w:val="pt-PT"/>
        </w:rPr>
        <w:t>Escassez crescente de mão-de-obra qualificada</w:t>
      </w:r>
    </w:p>
    <w:p w14:paraId="14719061"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 xml:space="preserve">A escassez global de mão-de-obra qualificada está a afetar todos os setores. Quer as empresas da construção, quer as da indústria enfrentam a atual escassez de mão de obra qualificada, agravada pelo envelhecimento da força de trabalho, que se aproxima da idade da reforma. Só no Reino Unido, existem atualmente mais de </w:t>
      </w:r>
      <w:hyperlink r:id="rId7" w:history="1">
        <w:r w:rsidRPr="00CF5A4E">
          <w:rPr>
            <w:rFonts w:ascii="Noto Sans" w:eastAsiaTheme="minorHAnsi" w:hAnsi="Noto Sans" w:cs="Noto Sans"/>
            <w:color w:val="0563C1" w:themeColor="hyperlink"/>
            <w:sz w:val="22"/>
            <w:u w:val="single"/>
            <w:lang w:val="pt-PT"/>
          </w:rPr>
          <w:t>140 000 postos de trabalho por preencher</w:t>
        </w:r>
      </w:hyperlink>
      <w:r w:rsidRPr="00CF5A4E">
        <w:rPr>
          <w:rFonts w:ascii="Noto Sans" w:eastAsiaTheme="minorHAnsi" w:hAnsi="Noto Sans" w:cs="Noto Sans"/>
          <w:sz w:val="22"/>
          <w:lang w:val="pt-PT"/>
        </w:rPr>
        <w:t xml:space="preserve"> no setor da construção e, prevendo-se que mais de um terço dos trabalhadores se reforme até 2035, as perspetivas são pouco animadoras. Com poucas pessoas a ingressar no mercado da construção e demasiadas a sair, o setor terá de recrutar mais </w:t>
      </w:r>
      <w:hyperlink r:id="rId8" w:history="1">
        <w:r w:rsidRPr="00CF5A4E">
          <w:rPr>
            <w:rFonts w:ascii="Noto Sans" w:eastAsiaTheme="minorHAnsi" w:hAnsi="Noto Sans" w:cs="Noto Sans"/>
            <w:color w:val="0563C1" w:themeColor="hyperlink"/>
            <w:sz w:val="22"/>
            <w:lang w:val="pt-PT"/>
          </w:rPr>
          <w:t xml:space="preserve">36 340 trabalhadores por ano, </w:t>
        </w:r>
        <w:r w:rsidRPr="00CF5A4E">
          <w:rPr>
            <w:rFonts w:ascii="Noto Sans" w:eastAsiaTheme="minorHAnsi" w:hAnsi="Noto Sans" w:cs="Noto Sans"/>
            <w:color w:val="0563C1" w:themeColor="hyperlink"/>
            <w:sz w:val="22"/>
            <w:u w:val="single"/>
            <w:lang w:val="pt-PT"/>
          </w:rPr>
          <w:t>mais de 181 700 nos próximos cinco anos</w:t>
        </w:r>
      </w:hyperlink>
      <w:r w:rsidRPr="00CF5A4E">
        <w:rPr>
          <w:rFonts w:ascii="Noto Sans" w:eastAsiaTheme="minorHAnsi" w:hAnsi="Noto Sans" w:cs="Noto Sans"/>
          <w:sz w:val="22"/>
          <w:u w:val="single"/>
          <w:lang w:val="pt-PT"/>
        </w:rPr>
        <w:t>,</w:t>
      </w:r>
      <w:r w:rsidRPr="00CF5A4E">
        <w:rPr>
          <w:rFonts w:ascii="Noto Sans" w:eastAsiaTheme="minorHAnsi" w:hAnsi="Noto Sans" w:cs="Noto Sans"/>
          <w:sz w:val="22"/>
          <w:lang w:val="pt-PT"/>
        </w:rPr>
        <w:t xml:space="preserve"> para satisfazer a procura prevista. Na indústria, 97,5% das empresas afirmam que </w:t>
      </w:r>
      <w:hyperlink r:id="rId9" w:history="1">
        <w:r w:rsidRPr="00CF5A4E">
          <w:rPr>
            <w:rFonts w:ascii="Noto Sans" w:eastAsiaTheme="minorHAnsi" w:hAnsi="Noto Sans" w:cs="Noto Sans"/>
            <w:color w:val="0563C1" w:themeColor="hyperlink"/>
            <w:sz w:val="22"/>
            <w:u w:val="single"/>
            <w:lang w:val="pt-PT"/>
          </w:rPr>
          <w:t>o recrutamento e a retenção de pessoal especializado</w:t>
        </w:r>
      </w:hyperlink>
      <w:r w:rsidRPr="00CF5A4E">
        <w:rPr>
          <w:rFonts w:ascii="Noto Sans" w:eastAsiaTheme="minorHAnsi" w:hAnsi="Noto Sans" w:cs="Noto Sans"/>
          <w:sz w:val="22"/>
          <w:lang w:val="pt-PT"/>
        </w:rPr>
        <w:t xml:space="preserve"> representam um desafio significativo para a sua atividade, com 75% a apontar a escassez de mão-de-obra qualificada como o maior obstáculo ao crescimento. </w:t>
      </w:r>
    </w:p>
    <w:p w14:paraId="63BC9148"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 xml:space="preserve">O acesso limitado a oportunidades de formação, a mudança nas preferências de carreira entre as gerações mais jovens e as pressões económicas globais são fatores que contribuem igualmente para os desafios de recrutamento. À medida que as empresas de construção procuram manter os níveis de produção apesar das limitações da força de trabalho, aumenta a importância da produtividade, da transparência e da eficiência dos processos. Em resposta, as organizações em toda a cadeia de valor da construção, desde os fabricantes de produtos até aos empreiteiros principais e instaladores, estão a investir em automatização, digitalização e tecnologias de identificação ricas em dados, tais como códigos 2D, para permitir modelos de construção mais conectados e industrializados. </w:t>
      </w:r>
    </w:p>
    <w:p w14:paraId="541E7243" w14:textId="77777777" w:rsidR="00CF5A4E" w:rsidRPr="00CF5A4E" w:rsidRDefault="00CF5A4E" w:rsidP="00CF5A4E">
      <w:pPr>
        <w:spacing w:after="160" w:line="259" w:lineRule="auto"/>
        <w:jc w:val="both"/>
        <w:rPr>
          <w:rFonts w:ascii="Noto Sans" w:eastAsiaTheme="minorHAnsi" w:hAnsi="Noto Sans" w:cs="Noto Sans"/>
          <w:b/>
          <w:bCs/>
          <w:sz w:val="22"/>
        </w:rPr>
      </w:pPr>
      <w:r w:rsidRPr="00CF5A4E">
        <w:rPr>
          <w:rFonts w:ascii="Noto Sans" w:eastAsiaTheme="minorHAnsi" w:hAnsi="Noto Sans" w:cs="Noto Sans"/>
          <w:b/>
          <w:bCs/>
          <w:sz w:val="22"/>
          <w:lang w:val="pt-PT"/>
        </w:rPr>
        <w:lastRenderedPageBreak/>
        <w:t>Eficiência, controlo e visibilidade</w:t>
      </w:r>
    </w:p>
    <w:p w14:paraId="2F125EE4"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 xml:space="preserve">Embora estas pressões se façam sentir em toda a cadeia de valor, os fabricantes do setor da construção enfrentam uma combinação única de desafios relacionados com a força de trabalho, a produtividade e as operações. Não estão apenas a perder conhecimento; também lhes é exigido que façam mais com menos recursos. Já lá vai o tempo das tiragens contínuas de um único produto fabricado em massa. Mesmo produtos standard, como placas de gesso, cimento e agregados, podem agora ter múltiplas variações de produto e unidades de manutenção de stock, o que exige tiragens mais curtas, mais trocas de produto e calendários cada vez mais apertados. As tiragens curtas e os tempos de resposta mais rápidos dependem de soluções de produção automatizadas e integradas que aumentam o controlo e a visibilidade, reduzindo simultaneamente o risco de erro humano. </w:t>
      </w:r>
    </w:p>
    <w:p w14:paraId="6ECF0F8A"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As soluções de automatização da codificação podem utilizar os dados de produção existentes para automatizar as trocas de produtos, ajudando a reduzir o erro humano e o tempo de inatividade, bem como aumentar a eficiência global dos turnos. A adição de ferramentas de inspeção automatizadas pode melhorar ainda mais a eficiência, permitindo que erros de máquina sejam rapidamente sinalizados aos operadores humanos e que os problemas sejam resolvidos antes de produzirem desperdício desnecessário. Por exemplo, uma linha equipada com um simples sistema de visualização de "codificação e verificação" pode rejeitar produtos que não cumprem os standards de produção, bem como fornecer alertas automáticos para promover a intervenção, permitindo que os operadores identifiquem o problema que afeta a qualidade do código.</w:t>
      </w:r>
    </w:p>
    <w:p w14:paraId="1894229D"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 xml:space="preserve">A integração de máquinas através de standards da indústria pode proporcionar uma visão mais completa do chão de fábrica, permitindo que os trabalhadores mantenham as linhas em funcionamento com tempo de inatividade limitado. Por exemplo, ao automatizar a produção, a codificação e a inspeção através de um fluxo de trabalho integrado e ligado ao sistema ERP do fabricante, é possível eliminar a intervenção humana e evitar erros. Os painéis integrados criam uma visibilidade acrescida que permite identificar estrangulamentos, ajudando a acelerar a produção e a reduzir ainda mais as ineficiências. </w:t>
      </w:r>
    </w:p>
    <w:p w14:paraId="06008FB8"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 xml:space="preserve">Para os intervenientes na cadeia de valor da construção, estas melhorias podem contribuir para produtos mais consistentes, maior transparência da produção e melhor previsibilidade das entregas. Em conjunto, estes fatores podem apoiar um melhor planeamento e coordenação em toda a cadeia de abastecimento, ajudando os </w:t>
      </w:r>
      <w:r w:rsidRPr="00CF5A4E">
        <w:rPr>
          <w:rFonts w:ascii="Noto Sans" w:eastAsiaTheme="minorHAnsi" w:hAnsi="Noto Sans" w:cs="Noto Sans"/>
          <w:sz w:val="22"/>
          <w:lang w:val="pt-PT"/>
        </w:rPr>
        <w:lastRenderedPageBreak/>
        <w:t>fabricantes e as equipas de construção a reduzir interrupções evitáveis e a responder de forma mais eficaz quando surgem problemas.</w:t>
      </w:r>
    </w:p>
    <w:p w14:paraId="5E963F89" w14:textId="77777777" w:rsidR="00CF5A4E" w:rsidRPr="00CF5A4E" w:rsidRDefault="00CF5A4E" w:rsidP="00CF5A4E">
      <w:pPr>
        <w:spacing w:after="160" w:line="259" w:lineRule="auto"/>
        <w:jc w:val="both"/>
        <w:rPr>
          <w:rFonts w:ascii="Noto Sans" w:eastAsiaTheme="minorHAnsi" w:hAnsi="Noto Sans" w:cs="Noto Sans"/>
          <w:b/>
          <w:bCs/>
          <w:sz w:val="22"/>
        </w:rPr>
      </w:pPr>
      <w:r w:rsidRPr="00CF5A4E">
        <w:rPr>
          <w:rFonts w:ascii="Noto Sans" w:eastAsiaTheme="minorHAnsi" w:hAnsi="Noto Sans" w:cs="Noto Sans"/>
          <w:b/>
          <w:bCs/>
          <w:sz w:val="22"/>
          <w:lang w:val="pt-PT"/>
        </w:rPr>
        <w:t>Rastreabilidade de ponta a ponta</w:t>
      </w:r>
    </w:p>
    <w:p w14:paraId="451065BA"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 xml:space="preserve">Os sistemas de produção automatizados e integrados constituem a base para a rastreabilidade de ponta a ponta no setor. </w:t>
      </w:r>
    </w:p>
    <w:p w14:paraId="211B6D2F"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 xml:space="preserve">A conformidade com os novos regulamentos da UE, incluindo o Regulamento de Produtos de Construção (RPC) exigirá que os fabricantes forneçam informações de produto digitais e estruturadas, que possam ser acedidas e partilhadas de forma consistente ao longo de todo o ciclo de vida de um edifício. </w:t>
      </w:r>
    </w:p>
    <w:p w14:paraId="34386B08"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Ao utilizar dados de produção automatizados e normas globais, como GS1 Digital Link e códigos 2D, os fabricantes podem integrar a documentação de conformidade nos códigos do produto como parte do processo de produção, criando um registo digital desde o chão de fábrica até ao local de construção.</w:t>
      </w:r>
    </w:p>
    <w:p w14:paraId="736EEC44"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 xml:space="preserve">A criação de um registo digital de ponta a ponta pode agilizar processos, aprovações e assinaturas, reduzindo a carga administrativa dos gestores de construção. Para além da conformidade, pode ajudar a criar um registo digital mais rico da própria construção, associando produtos específicos a registos de instalação, dados de inspeção, fotografias e informações de localização. Isto pode apoiar a criação de registos </w:t>
      </w:r>
      <w:r w:rsidRPr="00CF5A4E">
        <w:rPr>
          <w:rFonts w:ascii="Noto Sans" w:eastAsiaTheme="minorHAnsi" w:hAnsi="Noto Sans" w:cs="Noto Sans"/>
          <w:i/>
          <w:iCs/>
          <w:sz w:val="22"/>
          <w:lang w:val="pt-PT"/>
        </w:rPr>
        <w:t>as-built</w:t>
      </w:r>
      <w:r w:rsidRPr="00CF5A4E">
        <w:rPr>
          <w:rFonts w:ascii="Noto Sans" w:eastAsiaTheme="minorHAnsi" w:hAnsi="Noto Sans" w:cs="Noto Sans"/>
          <w:sz w:val="22"/>
          <w:lang w:val="pt-PT"/>
        </w:rPr>
        <w:t xml:space="preserve"> mais precisos, facilitando a verificação do que foi instalado, a demonstração da conformidade e o acesso a informações relevantes sobre produtos, manuais de instruções ou fichas de segurança ao longo do ciclo de vida de um edifício.</w:t>
      </w:r>
    </w:p>
    <w:p w14:paraId="016AEF28" w14:textId="77777777" w:rsidR="00CF5A4E" w:rsidRPr="00CF5A4E" w:rsidRDefault="00CF5A4E" w:rsidP="00CF5A4E">
      <w:pPr>
        <w:spacing w:after="160" w:line="259" w:lineRule="auto"/>
        <w:rPr>
          <w:rFonts w:ascii="Noto Sans" w:eastAsiaTheme="minorHAnsi" w:hAnsi="Noto Sans" w:cs="Noto Sans"/>
          <w:sz w:val="22"/>
        </w:rPr>
      </w:pPr>
      <w:r w:rsidRPr="00CF5A4E">
        <w:rPr>
          <w:rFonts w:ascii="Noto Sans" w:eastAsiaTheme="minorHAnsi" w:hAnsi="Noto Sans" w:cs="Noto Sans"/>
          <w:sz w:val="22"/>
          <w:lang w:val="pt-PT"/>
        </w:rPr>
        <w:t>Fornecer esta informação num formato consistente e acessível pode ajudar os trabalhadores menos experientes a executar corretamente as suas tarefas, reduzindo a dependência de um grupo cada vez mais restrito de especialistas e promovendo a transferência de conhecimento entre as equipas.</w:t>
      </w:r>
    </w:p>
    <w:p w14:paraId="7E658E25" w14:textId="77777777" w:rsidR="00CF5A4E" w:rsidRPr="00CF5A4E" w:rsidRDefault="00CF5A4E" w:rsidP="00CF5A4E">
      <w:pPr>
        <w:spacing w:after="160" w:line="259" w:lineRule="auto"/>
        <w:rPr>
          <w:rFonts w:ascii="Noto Sans" w:eastAsiaTheme="minorHAnsi" w:hAnsi="Noto Sans" w:cs="Noto Sans"/>
          <w:b/>
          <w:bCs/>
          <w:sz w:val="22"/>
        </w:rPr>
      </w:pPr>
      <w:r w:rsidRPr="00CF5A4E">
        <w:rPr>
          <w:rFonts w:ascii="Noto Sans" w:eastAsiaTheme="minorHAnsi" w:hAnsi="Noto Sans" w:cs="Noto Sans"/>
          <w:b/>
          <w:bCs/>
          <w:sz w:val="22"/>
          <w:lang w:val="pt-PT"/>
        </w:rPr>
        <w:t>Expansão da construção modular</w:t>
      </w:r>
    </w:p>
    <w:p w14:paraId="190B1FA0"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 xml:space="preserve">A automatização está também na base de um dos maiores desenvolvimentos da indústria da construção: o rápido crescimento dos componentes modulares e dos projetos de construção modular. O próspero </w:t>
      </w:r>
      <w:hyperlink r:id="rId10" w:history="1">
        <w:r w:rsidRPr="00CF5A4E">
          <w:rPr>
            <w:rFonts w:ascii="Noto Sans" w:eastAsiaTheme="minorHAnsi" w:hAnsi="Noto Sans" w:cs="Noto Sans"/>
            <w:color w:val="0563C1" w:themeColor="hyperlink"/>
            <w:sz w:val="22"/>
            <w:u w:val="single"/>
            <w:lang w:val="pt-PT"/>
          </w:rPr>
          <w:t>mercado de construção pré-fabricada</w:t>
        </w:r>
      </w:hyperlink>
      <w:r w:rsidRPr="00CF5A4E">
        <w:rPr>
          <w:rFonts w:ascii="Noto Sans" w:eastAsiaTheme="minorHAnsi" w:hAnsi="Noto Sans" w:cs="Noto Sans"/>
          <w:sz w:val="22"/>
          <w:lang w:val="pt-PT"/>
        </w:rPr>
        <w:t xml:space="preserve"> oferece uma solução para a escassez de mão-de-obra qualificada, ajudando simultaneamente a gerir os custos de construção e as exigências de práticas de construção ambientalmente responsáveis, prevendo-se que o valor de mercado atinja os 163,93 mil milhões de USD até 2030.</w:t>
      </w:r>
    </w:p>
    <w:p w14:paraId="5AC8F7A5"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lastRenderedPageBreak/>
        <w:t>Para a indústria da construção, o método modular é apelativo. Com componentes fabricados fora do local e elementos de construção parcialmente ou totalmente montados no local, a pré-fabricação permite que as empresas de construção reduzam a quantidade de mão-de-obra qualificada necessária no local, melhorem a previsibilidade do calendário de produção e reduzam o tempo de execução da obra no local. No entanto, exige um maior nível de planeamento, coordenação, garantia da qualidade e identificação dos produtos para assegurar a verificação, a instalação e a entrada em funcionamento de conjuntos cada vez mais complexos. Assim, para os fabricantes, a construção modular reforça ainda mais a necessidade de transparência: o sucesso dos projetos depende de uma precisão absoluta dos componentes. Qualquer erro, por exemplo, no fornecimento de cabos elétricos ou outras peças necessárias para a construção de uma divisão modular poderá resultar na rejeição de todo o módulo.</w:t>
      </w:r>
    </w:p>
    <w:p w14:paraId="6AD14975"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 xml:space="preserve">A automatização é fundamental para gerir novos níveis de flexibilidade de forma eficiente, uma vez que as linhas que produzem componentes modulares têm de alternar rapidamente entre diferentes tipos de componentes. As soluções modulares reforçam ainda mais a necessidade de rastreabilidade na produção. Com cada componente monitorizado na produção e associado a uma posição definida num módulo de edifício específico, a utilização de códigos 2D será fundamental para alcançar a precisão e a rastreabilidade de produtos ao longo dos processos de produção e pré-montagem.  </w:t>
      </w:r>
    </w:p>
    <w:p w14:paraId="79FC0982" w14:textId="77777777" w:rsidR="00CF5A4E" w:rsidRPr="00CF5A4E" w:rsidRDefault="00CF5A4E" w:rsidP="00CF5A4E">
      <w:pPr>
        <w:spacing w:after="160" w:line="259" w:lineRule="auto"/>
        <w:jc w:val="both"/>
        <w:rPr>
          <w:rFonts w:ascii="Noto Sans" w:eastAsiaTheme="minorHAnsi" w:hAnsi="Noto Sans" w:cs="Noto Sans"/>
          <w:b/>
          <w:bCs/>
          <w:sz w:val="22"/>
        </w:rPr>
      </w:pPr>
      <w:r w:rsidRPr="00CF5A4E">
        <w:rPr>
          <w:rFonts w:ascii="Noto Sans" w:eastAsiaTheme="minorHAnsi" w:hAnsi="Noto Sans" w:cs="Noto Sans"/>
          <w:b/>
          <w:bCs/>
          <w:sz w:val="22"/>
          <w:lang w:val="pt-PT"/>
        </w:rPr>
        <w:t>Retenção de conhecimento</w:t>
      </w:r>
    </w:p>
    <w:p w14:paraId="5505B1BE"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 xml:space="preserve">A rápida adoção de novos modelos de construção, incluindo a pré-fabricação, sublinha as mudanças que a indústria enfrenta, nomeadamente a perda de conhecimentos vitais à medida que os trabalhadores experientes abandonam a força de trabalho. Além de apoiar a rastreabilidade e a visibilidade necessárias, a automatização oferece uma forma de assegurar e reter o conhecimento. </w:t>
      </w:r>
    </w:p>
    <w:p w14:paraId="5680A70E"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 xml:space="preserve">A automatização é orientada por dados, apoiada por análises que captam as características de utilização de uma linha de produção. Permite que as tendências e as melhores práticas sejam registadas e desenvolvidas em políticas e procedimentos operativos standardizados, que podem ser rapidamente compreendidos por colaboradores com menos experiência. </w:t>
      </w:r>
    </w:p>
    <w:p w14:paraId="2095A68B"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 xml:space="preserve">Os desenvolvimentos digitais e a IA andam frequentemente de mãos dadas, e os fabricantes de produtos de construção podem tirar partido dos dados obtidos através da automatização, juntamente com a IA, para otimizar ainda mais as operações, apoiar a tomada de decisões e registar as ações que os operadores tomam em resposta a relatórios e resultados. Para além da produção, uma área onde já estamos a observar este fenómeno é na indústria da construção, através da utilização de ferramentas de </w:t>
      </w:r>
      <w:r w:rsidRPr="00CF5A4E">
        <w:rPr>
          <w:rFonts w:ascii="Noto Sans" w:eastAsiaTheme="minorHAnsi" w:hAnsi="Noto Sans" w:cs="Noto Sans"/>
          <w:sz w:val="22"/>
          <w:lang w:val="pt-PT"/>
        </w:rPr>
        <w:lastRenderedPageBreak/>
        <w:t>pesquisa por IA para associar requisitos específicos de um projeto a uma unidade de manutenção de stock exata quando são adotadas normas globais; isto ajuda a promover a "seleção por IA" de componentes no design.</w:t>
      </w:r>
    </w:p>
    <w:p w14:paraId="2822EFE6" w14:textId="77777777"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 xml:space="preserve">Existem desafios significativos no futuro da indústria da construção, e os fabricantes de produtos de construção, bem como o setor como um todo, terão de se adaptar para permanecerem competitivos e garantirem que o conhecimento é retido, consolidado e tornado acessível para o futuro. As ferramentas para apoiar esta transição já estão em vigor, sendo necessário apenas implementá-las de forma eficaz. </w:t>
      </w:r>
    </w:p>
    <w:p w14:paraId="5F5A1661" w14:textId="09541D35" w:rsidR="00CF5A4E" w:rsidRPr="00CF5A4E" w:rsidRDefault="00CF5A4E" w:rsidP="00CF5A4E">
      <w:pPr>
        <w:spacing w:after="160" w:line="259" w:lineRule="auto"/>
        <w:jc w:val="both"/>
        <w:rPr>
          <w:rFonts w:ascii="Noto Sans" w:eastAsiaTheme="minorHAnsi" w:hAnsi="Noto Sans" w:cs="Noto Sans"/>
          <w:sz w:val="22"/>
        </w:rPr>
      </w:pPr>
      <w:r w:rsidRPr="00CF5A4E">
        <w:rPr>
          <w:rFonts w:ascii="Noto Sans" w:eastAsiaTheme="minorHAnsi" w:hAnsi="Noto Sans" w:cs="Noto Sans"/>
          <w:sz w:val="22"/>
          <w:lang w:val="pt-PT"/>
        </w:rPr>
        <w:t xml:space="preserve">Para os fabricantes, o primeiro passo é compreender como os códigos 2D podem ser integrados nos </w:t>
      </w:r>
      <w:hyperlink r:id="rId11" w:history="1">
        <w:r w:rsidRPr="00196492">
          <w:rPr>
            <w:rStyle w:val="Hyperlink"/>
            <w:rFonts w:ascii="Noto Sans" w:eastAsiaTheme="minorHAnsi" w:hAnsi="Noto Sans" w:cs="Noto Sans"/>
            <w:sz w:val="22"/>
            <w:lang w:val="pt-PT"/>
          </w:rPr>
          <w:t>processos de produção</w:t>
        </w:r>
      </w:hyperlink>
      <w:r w:rsidRPr="00196492">
        <w:rPr>
          <w:rFonts w:ascii="Noto Sans" w:eastAsiaTheme="minorHAnsi" w:hAnsi="Noto Sans" w:cs="Noto Sans"/>
          <w:sz w:val="22"/>
          <w:lang w:val="pt-PT"/>
        </w:rPr>
        <w:t>.</w:t>
      </w:r>
    </w:p>
    <w:p w14:paraId="26128540" w14:textId="77777777" w:rsidR="00196492" w:rsidRDefault="00196492" w:rsidP="00CF5A4E">
      <w:pPr>
        <w:spacing w:after="160" w:line="259" w:lineRule="auto"/>
        <w:jc w:val="both"/>
        <w:rPr>
          <w:rFonts w:ascii="Noto Sans" w:eastAsiaTheme="minorHAnsi" w:hAnsi="Noto Sans" w:cs="Noto Sans"/>
          <w:sz w:val="22"/>
          <w:lang w:val="pt-PT"/>
        </w:rPr>
      </w:pPr>
    </w:p>
    <w:p w14:paraId="1E19808D" w14:textId="30B4E06D" w:rsidR="00CF5A4E" w:rsidRPr="00CF5A4E" w:rsidRDefault="00CF5A4E" w:rsidP="00CF5A4E">
      <w:pPr>
        <w:spacing w:after="160" w:line="259" w:lineRule="auto"/>
        <w:jc w:val="both"/>
        <w:rPr>
          <w:rFonts w:ascii="Noto Sans" w:eastAsiaTheme="minorHAnsi" w:hAnsi="Noto Sans" w:cs="Noto Sans"/>
          <w:sz w:val="22"/>
          <w:lang w:val="pt-PT"/>
        </w:rPr>
      </w:pPr>
      <w:r w:rsidRPr="00CF5A4E">
        <w:rPr>
          <w:rFonts w:ascii="Noto Sans" w:eastAsiaTheme="minorHAnsi" w:hAnsi="Noto Sans" w:cs="Noto Sans"/>
          <w:sz w:val="22"/>
          <w:lang w:val="pt-PT"/>
        </w:rPr>
        <w:t>&lt;</w:t>
      </w:r>
      <w:r w:rsidRPr="00CF5A4E">
        <w:rPr>
          <w:rFonts w:ascii="Noto Sans" w:eastAsiaTheme="minorHAnsi" w:hAnsi="Noto Sans" w:cs="Noto Sans"/>
          <w:b/>
          <w:bCs/>
          <w:sz w:val="22"/>
          <w:lang w:val="pt-PT"/>
        </w:rPr>
        <w:t>FIM</w:t>
      </w:r>
      <w:r w:rsidRPr="00CF5A4E">
        <w:rPr>
          <w:rFonts w:ascii="Noto Sans" w:eastAsiaTheme="minorHAnsi" w:hAnsi="Noto Sans" w:cs="Noto Sans"/>
          <w:sz w:val="22"/>
          <w:lang w:val="pt-PT"/>
        </w:rPr>
        <w:t xml:space="preserve">&gt; </w:t>
      </w:r>
    </w:p>
    <w:p w14:paraId="0D749AAF" w14:textId="77777777" w:rsidR="00196492" w:rsidRDefault="00196492" w:rsidP="00976AF6">
      <w:pPr>
        <w:spacing w:line="240" w:lineRule="auto"/>
        <w:rPr>
          <w:rFonts w:ascii="Noto Sans" w:hAnsi="Noto Sans" w:cs="Noto Sans"/>
          <w:b/>
          <w:bCs/>
          <w:sz w:val="20"/>
          <w:szCs w:val="20"/>
          <w:lang w:val="pt"/>
        </w:rPr>
      </w:pPr>
      <w:bookmarkStart w:id="0" w:name="_Hlk531088985"/>
      <w:bookmarkStart w:id="1" w:name="_Hlk61949672"/>
    </w:p>
    <w:p w14:paraId="523DE478" w14:textId="2F8E9EF3" w:rsidR="00976AF6" w:rsidRPr="00976AF6" w:rsidRDefault="00CF5A4E" w:rsidP="00976AF6">
      <w:pPr>
        <w:spacing w:line="240" w:lineRule="auto"/>
        <w:rPr>
          <w:rFonts w:ascii="Noto Sans" w:hAnsi="Noto Sans" w:cs="Noto Sans"/>
          <w:b/>
          <w:bCs/>
          <w:sz w:val="20"/>
          <w:szCs w:val="20"/>
          <w:lang w:val="pt"/>
        </w:rPr>
      </w:pPr>
      <w:r w:rsidRPr="002856FD">
        <w:rPr>
          <w:rFonts w:ascii="Noto Sans" w:hAnsi="Noto Sans" w:cs="Noto Sans"/>
          <w:b/>
          <w:bCs/>
          <w:sz w:val="20"/>
          <w:szCs w:val="20"/>
          <w:lang w:val="pt"/>
        </w:rPr>
        <w:t>Isenção de responsabilidade</w:t>
      </w:r>
      <w:bookmarkEnd w:id="0"/>
      <w:r w:rsidRPr="002856FD">
        <w:rPr>
          <w:rFonts w:ascii="Noto Sans" w:hAnsi="Noto Sans" w:cs="Noto Sans"/>
          <w:sz w:val="20"/>
          <w:szCs w:val="20"/>
          <w:lang w:val="pt"/>
        </w:rPr>
        <w:br/>
      </w:r>
      <w:r w:rsidRPr="002856FD">
        <w:rPr>
          <w:rFonts w:ascii="Noto Sans" w:hAnsi="Noto Sans" w:cs="Noto Sans"/>
          <w:sz w:val="20"/>
          <w:szCs w:val="20"/>
          <w:lang w:val="pt"/>
        </w:rPr>
        <w:br/>
      </w:r>
      <w:r w:rsidR="00976AF6" w:rsidRPr="00976AF6">
        <w:rPr>
          <w:rFonts w:ascii="Noto Sans" w:hAnsi="Noto Sans" w:cs="Noto Sans"/>
          <w:b/>
          <w:bCs/>
          <w:sz w:val="20"/>
          <w:szCs w:val="20"/>
          <w:lang w:val="pt"/>
        </w:rPr>
        <w:t>Tintas</w:t>
      </w:r>
    </w:p>
    <w:p w14:paraId="2B72B38D" w14:textId="77777777" w:rsidR="00976AF6" w:rsidRPr="00976AF6" w:rsidRDefault="00976AF6" w:rsidP="00976AF6">
      <w:pPr>
        <w:spacing w:line="240" w:lineRule="auto"/>
        <w:rPr>
          <w:rFonts w:ascii="Noto Sans" w:hAnsi="Noto Sans" w:cs="Noto Sans"/>
          <w:sz w:val="20"/>
          <w:szCs w:val="20"/>
          <w:lang w:val="pt"/>
        </w:rPr>
      </w:pPr>
      <w:r w:rsidRPr="00976AF6">
        <w:rPr>
          <w:rFonts w:ascii="Noto Sans" w:hAnsi="Noto Sans" w:cs="Noto Sans"/>
          <w:sz w:val="20"/>
          <w:szCs w:val="20"/>
          <w:lang w:val="pt"/>
        </w:rPr>
        <w:t>As informações que se encontram no presente documento não devem substituir a realização dos testes adequados às suas circunstâncias e usos específicos. A Marque TDI, S.A. e as empresas do grupo Domino não serão, de forma alguma, responsáveis por qualquer tipo de confiança com base neste documento em relação à adequação de qualquer uma das nossas tintas para a sua aplicação em particular. O presente documento não faz parte de quaisquer termos e condições celebrados entre si e a Domino.  Os Termos e Condições de venda da Domino, em particular as garantias e responsabilidades presentes nos mesmos, dever-se-ão aplicar a qualquer uma das suas  compra de produtos.</w:t>
      </w:r>
    </w:p>
    <w:p w14:paraId="6A5EE789" w14:textId="77777777" w:rsidR="00976AF6" w:rsidRPr="00976AF6" w:rsidRDefault="00976AF6" w:rsidP="00976AF6">
      <w:pPr>
        <w:spacing w:line="240" w:lineRule="auto"/>
        <w:rPr>
          <w:rFonts w:ascii="Noto Sans" w:hAnsi="Noto Sans" w:cs="Noto Sans"/>
          <w:b/>
          <w:bCs/>
          <w:sz w:val="20"/>
          <w:szCs w:val="20"/>
          <w:lang w:val="pt"/>
        </w:rPr>
      </w:pPr>
    </w:p>
    <w:p w14:paraId="55E55F44" w14:textId="77777777" w:rsidR="00976AF6" w:rsidRPr="00976AF6" w:rsidRDefault="00976AF6" w:rsidP="00976AF6">
      <w:pPr>
        <w:spacing w:line="240" w:lineRule="auto"/>
        <w:rPr>
          <w:rFonts w:ascii="Noto Sans" w:hAnsi="Noto Sans" w:cs="Noto Sans"/>
          <w:b/>
          <w:bCs/>
          <w:sz w:val="20"/>
          <w:szCs w:val="20"/>
          <w:lang w:val="pt"/>
        </w:rPr>
      </w:pPr>
      <w:r w:rsidRPr="00976AF6">
        <w:rPr>
          <w:rFonts w:ascii="Noto Sans" w:hAnsi="Noto Sans" w:cs="Noto Sans"/>
          <w:b/>
          <w:bCs/>
          <w:sz w:val="20"/>
          <w:szCs w:val="20"/>
          <w:lang w:val="pt"/>
        </w:rPr>
        <w:t>Geral</w:t>
      </w:r>
    </w:p>
    <w:p w14:paraId="3E7E953F" w14:textId="5B848E24" w:rsidR="00CF5A4E" w:rsidRPr="002B23C7" w:rsidRDefault="00976AF6" w:rsidP="00976AF6">
      <w:pPr>
        <w:spacing w:line="240" w:lineRule="auto"/>
        <w:rPr>
          <w:rFonts w:ascii="Noto Sans" w:eastAsiaTheme="minorHAnsi" w:hAnsi="Noto Sans" w:cs="Noto Sans"/>
          <w:sz w:val="22"/>
          <w:lang w:val="pt-PT"/>
        </w:rPr>
      </w:pPr>
      <w:r w:rsidRPr="00976AF6">
        <w:rPr>
          <w:rFonts w:ascii="Noto Sans" w:hAnsi="Noto Sans" w:cs="Noto Sans"/>
          <w:sz w:val="20"/>
          <w:szCs w:val="20"/>
          <w:lang w:val="pt"/>
        </w:rPr>
        <w:t>As informações constantes no presente comunicado de imprensa são consideradas verdadeiras e corretas à data da publicação pela Domino. Qualquer alteração verificada após a data da publicação pode afetar a exatidão destas informações. Todos os valores em termos de desempenho e alegações, citados no presente, documento foram obtidos sob condições específicas e apenas poderão ser repetidos sob condições semelhantes. Para obter detalhes específicos do produto, deve entrar em contacto com o seu Consultor Comercial da Domino. O presente documento não faz parte de quaisquer termos e condições celebrados entre si e a Domino.</w:t>
      </w:r>
      <w:r w:rsidR="00CF5A4E" w:rsidRPr="00976AF6">
        <w:rPr>
          <w:rFonts w:ascii="Noto Sans" w:hAnsi="Noto Sans" w:cs="Noto Sans"/>
          <w:sz w:val="20"/>
          <w:szCs w:val="20"/>
          <w:lang w:val="pt"/>
        </w:rPr>
        <w:br/>
      </w:r>
      <w:r w:rsidR="00CF5A4E" w:rsidRPr="002856FD">
        <w:rPr>
          <w:rFonts w:ascii="Noto Sans" w:hAnsi="Noto Sans" w:cs="Noto Sans"/>
          <w:sz w:val="20"/>
          <w:szCs w:val="20"/>
          <w:lang w:val="pt"/>
        </w:rPr>
        <w:br/>
      </w:r>
      <w:r w:rsidR="00CF5A4E" w:rsidRPr="002856FD">
        <w:rPr>
          <w:rFonts w:ascii="Noto Sans" w:hAnsi="Noto Sans" w:cs="Noto Sans"/>
          <w:b/>
          <w:bCs/>
          <w:sz w:val="20"/>
          <w:szCs w:val="20"/>
          <w:lang w:val="pt"/>
        </w:rPr>
        <w:t>Imagens</w:t>
      </w:r>
      <w:r w:rsidR="00CF5A4E" w:rsidRPr="002856FD">
        <w:rPr>
          <w:rFonts w:ascii="Noto Sans" w:hAnsi="Noto Sans" w:cs="Noto Sans"/>
          <w:sz w:val="20"/>
          <w:szCs w:val="20"/>
          <w:lang w:val="pt"/>
        </w:rPr>
        <w:br/>
        <w:t xml:space="preserve">As imagens podem incluir melhorias ou extras opcionais. A qualidade de impressão pode variar de acordo com os consumíveis, o equipamento, a superfície e outros fatores. As imagens e fotografias não fazem parte de quaisquer termos e condições celebrados entre si e a Domino Portugal. </w:t>
      </w:r>
      <w:r w:rsidR="00CF5A4E" w:rsidRPr="002856FD">
        <w:rPr>
          <w:rFonts w:ascii="Noto Sans" w:hAnsi="Noto Sans" w:cs="Noto Sans"/>
          <w:sz w:val="20"/>
          <w:szCs w:val="20"/>
          <w:lang w:val="pt"/>
        </w:rPr>
        <w:br/>
      </w:r>
      <w:r w:rsidR="00CF5A4E" w:rsidRPr="002856FD">
        <w:rPr>
          <w:rFonts w:ascii="Noto Sans" w:hAnsi="Noto Sans" w:cs="Noto Sans"/>
          <w:sz w:val="20"/>
          <w:szCs w:val="20"/>
          <w:lang w:val="pt"/>
        </w:rPr>
        <w:lastRenderedPageBreak/>
        <w:br/>
      </w:r>
      <w:r w:rsidR="00CF5A4E" w:rsidRPr="002856FD">
        <w:rPr>
          <w:rFonts w:ascii="Noto Sans" w:hAnsi="Noto Sans" w:cs="Noto Sans"/>
          <w:b/>
          <w:bCs/>
          <w:sz w:val="20"/>
          <w:szCs w:val="20"/>
          <w:lang w:val="pt"/>
        </w:rPr>
        <w:t>Vídeos</w:t>
      </w:r>
      <w:r w:rsidR="00CF5A4E" w:rsidRPr="002856FD">
        <w:rPr>
          <w:rFonts w:ascii="Noto Sans" w:hAnsi="Noto Sans" w:cs="Noto Sans"/>
          <w:sz w:val="20"/>
          <w:szCs w:val="20"/>
          <w:lang w:val="pt"/>
        </w:rPr>
        <w:br/>
        <w:t>Este vídeo é apenas ilustrativo e pode incluir extras opcionais. Os valores relativos ao desempenho foram obtidos sob condições específicas; o desempenho individual pode variar. Os erros e as paragens das linhas de produção podem ser inevitáveis. Nada do que se encontra neste vídeo faz parte de qualquer contrato celebrado entre si e a Domino Portugal.</w:t>
      </w:r>
      <w:r w:rsidR="00CF5A4E" w:rsidRPr="002856FD">
        <w:rPr>
          <w:rFonts w:ascii="Noto Sans" w:eastAsia="Gill Sans" w:hAnsi="Noto Sans" w:cs="Noto Sans"/>
          <w:sz w:val="20"/>
          <w:szCs w:val="20"/>
          <w:lang w:val="es-ES"/>
        </w:rPr>
        <w:br/>
      </w:r>
      <w:r w:rsidR="00CF5A4E" w:rsidRPr="002E0B38">
        <w:rPr>
          <w:rFonts w:ascii="Noto Sans" w:eastAsia="Gill Sans" w:hAnsi="Noto Sans" w:cs="Noto Sans"/>
          <w:b/>
          <w:sz w:val="20"/>
          <w:szCs w:val="20"/>
          <w:lang w:val="es-ES"/>
        </w:rPr>
        <w:br/>
      </w:r>
      <w:r w:rsidR="00CF5A4E" w:rsidRPr="002E0B38">
        <w:rPr>
          <w:rFonts w:ascii="Noto Sans" w:eastAsia="Gill Sans" w:hAnsi="Noto Sans" w:cs="Noto Sans"/>
          <w:b/>
          <w:bCs/>
          <w:sz w:val="20"/>
          <w:szCs w:val="20"/>
          <w:lang w:val="pt-PT"/>
        </w:rPr>
        <w:t>Notas para os editores:</w:t>
      </w:r>
      <w:r w:rsidR="00CF5A4E" w:rsidRPr="002E0B38">
        <w:rPr>
          <w:rFonts w:ascii="Noto Sans" w:eastAsia="Gill Sans" w:hAnsi="Noto Sans" w:cs="Noto Sans"/>
          <w:b/>
          <w:sz w:val="20"/>
          <w:szCs w:val="20"/>
          <w:lang w:val="es-ES"/>
        </w:rPr>
        <w:br/>
      </w:r>
      <w:r w:rsidR="00CF5A4E" w:rsidRPr="002E0B38">
        <w:rPr>
          <w:rFonts w:ascii="Noto Sans" w:eastAsia="Gill Sans" w:hAnsi="Noto Sans" w:cs="Noto Sans"/>
          <w:sz w:val="20"/>
          <w:szCs w:val="20"/>
          <w:lang w:val="es-ES"/>
        </w:rPr>
        <w:br/>
      </w:r>
      <w:r w:rsidR="00CF5A4E" w:rsidRPr="002856FD">
        <w:rPr>
          <w:rFonts w:ascii="Noto Sans" w:hAnsi="Noto Sans" w:cs="Noto Sans"/>
          <w:b/>
          <w:bCs/>
          <w:color w:val="000000" w:themeColor="text1"/>
          <w:sz w:val="20"/>
          <w:szCs w:val="20"/>
          <w:lang w:val="pt"/>
        </w:rPr>
        <w:t>Acerca da Domino</w:t>
      </w:r>
      <w:r w:rsidR="00CF5A4E">
        <w:rPr>
          <w:rFonts w:ascii="Noto Sans" w:hAnsi="Noto Sans" w:cs="Noto Sans"/>
          <w:b/>
          <w:bCs/>
          <w:color w:val="000000" w:themeColor="text1"/>
          <w:sz w:val="20"/>
          <w:szCs w:val="20"/>
          <w:lang w:val="pt"/>
        </w:rPr>
        <w:br/>
      </w:r>
      <w:r w:rsidR="00CF5A4E" w:rsidRPr="002856FD">
        <w:rPr>
          <w:rFonts w:ascii="Noto Sans" w:hAnsi="Noto Sans" w:cs="Noto Sans"/>
          <w:sz w:val="20"/>
          <w:szCs w:val="20"/>
          <w:lang w:val="pt"/>
        </w:rPr>
        <w:t xml:space="preserve">Desde 1978, a Domino Printing Sciences (Domino) estabeleceu uma reputação global relativamente ao desenvolvimento e fabrico de tecnologias de codificação, marcação e impressão, revelando um idêntico prestígio nos seus produtos de pós-venda e de apoio ao cliente a nível mundial. Atualmente, a Domino oferece uma das mais abrangentes gamas de soluções de codificação, desenvolvidas com o objetivo de satisfazer os requisitos de conformidade e produtividade dos fabricantes em inúmeros setores, incluindo bebidas, produtos alimentares, farmacêuticos e industriais. As principais tecnologias da empresa incluem sistemas inovadores de impressão a jato de tinta, impressão a laser, impressão e aplicação, e impressão por transferência térmica desenvolvidos para a aplicação de dados variáveis, códigos de barras e códigos de rastreabilidade exclusivos em produtos e embalagens. </w:t>
      </w:r>
      <w:r w:rsidR="00CF5A4E" w:rsidRPr="002856FD">
        <w:rPr>
          <w:rFonts w:ascii="Noto Sans" w:hAnsi="Noto Sans" w:cs="Noto Sans"/>
          <w:sz w:val="20"/>
          <w:szCs w:val="20"/>
          <w:lang w:val="pt"/>
        </w:rPr>
        <w:br/>
      </w:r>
      <w:r w:rsidR="00CF5A4E" w:rsidRPr="002856FD">
        <w:rPr>
          <w:rFonts w:ascii="Noto Sans" w:hAnsi="Noto Sans" w:cs="Noto Sans"/>
          <w:sz w:val="20"/>
          <w:szCs w:val="20"/>
          <w:lang w:val="pt"/>
        </w:rPr>
        <w:br/>
        <w:t>A Domino emprega mais de 3 000 pessoas em todo o mundo e comercializa para mais de 120 países através de uma rede global de 29 filiais e mais de 200 distribuidores. As instalações de fabrico da Domino localizam-se na Alemanha, China, EUA, Índia, Reino Unido, Suécia e Suíça.</w:t>
      </w:r>
      <w:r w:rsidR="00CF5A4E" w:rsidRPr="002856FD">
        <w:rPr>
          <w:rFonts w:ascii="Noto Sans" w:hAnsi="Noto Sans" w:cs="Noto Sans"/>
          <w:sz w:val="20"/>
          <w:szCs w:val="20"/>
          <w:lang w:val="pt"/>
        </w:rPr>
        <w:br/>
      </w:r>
      <w:r w:rsidR="00CF5A4E" w:rsidRPr="002856FD">
        <w:rPr>
          <w:rFonts w:ascii="Noto Sans" w:hAnsi="Noto Sans" w:cs="Noto Sans"/>
          <w:sz w:val="20"/>
          <w:szCs w:val="20"/>
          <w:lang w:val="pt"/>
        </w:rPr>
        <w:br/>
        <w:t xml:space="preserve">A Domino tornou-se uma divisão independente da Brother Industries Ltd. a 11 de junho de 2015. </w:t>
      </w:r>
      <w:r w:rsidR="00CF5A4E" w:rsidRPr="002856FD">
        <w:rPr>
          <w:rFonts w:ascii="Noto Sans" w:hAnsi="Noto Sans" w:cs="Noto Sans"/>
          <w:sz w:val="20"/>
          <w:szCs w:val="20"/>
          <w:lang w:val="pt"/>
        </w:rPr>
        <w:br/>
      </w:r>
      <w:r w:rsidR="00CF5A4E" w:rsidRPr="002856FD">
        <w:rPr>
          <w:rFonts w:ascii="Noto Sans" w:hAnsi="Noto Sans" w:cs="Noto Sans"/>
          <w:sz w:val="20"/>
          <w:szCs w:val="20"/>
          <w:lang w:val="pt"/>
        </w:rPr>
        <w:br/>
        <w:t>Para obter mais informações sobre a Domino,</w:t>
      </w:r>
      <w:r w:rsidR="00CF5A4E" w:rsidRPr="002856FD">
        <w:rPr>
          <w:rFonts w:ascii="Noto Sans" w:hAnsi="Noto Sans" w:cs="Noto Sans"/>
          <w:sz w:val="20"/>
          <w:szCs w:val="20"/>
          <w:lang w:val="pt"/>
        </w:rPr>
        <w:br/>
        <w:t xml:space="preserve">visite </w:t>
      </w:r>
      <w:hyperlink r:id="rId12" w:history="1">
        <w:r w:rsidR="00CF5A4E" w:rsidRPr="002856FD">
          <w:rPr>
            <w:rStyle w:val="Hyperlink"/>
            <w:rFonts w:ascii="Noto Sans" w:hAnsi="Noto Sans" w:cs="Noto Sans"/>
            <w:sz w:val="20"/>
            <w:szCs w:val="20"/>
            <w:lang w:val="pt"/>
          </w:rPr>
          <w:t>www.domino-printing.com</w:t>
        </w:r>
      </w:hyperlink>
      <w:r w:rsidR="00CF5A4E" w:rsidRPr="002856FD">
        <w:rPr>
          <w:rFonts w:ascii="Noto Sans" w:hAnsi="Noto Sans" w:cs="Noto Sans"/>
          <w:sz w:val="20"/>
          <w:szCs w:val="20"/>
          <w:lang w:val="pt"/>
        </w:rPr>
        <w:t xml:space="preserve"> </w:t>
      </w:r>
      <w:r w:rsidR="00CF5A4E" w:rsidRPr="002856FD">
        <w:rPr>
          <w:rFonts w:ascii="Noto Sans" w:hAnsi="Noto Sans" w:cs="Noto Sans"/>
          <w:sz w:val="20"/>
          <w:szCs w:val="20"/>
          <w:lang w:val="pt"/>
        </w:rPr>
        <w:br/>
      </w:r>
      <w:r w:rsidR="00CF5A4E" w:rsidRPr="002856FD">
        <w:rPr>
          <w:rFonts w:ascii="Noto Sans" w:hAnsi="Noto Sans" w:cs="Noto Sans"/>
          <w:sz w:val="20"/>
          <w:szCs w:val="20"/>
          <w:lang w:val="pt"/>
        </w:rPr>
        <w:br/>
      </w:r>
      <w:r w:rsidR="00CF5A4E" w:rsidRPr="002856FD">
        <w:rPr>
          <w:rFonts w:ascii="Noto Sans" w:hAnsi="Noto Sans" w:cs="Noto Sans"/>
          <w:b/>
          <w:bCs/>
          <w:sz w:val="20"/>
          <w:szCs w:val="20"/>
          <w:lang w:val="pt"/>
        </w:rPr>
        <w:t>Deverá contactar:</w:t>
      </w:r>
      <w:r w:rsidR="00CF5A4E" w:rsidRPr="002856FD">
        <w:rPr>
          <w:rFonts w:ascii="Noto Sans" w:hAnsi="Noto Sans" w:cs="Noto Sans"/>
          <w:sz w:val="20"/>
          <w:szCs w:val="20"/>
          <w:lang w:val="pt"/>
        </w:rPr>
        <w:br/>
      </w:r>
      <w:r w:rsidR="00CF5A4E" w:rsidRPr="002856FD">
        <w:rPr>
          <w:rFonts w:ascii="Noto Sans" w:hAnsi="Noto Sans" w:cs="Noto Sans"/>
          <w:sz w:val="20"/>
          <w:szCs w:val="20"/>
          <w:lang w:val="pt"/>
        </w:rPr>
        <w:br/>
      </w:r>
      <w:r w:rsidR="00CF5A4E" w:rsidRPr="0085521E">
        <w:rPr>
          <w:rFonts w:ascii="Noto Sans" w:hAnsi="Noto Sans" w:cs="Noto Sans"/>
          <w:sz w:val="20"/>
          <w:szCs w:val="20"/>
          <w:lang w:val="pt"/>
        </w:rPr>
        <w:t>Jade Taylor-Salazar</w:t>
      </w:r>
      <w:r w:rsidR="00CF5A4E">
        <w:rPr>
          <w:rFonts w:ascii="Noto Sans" w:hAnsi="Noto Sans" w:cs="Noto Sans"/>
          <w:sz w:val="20"/>
          <w:szCs w:val="20"/>
          <w:lang w:val="pt"/>
        </w:rPr>
        <w:br/>
      </w:r>
      <w:r w:rsidR="00CF5A4E" w:rsidRPr="002856FD">
        <w:rPr>
          <w:rFonts w:ascii="Noto Sans" w:hAnsi="Noto Sans" w:cs="Noto Sans"/>
          <w:sz w:val="20"/>
          <w:szCs w:val="20"/>
          <w:lang w:val="pt"/>
        </w:rPr>
        <w:t xml:space="preserve">PR and Content Manager </w:t>
      </w:r>
      <w:r w:rsidR="00CF5A4E" w:rsidRPr="002856FD">
        <w:rPr>
          <w:rFonts w:ascii="Noto Sans" w:hAnsi="Noto Sans" w:cs="Noto Sans"/>
          <w:sz w:val="20"/>
          <w:szCs w:val="20"/>
          <w:lang w:val="pt"/>
        </w:rPr>
        <w:br/>
        <w:t xml:space="preserve">Domino Printing Sciences </w:t>
      </w:r>
      <w:r w:rsidR="00CF5A4E" w:rsidRPr="002856FD">
        <w:rPr>
          <w:rFonts w:ascii="Noto Sans" w:hAnsi="Noto Sans" w:cs="Noto Sans"/>
          <w:sz w:val="20"/>
          <w:szCs w:val="20"/>
          <w:lang w:val="pt"/>
        </w:rPr>
        <w:br/>
        <w:t>Tel.: +44 (0) 1954 778 780</w:t>
      </w:r>
      <w:r w:rsidR="00CF5A4E" w:rsidRPr="002856FD">
        <w:rPr>
          <w:rFonts w:ascii="Noto Sans" w:hAnsi="Noto Sans" w:cs="Noto Sans"/>
          <w:sz w:val="20"/>
          <w:szCs w:val="20"/>
          <w:lang w:val="pt"/>
        </w:rPr>
        <w:br/>
      </w:r>
      <w:hyperlink r:id="rId13" w:history="1">
        <w:r w:rsidR="00CF5A4E" w:rsidRPr="0085521E">
          <w:rPr>
            <w:rStyle w:val="Hyperlink"/>
            <w:rFonts w:ascii="Noto Sans" w:hAnsi="Noto Sans" w:cs="Noto Sans"/>
            <w:sz w:val="20"/>
            <w:szCs w:val="20"/>
            <w:lang w:val="pt"/>
          </w:rPr>
          <w:t>Jade.Taylor-Salazar@domino-uk.com</w:t>
        </w:r>
      </w:hyperlink>
      <w:r w:rsidR="00CF5A4E" w:rsidRPr="0085521E">
        <w:rPr>
          <w:rFonts w:ascii="Noto Sans" w:hAnsi="Noto Sans" w:cs="Noto Sans"/>
          <w:sz w:val="20"/>
          <w:szCs w:val="20"/>
          <w:lang w:val="pt"/>
        </w:rPr>
        <w:t xml:space="preserve"> </w:t>
      </w:r>
      <w:r w:rsidR="00CF5A4E">
        <w:rPr>
          <w:rFonts w:ascii="Noto Sans" w:hAnsi="Noto Sans" w:cs="Noto Sans"/>
          <w:sz w:val="20"/>
          <w:szCs w:val="20"/>
          <w:lang w:val="pt"/>
        </w:rPr>
        <w:br/>
      </w:r>
      <w:r w:rsidR="00CF5A4E">
        <w:rPr>
          <w:rFonts w:ascii="Noto Sans" w:hAnsi="Noto Sans" w:cs="Noto Sans"/>
          <w:sz w:val="20"/>
          <w:szCs w:val="20"/>
          <w:lang w:val="pt"/>
        </w:rPr>
        <w:br/>
      </w:r>
      <w:r w:rsidR="00CF5A4E" w:rsidRPr="00A13A74">
        <w:rPr>
          <w:rFonts w:ascii="Noto Sans" w:eastAsiaTheme="minorHAnsi" w:hAnsi="Noto Sans" w:cs="Noto Sans"/>
          <w:sz w:val="20"/>
          <w:szCs w:val="20"/>
          <w:lang w:val="pt-PT"/>
        </w:rPr>
        <w:t>Daniela Ribeiro</w:t>
      </w:r>
      <w:r w:rsidR="00CF5A4E">
        <w:rPr>
          <w:rFonts w:ascii="Noto Sans" w:eastAsiaTheme="minorHAnsi" w:hAnsi="Noto Sans" w:cs="Noto Sans"/>
          <w:sz w:val="20"/>
          <w:szCs w:val="20"/>
          <w:lang w:val="pt-PT"/>
        </w:rPr>
        <w:br/>
      </w:r>
      <w:r w:rsidR="00CF5A4E" w:rsidRPr="00A13A74">
        <w:rPr>
          <w:rFonts w:ascii="Noto Sans" w:eastAsiaTheme="minorHAnsi" w:hAnsi="Noto Sans" w:cs="Noto Sans"/>
          <w:sz w:val="20"/>
          <w:szCs w:val="20"/>
          <w:lang w:val="pt-PT"/>
        </w:rPr>
        <w:t>Marketing and Communications Executive</w:t>
      </w:r>
      <w:r w:rsidR="00CF5A4E">
        <w:rPr>
          <w:rFonts w:ascii="Noto Sans" w:eastAsiaTheme="minorHAnsi" w:hAnsi="Noto Sans" w:cs="Noto Sans"/>
          <w:sz w:val="20"/>
          <w:szCs w:val="20"/>
          <w:lang w:val="pt-PT"/>
        </w:rPr>
        <w:br/>
      </w:r>
      <w:r w:rsidR="00CF5A4E" w:rsidRPr="00A13A74">
        <w:rPr>
          <w:rFonts w:ascii="Noto Sans" w:eastAsiaTheme="minorHAnsi" w:hAnsi="Noto Sans" w:cs="Noto Sans"/>
          <w:sz w:val="20"/>
          <w:szCs w:val="20"/>
          <w:lang w:val="pt-PT"/>
        </w:rPr>
        <w:t>Domino Portugal</w:t>
      </w:r>
      <w:r w:rsidR="00CF5A4E">
        <w:rPr>
          <w:rFonts w:ascii="Noto Sans" w:eastAsiaTheme="minorHAnsi" w:hAnsi="Noto Sans" w:cs="Noto Sans"/>
          <w:sz w:val="20"/>
          <w:szCs w:val="20"/>
          <w:lang w:val="pt-PT"/>
        </w:rPr>
        <w:br/>
      </w:r>
      <w:r w:rsidR="00CF5A4E" w:rsidRPr="00A13A74">
        <w:rPr>
          <w:rFonts w:ascii="Noto Sans" w:eastAsiaTheme="minorHAnsi" w:hAnsi="Noto Sans" w:cs="Noto Sans"/>
          <w:sz w:val="20"/>
          <w:szCs w:val="20"/>
          <w:lang w:val="pt-PT"/>
        </w:rPr>
        <w:t>Tel.: +351 919866148</w:t>
      </w:r>
      <w:r w:rsidR="00CF5A4E">
        <w:rPr>
          <w:rFonts w:ascii="Noto Sans" w:eastAsiaTheme="minorHAnsi" w:hAnsi="Noto Sans" w:cs="Noto Sans"/>
          <w:sz w:val="20"/>
          <w:szCs w:val="20"/>
          <w:lang w:val="pt-PT"/>
        </w:rPr>
        <w:br/>
      </w:r>
      <w:hyperlink r:id="rId14" w:history="1">
        <w:r w:rsidR="00CF5A4E" w:rsidRPr="00A13A74">
          <w:rPr>
            <w:rStyle w:val="Hyperlink"/>
            <w:rFonts w:ascii="Noto Sans" w:eastAsiaTheme="minorHAnsi" w:hAnsi="Noto Sans" w:cs="Noto Sans"/>
            <w:sz w:val="20"/>
            <w:szCs w:val="20"/>
            <w:lang w:val="pt-PT"/>
          </w:rPr>
          <w:t>Daniela.Ribeiro@domino-portugal.com</w:t>
        </w:r>
      </w:hyperlink>
      <w:r w:rsidR="00CF5A4E">
        <w:rPr>
          <w:rFonts w:ascii="Noto Sans" w:eastAsiaTheme="minorHAnsi" w:hAnsi="Noto Sans" w:cs="Noto Sans"/>
          <w:sz w:val="22"/>
          <w:lang w:val="pt-PT"/>
        </w:rPr>
        <w:t xml:space="preserve"> </w:t>
      </w:r>
    </w:p>
    <w:p w14:paraId="19306DAD" w14:textId="77777777" w:rsidR="00CF5A4E" w:rsidRPr="00A13A74" w:rsidRDefault="00CF5A4E" w:rsidP="00CF5A4E">
      <w:pPr>
        <w:spacing w:after="160" w:line="240" w:lineRule="auto"/>
        <w:rPr>
          <w:rFonts w:ascii="Noto Sans" w:eastAsiaTheme="minorHAnsi" w:hAnsi="Noto Sans" w:cs="Noto Sans"/>
          <w:color w:val="0D0D0D" w:themeColor="text1" w:themeTint="F2"/>
          <w:sz w:val="20"/>
          <w:szCs w:val="20"/>
          <w:lang w:val="pt-PT"/>
        </w:rPr>
      </w:pPr>
    </w:p>
    <w:bookmarkEnd w:id="1"/>
    <w:p w14:paraId="70FD3F9E" w14:textId="77777777" w:rsidR="00CF5A4E" w:rsidRPr="00CF5A4E" w:rsidRDefault="00CF5A4E" w:rsidP="00CF5A4E">
      <w:pPr>
        <w:spacing w:after="160" w:line="259" w:lineRule="auto"/>
        <w:jc w:val="both"/>
        <w:rPr>
          <w:rFonts w:ascii="Noto Sans" w:eastAsiaTheme="minorHAnsi" w:hAnsi="Noto Sans" w:cs="Noto Sans"/>
          <w:sz w:val="20"/>
          <w:szCs w:val="20"/>
        </w:rPr>
      </w:pPr>
    </w:p>
    <w:p w14:paraId="5365579F" w14:textId="77777777" w:rsidR="00CF5A4E" w:rsidRPr="00CF5A4E" w:rsidRDefault="00CF5A4E" w:rsidP="00CF5A4E">
      <w:pPr>
        <w:spacing w:after="160" w:line="259" w:lineRule="auto"/>
        <w:rPr>
          <w:rFonts w:ascii="Noto Sans" w:eastAsiaTheme="minorHAnsi" w:hAnsi="Noto Sans" w:cs="Noto Sans"/>
          <w:b/>
          <w:bCs/>
          <w:sz w:val="20"/>
          <w:szCs w:val="20"/>
        </w:rPr>
      </w:pPr>
    </w:p>
    <w:p w14:paraId="53EB7C38" w14:textId="77777777" w:rsidR="005524DB" w:rsidRPr="008E7573" w:rsidRDefault="005524DB" w:rsidP="008E7573"/>
    <w:sectPr w:rsidR="005524DB" w:rsidRPr="008E7573" w:rsidSect="000F6D0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40DC1" w14:textId="77777777" w:rsidR="00763483" w:rsidRDefault="00763483" w:rsidP="00785717">
      <w:pPr>
        <w:spacing w:line="240" w:lineRule="auto"/>
      </w:pPr>
      <w:r>
        <w:separator/>
      </w:r>
    </w:p>
  </w:endnote>
  <w:endnote w:type="continuationSeparator" w:id="0">
    <w:p w14:paraId="1DF5D246" w14:textId="77777777" w:rsidR="00763483" w:rsidRDefault="00763483"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7B2CE" w14:textId="77777777" w:rsidR="00763483" w:rsidRDefault="00763483" w:rsidP="00785717">
      <w:pPr>
        <w:spacing w:line="240" w:lineRule="auto"/>
      </w:pPr>
      <w:r>
        <w:separator/>
      </w:r>
    </w:p>
  </w:footnote>
  <w:footnote w:type="continuationSeparator" w:id="0">
    <w:p w14:paraId="0AE27060" w14:textId="77777777" w:rsidR="00763483" w:rsidRDefault="00763483"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62543"/>
    <w:rsid w:val="000F6D00"/>
    <w:rsid w:val="00113106"/>
    <w:rsid w:val="00196492"/>
    <w:rsid w:val="001D743C"/>
    <w:rsid w:val="002766D9"/>
    <w:rsid w:val="002C3337"/>
    <w:rsid w:val="003112D5"/>
    <w:rsid w:val="00372E92"/>
    <w:rsid w:val="005272B1"/>
    <w:rsid w:val="005524DB"/>
    <w:rsid w:val="00567529"/>
    <w:rsid w:val="005741C7"/>
    <w:rsid w:val="0060122E"/>
    <w:rsid w:val="00647055"/>
    <w:rsid w:val="00660F46"/>
    <w:rsid w:val="00682566"/>
    <w:rsid w:val="006E00F0"/>
    <w:rsid w:val="00763483"/>
    <w:rsid w:val="00785717"/>
    <w:rsid w:val="008220B7"/>
    <w:rsid w:val="00823B77"/>
    <w:rsid w:val="008916A8"/>
    <w:rsid w:val="008B6461"/>
    <w:rsid w:val="008E7573"/>
    <w:rsid w:val="008F3E38"/>
    <w:rsid w:val="008F5495"/>
    <w:rsid w:val="008F74D8"/>
    <w:rsid w:val="00931996"/>
    <w:rsid w:val="00943A95"/>
    <w:rsid w:val="00976AF6"/>
    <w:rsid w:val="009A1716"/>
    <w:rsid w:val="009A1DEC"/>
    <w:rsid w:val="009D6280"/>
    <w:rsid w:val="009E564D"/>
    <w:rsid w:val="00A34918"/>
    <w:rsid w:val="00A85812"/>
    <w:rsid w:val="00AB11DA"/>
    <w:rsid w:val="00B23C3C"/>
    <w:rsid w:val="00B546C5"/>
    <w:rsid w:val="00BC7C15"/>
    <w:rsid w:val="00C063FE"/>
    <w:rsid w:val="00C44603"/>
    <w:rsid w:val="00C541FE"/>
    <w:rsid w:val="00CF1AD5"/>
    <w:rsid w:val="00CF5A4E"/>
    <w:rsid w:val="00D21637"/>
    <w:rsid w:val="00E03029"/>
    <w:rsid w:val="00E232AE"/>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paragraph" w:styleId="CommentText">
    <w:name w:val="annotation text"/>
    <w:basedOn w:val="Normal"/>
    <w:link w:val="CommentTextChar"/>
    <w:uiPriority w:val="99"/>
    <w:semiHidden/>
    <w:unhideWhenUsed/>
    <w:rsid w:val="00CF5A4E"/>
    <w:pPr>
      <w:spacing w:line="240" w:lineRule="auto"/>
    </w:pPr>
    <w:rPr>
      <w:sz w:val="20"/>
      <w:szCs w:val="20"/>
    </w:rPr>
  </w:style>
  <w:style w:type="character" w:customStyle="1" w:styleId="CommentTextChar">
    <w:name w:val="Comment Text Char"/>
    <w:basedOn w:val="DefaultParagraphFont"/>
    <w:link w:val="CommentText"/>
    <w:uiPriority w:val="99"/>
    <w:semiHidden/>
    <w:rsid w:val="00CF5A4E"/>
    <w:rPr>
      <w:rFonts w:ascii="Verdana" w:eastAsia="Calibri" w:hAnsi="Verdana" w:cs="Times New Roman"/>
      <w:sz w:val="20"/>
      <w:szCs w:val="20"/>
    </w:rPr>
  </w:style>
  <w:style w:type="character" w:styleId="CommentReference">
    <w:name w:val="annotation reference"/>
    <w:basedOn w:val="DefaultParagraphFont"/>
    <w:uiPriority w:val="99"/>
    <w:semiHidden/>
    <w:unhideWhenUsed/>
    <w:rsid w:val="00CF5A4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b.co.uk/cwo/reports/cwo_report_england.pdf" TargetMode="External"/><Relationship Id="rId13" Type="http://schemas.openxmlformats.org/officeDocument/2006/relationships/hyperlink" Target="mailto:Jade.Taylor-Salazar@domino-uk.com"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placesforpeople.co.uk/pfp-thrive/insights-tools/the-uk-construction-skills-shortage/" TargetMode="External"/><Relationship Id="rId12" Type="http://schemas.openxmlformats.org/officeDocument/2006/relationships/hyperlink" Target="http://www.domino-printing.pt"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domino-printing.com/pt-pt/home.aspx?utm_medium=non-paid&amp;utm_source=onlinepublication&amp;utm_content=automation-and-transparency-bandc-sb-pt&amp;utm_campaign=2026-int-pt-global-pr-cm-fy26-q2" TargetMode="External"/><Relationship Id="rId11" Type="http://schemas.openxmlformats.org/officeDocument/2006/relationships/hyperlink" Target="https://www.domino-printing.com/pt-pt/blog/2026/gs1-2d-codes-in-building-and-construction-materials-manufacturing-compliance-without-compromise?utm_medium=non-paid&amp;utm_source=onlinepublication&amp;utm_content=automation-and-transparency-bandc-sb-pt&amp;utm_campaign=2026-int-pt-global-pr-cm-fy26-q2"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globenewswire.com/news-release/2025/09/12/3149350/28124/en/Prefabricated-Construction-Industry-Forecast-Report-2025-2030-Significant-Advances-in-Digital-Fabrication-Sustainability-and-Flexibility-Across-Product-Types-and-Delivery-Models.html"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www.barclayscorporate.com/insights/industry-expertise/skills-shortage-in-uk-manufacturing/" TargetMode="External"/><Relationship Id="rId14" Type="http://schemas.openxmlformats.org/officeDocument/2006/relationships/hyperlink" Target="mailto:Daniela.Ribeiro@domino-portugal.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6</TotalTime>
  <Pages>7</Pages>
  <Words>2398</Words>
  <Characters>13675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5</cp:revision>
  <dcterms:created xsi:type="dcterms:W3CDTF">2026-08-12T08:32:00Z</dcterms:created>
  <dcterms:modified xsi:type="dcterms:W3CDTF">2026-08-26T10:48:00Z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