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A33C" w14:textId="77777777" w:rsidR="003B00BE" w:rsidRPr="003B00BE" w:rsidRDefault="003B00BE" w:rsidP="003B00BE">
      <w:pPr>
        <w:spacing w:after="160" w:line="259" w:lineRule="auto"/>
        <w:rPr>
          <w:rFonts w:ascii="Noto Sans" w:eastAsiaTheme="minorHAnsi" w:hAnsi="Noto Sans" w:cs="Noto Sans"/>
          <w:b/>
          <w:bCs/>
          <w:sz w:val="28"/>
          <w:szCs w:val="28"/>
        </w:rPr>
      </w:pPr>
      <w:r w:rsidRPr="003B00BE">
        <w:rPr>
          <w:rFonts w:ascii="Noto Sans" w:eastAsiaTheme="minorHAnsi" w:hAnsi="Noto Sans" w:cs="Noto Sans"/>
          <w:b/>
          <w:bCs/>
          <w:sz w:val="28"/>
          <w:szCs w:val="28"/>
          <w:lang w:val="es-ES"/>
        </w:rPr>
        <w:t>La automatización y la transparencia sustentan los nuevos modelos de construcción</w:t>
      </w:r>
    </w:p>
    <w:p w14:paraId="54C2ED71" w14:textId="3DEFDCD4" w:rsidR="003B00BE" w:rsidRPr="003B00BE" w:rsidRDefault="003B00BE" w:rsidP="003B00BE">
      <w:pPr>
        <w:spacing w:after="160" w:line="259" w:lineRule="auto"/>
        <w:jc w:val="both"/>
        <w:rPr>
          <w:rFonts w:ascii="Noto Sans" w:eastAsiaTheme="minorHAnsi" w:hAnsi="Noto Sans" w:cs="Noto Sans"/>
          <w:i/>
          <w:iCs/>
          <w:sz w:val="22"/>
        </w:rPr>
      </w:pPr>
      <w:r w:rsidRPr="003B00BE">
        <w:rPr>
          <w:rFonts w:ascii="Noto Sans" w:eastAsiaTheme="minorHAnsi" w:hAnsi="Noto Sans" w:cstheme="minorBidi"/>
          <w:i/>
          <w:iCs/>
          <w:sz w:val="22"/>
          <w:lang w:val="es-ES"/>
        </w:rPr>
        <w:t>El sector de la construcción necesita adaptarse rápidamente a los desafíos que plantean el envejecimiento de la mano de obra y las nuevas exigencias normativas en materia de transparencia</w:t>
      </w:r>
      <w:r w:rsidRPr="003B00BE">
        <w:rPr>
          <w:rFonts w:ascii="Segoe UI" w:eastAsiaTheme="minorHAnsi" w:hAnsi="Segoe UI" w:cstheme="minorBidi"/>
          <w:i/>
          <w:iCs/>
          <w:sz w:val="22"/>
          <w:lang w:val="es-ES"/>
        </w:rPr>
        <w:t xml:space="preserve">, todo </w:t>
      </w:r>
      <w:r w:rsidRPr="003B00BE">
        <w:rPr>
          <w:rFonts w:ascii="Noto Sans" w:eastAsiaTheme="minorHAnsi" w:hAnsi="Noto Sans" w:cstheme="minorBidi"/>
          <w:i/>
          <w:iCs/>
          <w:sz w:val="22"/>
          <w:lang w:val="es-ES"/>
        </w:rPr>
        <w:t xml:space="preserve">sin dejar de ofrecer la infraestructura, los edificios y las instalaciones industriales necesarios para respaldar el crecimiento global. Los fabricantes de productos para la edificación y la construcción, que además se enfrentan a la escasez de personal cualificado, desempeñan un papel fundamental a la hora de aprovechar la automatización para apoyar a las empresas constructoras en su transición hacia modelos de construcción más industrializados, lo que permite aplicar la experiencia especializada donde más valor aporta, según explica Rob Ellinor, Global </w:t>
      </w:r>
      <w:proofErr w:type="spellStart"/>
      <w:r w:rsidRPr="003B00BE">
        <w:rPr>
          <w:rFonts w:ascii="Noto Sans" w:eastAsiaTheme="minorHAnsi" w:hAnsi="Noto Sans" w:cstheme="minorBidi"/>
          <w:i/>
          <w:iCs/>
          <w:sz w:val="22"/>
          <w:lang w:val="es-ES"/>
        </w:rPr>
        <w:t>Building</w:t>
      </w:r>
      <w:proofErr w:type="spellEnd"/>
      <w:r w:rsidRPr="003B00BE">
        <w:rPr>
          <w:rFonts w:ascii="Noto Sans" w:eastAsiaTheme="minorHAnsi" w:hAnsi="Noto Sans" w:cstheme="minorBidi"/>
          <w:i/>
          <w:iCs/>
          <w:sz w:val="22"/>
          <w:lang w:val="es-ES"/>
        </w:rPr>
        <w:t xml:space="preserve"> and </w:t>
      </w:r>
      <w:proofErr w:type="spellStart"/>
      <w:r w:rsidRPr="003B00BE">
        <w:rPr>
          <w:rFonts w:ascii="Noto Sans" w:eastAsiaTheme="minorHAnsi" w:hAnsi="Noto Sans" w:cstheme="minorBidi"/>
          <w:i/>
          <w:iCs/>
          <w:sz w:val="22"/>
          <w:lang w:val="es-ES"/>
        </w:rPr>
        <w:t>Construction</w:t>
      </w:r>
      <w:proofErr w:type="spellEnd"/>
      <w:r w:rsidRPr="003B00BE">
        <w:rPr>
          <w:rFonts w:ascii="Noto Sans" w:eastAsiaTheme="minorHAnsi" w:hAnsi="Noto Sans" w:cstheme="minorBidi"/>
          <w:i/>
          <w:iCs/>
          <w:sz w:val="22"/>
          <w:lang w:val="es-ES"/>
        </w:rPr>
        <w:t xml:space="preserve"> Sector Manager, </w:t>
      </w:r>
      <w:hyperlink r:id="rId6" w:history="1">
        <w:r w:rsidRPr="000F4AB7">
          <w:rPr>
            <w:rStyle w:val="Hyperlink"/>
            <w:rFonts w:ascii="Noto Sans" w:eastAsiaTheme="minorHAnsi" w:hAnsi="Noto Sans" w:cstheme="minorBidi"/>
            <w:i/>
            <w:iCs/>
            <w:sz w:val="22"/>
            <w:lang w:val="es-ES"/>
          </w:rPr>
          <w:t xml:space="preserve">Domino Printing </w:t>
        </w:r>
        <w:proofErr w:type="spellStart"/>
        <w:r w:rsidRPr="000F4AB7">
          <w:rPr>
            <w:rStyle w:val="Hyperlink"/>
            <w:rFonts w:ascii="Noto Sans" w:eastAsiaTheme="minorHAnsi" w:hAnsi="Noto Sans" w:cstheme="minorBidi"/>
            <w:i/>
            <w:iCs/>
            <w:sz w:val="22"/>
            <w:lang w:val="es-ES"/>
          </w:rPr>
          <w:t>Sciences</w:t>
        </w:r>
        <w:proofErr w:type="spellEnd"/>
        <w:r w:rsidRPr="000F4AB7">
          <w:rPr>
            <w:rStyle w:val="Hyperlink"/>
            <w:rFonts w:ascii="Noto Sans" w:eastAsiaTheme="minorHAnsi" w:hAnsi="Noto Sans" w:cstheme="minorBidi"/>
            <w:i/>
            <w:iCs/>
            <w:sz w:val="22"/>
            <w:lang w:val="es-ES"/>
          </w:rPr>
          <w:t>.</w:t>
        </w:r>
      </w:hyperlink>
    </w:p>
    <w:p w14:paraId="551BEE2D" w14:textId="77777777" w:rsidR="003B00BE" w:rsidRPr="003B00BE" w:rsidRDefault="003B00BE" w:rsidP="003B00BE">
      <w:pPr>
        <w:spacing w:after="160" w:line="259" w:lineRule="auto"/>
        <w:jc w:val="both"/>
        <w:rPr>
          <w:rFonts w:ascii="Noto Sans" w:eastAsiaTheme="minorHAnsi" w:hAnsi="Noto Sans" w:cs="Noto Sans"/>
          <w:b/>
          <w:bCs/>
          <w:sz w:val="22"/>
        </w:rPr>
      </w:pPr>
      <w:r w:rsidRPr="003B00BE">
        <w:rPr>
          <w:rFonts w:ascii="Noto Sans" w:eastAsiaTheme="minorHAnsi" w:hAnsi="Noto Sans" w:cs="Noto Sans"/>
          <w:b/>
          <w:bCs/>
          <w:sz w:val="22"/>
          <w:lang w:val="es-ES"/>
        </w:rPr>
        <w:t>Escasez de personal cualificado en aumento</w:t>
      </w:r>
    </w:p>
    <w:p w14:paraId="2B8D244B"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La escasez global de personal cualificado está afectando a todos los sectores. Tanto para las empresas de construcción como para las de fabricación, la escasez actual de talento se ve agravada por el envejecimiento de la mano de obra, que se acerca a la jubilación. Solo en Reino Unido, hay actualmente más de </w:t>
      </w:r>
      <w:hyperlink r:id="rId7" w:history="1">
        <w:r w:rsidRPr="003B00BE">
          <w:rPr>
            <w:rFonts w:ascii="Noto Sans" w:eastAsiaTheme="minorHAnsi" w:hAnsi="Noto Sans" w:cs="Noto Sans"/>
            <w:color w:val="0563C1" w:themeColor="hyperlink"/>
            <w:sz w:val="22"/>
            <w:u w:val="single"/>
            <w:lang w:val="es-ES"/>
          </w:rPr>
          <w:t>140.000 vacantes</w:t>
        </w:r>
      </w:hyperlink>
      <w:r w:rsidRPr="003B00BE">
        <w:rPr>
          <w:rFonts w:ascii="Noto Sans" w:eastAsiaTheme="minorHAnsi" w:hAnsi="Noto Sans" w:cs="Noto Sans"/>
          <w:sz w:val="22"/>
          <w:lang w:val="es-ES"/>
        </w:rPr>
        <w:t xml:space="preserve"> en el sector de la construcción y, con más de un tercio de los trabajadores que se espera se jubilen antes de 2035, las perspectivas son desalentadoras. Con muy pocas personas incorporándose a la construcción y demasiadas abandonándola, el sector necesita incorporar </w:t>
      </w:r>
      <w:hyperlink r:id="rId8" w:history="1">
        <w:r w:rsidRPr="003B00BE">
          <w:rPr>
            <w:rFonts w:ascii="Noto Sans" w:eastAsiaTheme="minorHAnsi" w:hAnsi="Noto Sans" w:cs="Noto Sans"/>
            <w:color w:val="0563C1" w:themeColor="hyperlink"/>
            <w:sz w:val="22"/>
            <w:u w:val="single"/>
            <w:lang w:val="es-ES"/>
          </w:rPr>
          <w:t>36.340 trabajadores cada año (más de 181.700 a lo largo de los próximos cinco años)</w:t>
        </w:r>
      </w:hyperlink>
      <w:r w:rsidRPr="003B00BE">
        <w:rPr>
          <w:rFonts w:ascii="Noto Sans" w:eastAsiaTheme="minorHAnsi" w:hAnsi="Noto Sans" w:cs="Noto Sans"/>
          <w:sz w:val="22"/>
          <w:lang w:val="es-ES"/>
        </w:rPr>
        <w:t xml:space="preserve"> para satisfacer la demanda prevista. En el sector de la fabricación, el 97,5% de las empresas afirma que </w:t>
      </w:r>
      <w:hyperlink r:id="rId9" w:history="1">
        <w:r w:rsidRPr="003B00BE">
          <w:rPr>
            <w:rFonts w:ascii="Noto Sans" w:eastAsiaTheme="minorHAnsi" w:hAnsi="Noto Sans" w:cs="Noto Sans"/>
            <w:color w:val="0563C1" w:themeColor="hyperlink"/>
            <w:sz w:val="22"/>
            <w:u w:val="single"/>
            <w:lang w:val="es-ES"/>
          </w:rPr>
          <w:t>contratar y retener mano de obra cualificada</w:t>
        </w:r>
      </w:hyperlink>
      <w:r w:rsidRPr="003B00BE">
        <w:rPr>
          <w:rFonts w:ascii="Noto Sans" w:eastAsiaTheme="minorHAnsi" w:hAnsi="Noto Sans" w:cs="Noto Sans"/>
          <w:sz w:val="22"/>
          <w:lang w:val="es-ES"/>
        </w:rPr>
        <w:t xml:space="preserve"> supone un desafío importante para sus negocios; el 75% señala la falta de personal cualificado como el principal obstáculo para el crecimiento. </w:t>
      </w:r>
    </w:p>
    <w:p w14:paraId="60B612F5"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El acceso limitado a oportunidades de formación, los cambios en las preferencias profesionales de las generaciones más jóvenes y las presiones económicas globales están contribuyendo a los desafíos de contratación. A medida que las empresas de construcción tratan de mantener la producción a pesar de las limitaciones de mano de obra, se está poniendo mayor énfasis en la productividad, la transparencia y la eficiencia de los procesos. En respuesta a esto, las organizaciones de toda la cadena de valor de la construcción (desde fabricantes de productos hasta contratistas principales e instaladores) están invirtiendo en automatización, digitalización y tecnologías de identificación con gran cantidad de datos, como los códigos 2D, para permitir modelos de construcción más conectados e industrializados. </w:t>
      </w:r>
    </w:p>
    <w:p w14:paraId="4402264F" w14:textId="77777777" w:rsidR="003B00BE" w:rsidRPr="003B00BE" w:rsidRDefault="003B00BE" w:rsidP="003B00BE">
      <w:pPr>
        <w:spacing w:after="160" w:line="259" w:lineRule="auto"/>
        <w:jc w:val="both"/>
        <w:rPr>
          <w:rFonts w:ascii="Noto Sans" w:eastAsiaTheme="minorHAnsi" w:hAnsi="Noto Sans" w:cs="Noto Sans"/>
          <w:b/>
          <w:bCs/>
          <w:sz w:val="22"/>
        </w:rPr>
      </w:pPr>
      <w:r w:rsidRPr="003B00BE">
        <w:rPr>
          <w:rFonts w:ascii="Noto Sans" w:eastAsiaTheme="minorHAnsi" w:hAnsi="Noto Sans" w:cs="Noto Sans"/>
          <w:b/>
          <w:bCs/>
          <w:sz w:val="22"/>
          <w:lang w:val="es-ES"/>
        </w:rPr>
        <w:lastRenderedPageBreak/>
        <w:t>Eficiencia, control y visibilidad</w:t>
      </w:r>
    </w:p>
    <w:p w14:paraId="21846E5B"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Aunque estas presiones se sienten en toda la cadena de valor, los fabricantes de productos de construcción se enfrentan a una combinación única de desafíos relacionados con la mano de obra, la productividad y las operaciones. No solo están perdiendo conocimiento; también se les exige hacer más con menos. Atrás quedaron los días de tiradas continuas de un único producto fabricado en masa. Incluso los productos estándar, como las placas de yeso, el cemento y los agregados, ahora pueden tener múltiples variaciones de producto y SKU, lo que exige tiradas más cortas, más cambios de producto y plazos cada vez más ajustados. Las tiradas cortas de producto y los plazos de entrega más rápidos dependen de soluciones de fabricación automatizadas e integradas que aumentan el control y la visibilidad, a la vez que reducen el riesgo de error humano. </w:t>
      </w:r>
    </w:p>
    <w:p w14:paraId="708A61BD"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Las soluciones de automatización de la codificación pueden utilizar los datos de producción existentes para automatizar los cambios de producto, lo que ayuda a reducir el error humano y el tiempo de inactividad, además de aumentar la eficiencia general del turno. La incorporación de herramientas de inspección automatizadas puede mejorar aún más la eficiencia, ya que permite notificar rápidamente a los operarios los errores de la máquina y resolver los problemas antes de que generen residuos innecesarios. Por ejemplo, una línea equipada con un sencillo sistema de visión de "codificación y verificación" puede rechazar productos defectuosos y enviar alertas automáticas que impulsen la intervención, permitiendo así que los operarios identifiquen el problema que afecta a la calidad del código.</w:t>
      </w:r>
    </w:p>
    <w:p w14:paraId="07D470D9"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La integración de las máquinas mediante normas de la industria puede ofrecer una visión más completa de la planta de producción, lo que permite a los trabajadores mantener las líneas en funcionamiento con un tiempo de inactividad limitado. Por ejemplo, al automatizar la producción, la codificación y la inspección mediante un flujo de trabajo integrado vinculado al sistema ERP del fabricante, se puede eliminar la intervención humana y evitar errores. Los paneles integrados generan una mayor visibilidad que permite identificar los cuellos de botella, lo que ayuda a agilizar la producción y a reducir aún más las ineficiencias. </w:t>
      </w:r>
    </w:p>
    <w:p w14:paraId="7BF9D892"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Para los responsables del sector de la construcción, estas mejoras pueden contribuir a obtener productos más uniformes, una mayor transparencia en la producción y una entrega más predecible. En conjunto, estos factores pueden favorecer una mejor planificación y coordinación en toda la cadena de suministro, ayudando a los fabricantes y a los equipos de construcción a reducir las interrupciones evitables y a responder con más eficiencia cuando surgen problemas.</w:t>
      </w:r>
    </w:p>
    <w:p w14:paraId="3AF64B88" w14:textId="77777777" w:rsidR="003B00BE" w:rsidRPr="003B00BE" w:rsidRDefault="003B00BE" w:rsidP="003B00BE">
      <w:pPr>
        <w:spacing w:after="160" w:line="259" w:lineRule="auto"/>
        <w:jc w:val="both"/>
        <w:rPr>
          <w:rFonts w:ascii="Noto Sans" w:eastAsiaTheme="minorHAnsi" w:hAnsi="Noto Sans" w:cs="Noto Sans"/>
          <w:b/>
          <w:bCs/>
          <w:sz w:val="22"/>
        </w:rPr>
      </w:pPr>
      <w:r w:rsidRPr="003B00BE">
        <w:rPr>
          <w:rFonts w:ascii="Noto Sans" w:eastAsiaTheme="minorHAnsi" w:hAnsi="Noto Sans" w:cs="Noto Sans"/>
          <w:b/>
          <w:bCs/>
          <w:sz w:val="22"/>
          <w:lang w:val="es-ES"/>
        </w:rPr>
        <w:lastRenderedPageBreak/>
        <w:t>Trazabilidad integral</w:t>
      </w:r>
    </w:p>
    <w:p w14:paraId="15BC68DD"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Los sistemas de fabricación automatizados e integrados constituyen la base de la trazabilidad integral en el sector. </w:t>
      </w:r>
    </w:p>
    <w:p w14:paraId="780FB28F"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El cumplimiento de las nuevas normativas de la UE, incluidos el Reglamento de Productos de Construcción (RPC) exigirá que los fabricantes proporcionen información digital y estructurada sobre los productos, que pueda consultarse y compartirse de manera coherente a lo largo de todo el ciclo de vida de un edificio. </w:t>
      </w:r>
    </w:p>
    <w:p w14:paraId="0D4214B5"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Mediante datos de producción automatizados y estándares globales como GS1 Digital </w:t>
      </w:r>
      <w:proofErr w:type="gramStart"/>
      <w:r w:rsidRPr="003B00BE">
        <w:rPr>
          <w:rFonts w:ascii="Noto Sans" w:eastAsiaTheme="minorHAnsi" w:hAnsi="Noto Sans" w:cs="Noto Sans"/>
          <w:sz w:val="22"/>
          <w:lang w:val="es-ES"/>
        </w:rPr>
        <w:t>Link</w:t>
      </w:r>
      <w:proofErr w:type="gramEnd"/>
      <w:r w:rsidRPr="003B00BE">
        <w:rPr>
          <w:rFonts w:ascii="Noto Sans" w:eastAsiaTheme="minorHAnsi" w:hAnsi="Noto Sans" w:cs="Noto Sans"/>
          <w:sz w:val="22"/>
          <w:lang w:val="es-ES"/>
        </w:rPr>
        <w:t xml:space="preserve"> y códigos 2D, los fabricantes pueden incorporar documentación de cumplimiento en los códigos del producto como parte del proceso de producción, creando así un hilo digital que va desde la planta de fabricación hasta la obra de construcción.</w:t>
      </w:r>
    </w:p>
    <w:p w14:paraId="3B2127DD"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La creación de un registro digital de principio a fin puede agilizar los procesos, las aprobaciones y la validación final, reduciendo la carga administrativa de los jefes de obra. Más allá del cumplimiento, esto puede ayudar a crear un registro digital más completo de la propia construcción, vinculando productos específicos con registros de instalación, datos de inspección, fotografías e información de ubicación. Esto puede favorecer la creación de planos de fin de obra más precisos, facilitando la verificación de lo que se ha instalado, la demostración del cumplimiento y el acceso a información relevante del producto, manuales de instrucciones o datos de seguridad a lo largo de todo el ciclo de vida del edificio.</w:t>
      </w:r>
    </w:p>
    <w:p w14:paraId="02032766" w14:textId="77777777" w:rsidR="003B00BE" w:rsidRPr="003B00BE" w:rsidRDefault="003B00BE" w:rsidP="003B00BE">
      <w:pPr>
        <w:spacing w:after="160" w:line="259" w:lineRule="auto"/>
        <w:rPr>
          <w:rFonts w:ascii="Noto Sans" w:eastAsiaTheme="minorHAnsi" w:hAnsi="Noto Sans" w:cs="Noto Sans"/>
          <w:sz w:val="22"/>
        </w:rPr>
      </w:pPr>
      <w:r w:rsidRPr="003B00BE">
        <w:rPr>
          <w:rFonts w:ascii="Noto Sans" w:eastAsiaTheme="minorHAnsi" w:hAnsi="Noto Sans" w:cs="Noto Sans"/>
          <w:sz w:val="22"/>
          <w:lang w:val="es-ES"/>
        </w:rPr>
        <w:t>Ofrecer esta información en un formato coherente y accesible puede ayudar a los trabajadores con menos experiencia a completar sus tareas correctamente, reduciendo la dependencia de un grupo cada vez más reducido de especialistas y favoreciendo la transmisión de conocimientos entre todo el personal.</w:t>
      </w:r>
    </w:p>
    <w:p w14:paraId="4E0B2CED" w14:textId="77777777" w:rsidR="003B00BE" w:rsidRPr="003B00BE" w:rsidRDefault="003B00BE" w:rsidP="003B00BE">
      <w:pPr>
        <w:spacing w:after="160" w:line="259" w:lineRule="auto"/>
        <w:rPr>
          <w:rFonts w:ascii="Noto Sans" w:eastAsiaTheme="minorHAnsi" w:hAnsi="Noto Sans" w:cs="Noto Sans"/>
          <w:b/>
          <w:bCs/>
          <w:sz w:val="22"/>
        </w:rPr>
      </w:pPr>
      <w:r w:rsidRPr="003B00BE">
        <w:rPr>
          <w:rFonts w:ascii="Noto Sans" w:eastAsiaTheme="minorHAnsi" w:hAnsi="Noto Sans" w:cs="Noto Sans"/>
          <w:b/>
          <w:bCs/>
          <w:sz w:val="22"/>
          <w:lang w:val="es-ES"/>
        </w:rPr>
        <w:t>Expansión de la construcción modular</w:t>
      </w:r>
    </w:p>
    <w:p w14:paraId="1DC754C5"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La automatización también está impulsando uno de los mayores avances dentro del sector de la construcción: la rápida aparición de componentes modulares y proyectos de construcción modular. El auge del </w:t>
      </w:r>
      <w:hyperlink r:id="rId10" w:history="1">
        <w:r w:rsidRPr="003B00BE">
          <w:rPr>
            <w:rFonts w:ascii="Noto Sans" w:eastAsiaTheme="minorHAnsi" w:hAnsi="Noto Sans" w:cs="Noto Sans"/>
            <w:color w:val="0563C1" w:themeColor="hyperlink"/>
            <w:sz w:val="22"/>
            <w:u w:val="single"/>
            <w:lang w:val="es-ES"/>
          </w:rPr>
          <w:t>mercado de la construcción prefabricada</w:t>
        </w:r>
      </w:hyperlink>
      <w:r w:rsidRPr="003B00BE">
        <w:rPr>
          <w:rFonts w:ascii="Noto Sans" w:eastAsiaTheme="minorHAnsi" w:hAnsi="Noto Sans" w:cs="Noto Sans"/>
          <w:sz w:val="22"/>
          <w:lang w:val="es-ES"/>
        </w:rPr>
        <w:t xml:space="preserve"> ofrece una solución a la escasez de competencias, además de ayudar a gestionar los costes de construcción y a satisfacer las exigencias de prácticas de construcción respetuosas con el medioambiente, con un valor de mercado que se espera que alcance los 163.930 millones de dólares estadounidenses para 2030.</w:t>
      </w:r>
    </w:p>
    <w:p w14:paraId="030BDDCA"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Para el sector de la construcción, el método modular resulta muy atractivo. Al fabricar los componentes fuera del lugar de la obra y ensamblar los elementos de construcción </w:t>
      </w:r>
      <w:r w:rsidRPr="003B00BE">
        <w:rPr>
          <w:rFonts w:ascii="Noto Sans" w:eastAsiaTheme="minorHAnsi" w:hAnsi="Noto Sans" w:cs="Noto Sans"/>
          <w:sz w:val="22"/>
          <w:lang w:val="es-ES"/>
        </w:rPr>
        <w:lastRenderedPageBreak/>
        <w:t>de forma parcial o total en la obra, la prefabricación permite a las empresas de construcción reducir la cantidad de mano de obra cualificada necesaria en la obra, mejorar la previsibilidad del programa y reducir los plazos de ejecución en el emplazamiento. Sin embargo, sí que hace mayor hincapié en la planificación, la coordinación, la garantía de calidad y la identificación de productos para verificar, instalar y poner en marcha conjuntos cada vez más complejos. Por lo tanto, para los fabricantes, la construcción modular aumenta aún más la necesidad de transparencia: el éxito de las construcciones depende de una precisión del 100% en los componentes. Cualquier error, por ejemplo, en el suministro de los cables eléctricos u otras piezas necesarias para la construcción de una habitación modular podría hacer que se rechace el módulo completo.</w:t>
      </w:r>
    </w:p>
    <w:p w14:paraId="79484826"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La automatización es clave para gestionar de forma eficiente estos nuevos niveles de flexibilidad, ya que las líneas que producen componentes modulares necesitan cambiar rápidamente entre distintos tipos de componentes. La construcción modular refuerza aún más la necesidad de trazabilidad en la producción. Al rastrear cada componente durante la producción y asociarlo a una posición determinada dentro de un módulo de construcción específico, el uso de códigos 2D será clave para lograr precisión y trazabilidad de productos a lo largo de los procesos de fabricación y </w:t>
      </w:r>
      <w:proofErr w:type="spellStart"/>
      <w:r w:rsidRPr="003B00BE">
        <w:rPr>
          <w:rFonts w:ascii="Noto Sans" w:eastAsiaTheme="minorHAnsi" w:hAnsi="Noto Sans" w:cs="Noto Sans"/>
          <w:sz w:val="22"/>
          <w:lang w:val="es-ES"/>
        </w:rPr>
        <w:t>pre-ensamblaje</w:t>
      </w:r>
      <w:proofErr w:type="spellEnd"/>
      <w:r w:rsidRPr="003B00BE">
        <w:rPr>
          <w:rFonts w:ascii="Noto Sans" w:eastAsiaTheme="minorHAnsi" w:hAnsi="Noto Sans" w:cs="Noto Sans"/>
          <w:sz w:val="22"/>
          <w:lang w:val="es-ES"/>
        </w:rPr>
        <w:t xml:space="preserve">.  </w:t>
      </w:r>
    </w:p>
    <w:p w14:paraId="6504DBBB" w14:textId="77777777" w:rsidR="003B00BE" w:rsidRPr="003B00BE" w:rsidRDefault="003B00BE" w:rsidP="003B00BE">
      <w:pPr>
        <w:spacing w:after="160" w:line="259" w:lineRule="auto"/>
        <w:jc w:val="both"/>
        <w:rPr>
          <w:rFonts w:ascii="Noto Sans" w:eastAsiaTheme="minorHAnsi" w:hAnsi="Noto Sans" w:cs="Noto Sans"/>
          <w:b/>
          <w:bCs/>
          <w:sz w:val="22"/>
        </w:rPr>
      </w:pPr>
      <w:r w:rsidRPr="003B00BE">
        <w:rPr>
          <w:rFonts w:ascii="Noto Sans" w:eastAsiaTheme="minorHAnsi" w:hAnsi="Noto Sans" w:cs="Noto Sans"/>
          <w:b/>
          <w:bCs/>
          <w:sz w:val="22"/>
          <w:lang w:val="es-ES"/>
        </w:rPr>
        <w:t>Retención del conocimiento</w:t>
      </w:r>
    </w:p>
    <w:p w14:paraId="066E8481"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La rápida adopción de nuevos modelos de construcción, como la prefabricación, pone de relieve los cambios a los que se enfrenta el sector industrial, entre ellos, la pérdida de conocimientos esenciales a medida que los trabajadores con experiencia se retiran del mercado laboral. Además de brindar la trazabilidad y visibilidad necesarias, la automatización ofrece una forma de preservar y retener el conocimiento. </w:t>
      </w:r>
    </w:p>
    <w:p w14:paraId="58DE0E19"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La automatización se basa en datos, respaldados por análisis que capturan las características de uso de una línea de fabricación. Esto permite registrar tendencias y buenas prácticas, y convertirlas en políticas estándar y procedimientos operativos que el personal con menos experiencia puede comprender rápidamente. </w:t>
      </w:r>
    </w:p>
    <w:p w14:paraId="59CFA8A0"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Los desarrollos digitales y la inteligencia artificial suelen ir de la mano, y los fabricantes de productos de construcción pueden aprovechar los datos obtenidos mediante la automatización, junto con la IA, para optimizar aún más las operaciones, respaldar la toma de decisiones y registrar las acciones que los operarios llevan a cabo en respuesta a los informes y resultados. Más allá de la fabricación, un área donde ya podemos ver esto reflejado en el sector de la construcción es el uso de herramientas de búsqueda con IA para hacer coincidir los requisitos específicos de un proyecto con un SKU exacto en </w:t>
      </w:r>
      <w:r w:rsidRPr="003B00BE">
        <w:rPr>
          <w:rFonts w:ascii="Noto Sans" w:eastAsiaTheme="minorHAnsi" w:hAnsi="Noto Sans" w:cs="Noto Sans"/>
          <w:sz w:val="22"/>
          <w:lang w:val="es-ES"/>
        </w:rPr>
        <w:lastRenderedPageBreak/>
        <w:t>aquellos casos donde se han adoptado estándares globales; esto ayuda a fomentar la "selección mediante IA" de componentes en el diseño.</w:t>
      </w:r>
    </w:p>
    <w:p w14:paraId="0E84F046" w14:textId="77777777"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Existen desafíos importantes por delante para el sector de la construcción, y los fabricantes de productos de construcción (así como el sector en su conjunto) deberán adaptarse para seguir siendo competitivos, y garantizar que el conocimiento se preserve, se siga desarrollando y esté disponible de cara al futuro. Las herramientas para respaldar esta transición ya existen; lo único que se necesita es implementarlas con eficiencia. </w:t>
      </w:r>
    </w:p>
    <w:p w14:paraId="1D02615C" w14:textId="190E62AC" w:rsidR="003B00BE" w:rsidRPr="003B00BE" w:rsidRDefault="003B00BE" w:rsidP="003B00BE">
      <w:pPr>
        <w:spacing w:after="160" w:line="259" w:lineRule="auto"/>
        <w:jc w:val="both"/>
        <w:rPr>
          <w:rFonts w:ascii="Noto Sans" w:eastAsiaTheme="minorHAnsi" w:hAnsi="Noto Sans" w:cs="Noto Sans"/>
          <w:sz w:val="22"/>
        </w:rPr>
      </w:pPr>
      <w:r w:rsidRPr="003B00BE">
        <w:rPr>
          <w:rFonts w:ascii="Noto Sans" w:eastAsiaTheme="minorHAnsi" w:hAnsi="Noto Sans" w:cs="Noto Sans"/>
          <w:sz w:val="22"/>
          <w:lang w:val="es-ES"/>
        </w:rPr>
        <w:t xml:space="preserve">Para los fabricantes, el primer paso es comprender cómo se pueden integrar los códigos 2D en </w:t>
      </w:r>
      <w:hyperlink r:id="rId11" w:history="1">
        <w:r w:rsidRPr="00E81AAB">
          <w:rPr>
            <w:rStyle w:val="Hyperlink"/>
            <w:rFonts w:ascii="Noto Sans" w:eastAsiaTheme="minorHAnsi" w:hAnsi="Noto Sans" w:cs="Noto Sans"/>
            <w:sz w:val="22"/>
            <w:lang w:val="es-ES"/>
          </w:rPr>
          <w:t>los procesos de producción</w:t>
        </w:r>
      </w:hyperlink>
      <w:r w:rsidRPr="003B00BE">
        <w:rPr>
          <w:rFonts w:ascii="Noto Sans" w:eastAsiaTheme="minorHAnsi" w:hAnsi="Noto Sans" w:cs="Noto Sans"/>
          <w:b/>
          <w:bCs/>
          <w:sz w:val="22"/>
          <w:lang w:val="es-ES"/>
        </w:rPr>
        <w:t>.</w:t>
      </w:r>
    </w:p>
    <w:p w14:paraId="5348EA95" w14:textId="77777777" w:rsidR="003B00BE" w:rsidRPr="003B00BE" w:rsidRDefault="003B00BE" w:rsidP="003B00BE">
      <w:pPr>
        <w:spacing w:after="160" w:line="259" w:lineRule="auto"/>
        <w:jc w:val="both"/>
        <w:rPr>
          <w:rFonts w:ascii="Noto Sans" w:eastAsiaTheme="minorHAnsi" w:hAnsi="Noto Sans" w:cs="Noto Sans"/>
          <w:sz w:val="22"/>
          <w:lang w:val="es-ES"/>
        </w:rPr>
      </w:pPr>
    </w:p>
    <w:p w14:paraId="7F5DB52C" w14:textId="2868B087" w:rsidR="003B00BE" w:rsidRPr="003B00BE" w:rsidRDefault="003B00BE" w:rsidP="003B00BE">
      <w:pPr>
        <w:spacing w:after="160" w:line="259" w:lineRule="auto"/>
        <w:jc w:val="both"/>
        <w:rPr>
          <w:rFonts w:ascii="Noto Sans" w:eastAsiaTheme="minorHAnsi" w:hAnsi="Noto Sans" w:cs="Noto Sans"/>
          <w:sz w:val="22"/>
          <w:lang w:val="es-ES"/>
        </w:rPr>
      </w:pPr>
      <w:r w:rsidRPr="003B00BE">
        <w:rPr>
          <w:rFonts w:ascii="Noto Sans" w:eastAsiaTheme="minorHAnsi" w:hAnsi="Noto Sans" w:cs="Noto Sans"/>
          <w:sz w:val="22"/>
          <w:lang w:val="es-ES"/>
        </w:rPr>
        <w:t>&lt;</w:t>
      </w:r>
      <w:r w:rsidRPr="003B00BE">
        <w:rPr>
          <w:rFonts w:ascii="Noto Sans" w:eastAsiaTheme="minorHAnsi" w:hAnsi="Noto Sans" w:cs="Noto Sans"/>
          <w:b/>
          <w:bCs/>
          <w:sz w:val="22"/>
          <w:lang w:val="es-ES"/>
        </w:rPr>
        <w:t>FIN</w:t>
      </w:r>
      <w:r w:rsidRPr="003B00BE">
        <w:rPr>
          <w:rFonts w:ascii="Noto Sans" w:eastAsiaTheme="minorHAnsi" w:hAnsi="Noto Sans" w:cs="Noto Sans"/>
          <w:sz w:val="22"/>
          <w:lang w:val="es-ES"/>
        </w:rPr>
        <w:t xml:space="preserve">&gt; </w:t>
      </w:r>
    </w:p>
    <w:p w14:paraId="7ED70CB1" w14:textId="77777777" w:rsidR="003B00BE" w:rsidRPr="003B00BE" w:rsidRDefault="003B00BE" w:rsidP="003B00BE">
      <w:pPr>
        <w:spacing w:after="160" w:line="259" w:lineRule="auto"/>
        <w:jc w:val="both"/>
        <w:rPr>
          <w:rFonts w:ascii="Noto Sans" w:eastAsiaTheme="minorHAnsi" w:hAnsi="Noto Sans" w:cs="Noto Sans"/>
          <w:sz w:val="20"/>
          <w:szCs w:val="20"/>
        </w:rPr>
      </w:pPr>
    </w:p>
    <w:p w14:paraId="744997C0" w14:textId="77777777" w:rsidR="00820EC3" w:rsidRPr="00820EC3" w:rsidRDefault="003B00BE" w:rsidP="00820EC3">
      <w:pPr>
        <w:spacing w:line="240" w:lineRule="auto"/>
        <w:rPr>
          <w:rFonts w:ascii="Noto Sans" w:hAnsi="Noto Sans" w:cs="Noto Sans"/>
          <w:b/>
          <w:bCs/>
          <w:sz w:val="20"/>
          <w:szCs w:val="20"/>
          <w:lang w:val="es"/>
        </w:rPr>
      </w:pPr>
      <w:bookmarkStart w:id="0" w:name="_Hlk531088985"/>
      <w:r>
        <w:rPr>
          <w:rFonts w:ascii="Noto Sans" w:hAnsi="Noto Sans" w:cs="Noto Sans"/>
          <w:b/>
          <w:bCs/>
          <w:sz w:val="20"/>
          <w:szCs w:val="20"/>
          <w:lang w:val="es"/>
        </w:rPr>
        <w:t>Descargo de responsabilidad</w:t>
      </w:r>
      <w:bookmarkEnd w:id="0"/>
      <w:r>
        <w:rPr>
          <w:rFonts w:ascii="Noto Sans" w:hAnsi="Noto Sans" w:cs="Noto Sans"/>
          <w:b/>
          <w:bCs/>
          <w:sz w:val="20"/>
          <w:szCs w:val="20"/>
          <w:lang w:val="es"/>
        </w:rPr>
        <w:br/>
      </w:r>
      <w:r>
        <w:rPr>
          <w:rFonts w:ascii="Noto Sans" w:hAnsi="Noto Sans" w:cs="Noto Sans"/>
          <w:b/>
          <w:bCs/>
          <w:sz w:val="20"/>
          <w:szCs w:val="20"/>
          <w:lang w:val="es"/>
        </w:rPr>
        <w:br/>
      </w:r>
      <w:r w:rsidR="00820EC3" w:rsidRPr="00820EC3">
        <w:rPr>
          <w:rFonts w:ascii="Noto Sans" w:hAnsi="Noto Sans" w:cs="Noto Sans"/>
          <w:b/>
          <w:bCs/>
          <w:sz w:val="20"/>
          <w:szCs w:val="20"/>
          <w:lang w:val="es"/>
        </w:rPr>
        <w:t>Tintas</w:t>
      </w:r>
    </w:p>
    <w:p w14:paraId="464F8B13" w14:textId="77777777" w:rsidR="00820EC3" w:rsidRPr="00820EC3" w:rsidRDefault="00820EC3" w:rsidP="00820EC3">
      <w:pPr>
        <w:spacing w:line="240" w:lineRule="auto"/>
        <w:rPr>
          <w:rFonts w:ascii="Noto Sans" w:hAnsi="Noto Sans" w:cs="Noto Sans"/>
          <w:sz w:val="20"/>
          <w:szCs w:val="20"/>
          <w:lang w:val="es"/>
        </w:rPr>
      </w:pPr>
      <w:r w:rsidRPr="00820EC3">
        <w:rPr>
          <w:rFonts w:ascii="Noto Sans" w:hAnsi="Noto Sans" w:cs="Noto Sans"/>
          <w:sz w:val="20"/>
          <w:szCs w:val="20"/>
          <w:lang w:val="es"/>
        </w:rPr>
        <w:t xml:space="preserve">La información contenida en este documento no pretende sustituir la realización de las pruebas correspondientes a su uso y circunstancias específicas. Ni Domino UK </w:t>
      </w:r>
      <w:proofErr w:type="spellStart"/>
      <w:r w:rsidRPr="00820EC3">
        <w:rPr>
          <w:rFonts w:ascii="Noto Sans" w:hAnsi="Noto Sans" w:cs="Noto Sans"/>
          <w:sz w:val="20"/>
          <w:szCs w:val="20"/>
          <w:lang w:val="es"/>
        </w:rPr>
        <w:t>Limited</w:t>
      </w:r>
      <w:proofErr w:type="spellEnd"/>
      <w:r w:rsidRPr="00820EC3">
        <w:rPr>
          <w:rFonts w:ascii="Noto Sans" w:hAnsi="Noto Sans" w:cs="Noto Sans"/>
          <w:sz w:val="20"/>
          <w:szCs w:val="20"/>
          <w:lang w:val="es"/>
        </w:rPr>
        <w:t xml:space="preserve"> ni ninguna de las empresas del grupo Domino es responsable en ninguna medida del hecho de que usted pueda basar en este documento su confianza respecto a la adecuación de cualquier tinta para su tipo determinado de aplicación. Este documento no forma parte de ningún escrito de términos y condiciones entre usted y Domino, y los términos y condiciones de venta de Domino y, en especial las garantías y responsabilidades contenidas en los mismos, serán aplicables a toda compra de productos que usted haga. </w:t>
      </w:r>
    </w:p>
    <w:p w14:paraId="74972826" w14:textId="77777777" w:rsidR="00820EC3" w:rsidRPr="00820EC3" w:rsidRDefault="00820EC3" w:rsidP="00820EC3">
      <w:pPr>
        <w:spacing w:line="240" w:lineRule="auto"/>
        <w:rPr>
          <w:rFonts w:ascii="Noto Sans" w:hAnsi="Noto Sans" w:cs="Noto Sans"/>
          <w:sz w:val="20"/>
          <w:szCs w:val="20"/>
          <w:lang w:val="es"/>
        </w:rPr>
      </w:pPr>
    </w:p>
    <w:p w14:paraId="65EC283F" w14:textId="77777777" w:rsidR="00820EC3" w:rsidRPr="00820EC3" w:rsidRDefault="00820EC3" w:rsidP="00820EC3">
      <w:pPr>
        <w:spacing w:line="240" w:lineRule="auto"/>
        <w:rPr>
          <w:rFonts w:ascii="Noto Sans" w:hAnsi="Noto Sans" w:cs="Noto Sans"/>
          <w:b/>
          <w:bCs/>
          <w:sz w:val="20"/>
          <w:szCs w:val="20"/>
          <w:lang w:val="es"/>
        </w:rPr>
      </w:pPr>
      <w:r w:rsidRPr="00820EC3">
        <w:rPr>
          <w:rFonts w:ascii="Noto Sans" w:hAnsi="Noto Sans" w:cs="Noto Sans"/>
          <w:b/>
          <w:bCs/>
          <w:sz w:val="20"/>
          <w:szCs w:val="20"/>
          <w:lang w:val="es"/>
        </w:rPr>
        <w:t>Información general</w:t>
      </w:r>
    </w:p>
    <w:p w14:paraId="17A8815E" w14:textId="77777777" w:rsidR="00820EC3" w:rsidRDefault="00820EC3" w:rsidP="00820EC3">
      <w:pPr>
        <w:spacing w:line="240" w:lineRule="auto"/>
        <w:rPr>
          <w:rFonts w:ascii="Noto Sans" w:hAnsi="Noto Sans" w:cs="Noto Sans"/>
          <w:b/>
          <w:bCs/>
          <w:sz w:val="20"/>
          <w:szCs w:val="20"/>
          <w:lang w:val="es"/>
        </w:rPr>
      </w:pPr>
      <w:r w:rsidRPr="00820EC3">
        <w:rPr>
          <w:rFonts w:ascii="Noto Sans" w:hAnsi="Noto Sans" w:cs="Noto Sans"/>
          <w:sz w:val="20"/>
          <w:szCs w:val="20"/>
          <w:lang w:val="es"/>
        </w:rPr>
        <w:t xml:space="preserve">La información contenida en este comunicado de prensa se considera verdadera y correcta en la fecha de publicación de Domino; los cambios en las circunstancias tras el momento de publicación pueden afectar a la precisión de </w:t>
      </w:r>
      <w:proofErr w:type="gramStart"/>
      <w:r w:rsidRPr="00820EC3">
        <w:rPr>
          <w:rFonts w:ascii="Noto Sans" w:hAnsi="Noto Sans" w:cs="Noto Sans"/>
          <w:sz w:val="20"/>
          <w:szCs w:val="20"/>
          <w:lang w:val="es"/>
        </w:rPr>
        <w:t>la misma</w:t>
      </w:r>
      <w:proofErr w:type="gramEnd"/>
      <w:r w:rsidRPr="00820EC3">
        <w:rPr>
          <w:rFonts w:ascii="Noto Sans" w:hAnsi="Noto Sans" w:cs="Noto Sans"/>
          <w:sz w:val="20"/>
          <w:szCs w:val="20"/>
          <w:lang w:val="es"/>
        </w:rPr>
        <w:t>. Todas las cifras y alegaciones de rendimiento que constan en este documento han sido obtenidas en condiciones específicas y solo pueden ser reproducidas en circunstancias similares. Deberá ponerse en contacto con su asesor de ventas de Domino para más información sobre productos concretos. Este documento no forma parte de ningún escrito de términos y condiciones entre usted y Domino.</w:t>
      </w:r>
      <w:r w:rsidR="003B00BE" w:rsidRPr="00820EC3">
        <w:rPr>
          <w:rFonts w:ascii="Noto Sans" w:hAnsi="Noto Sans" w:cs="Noto Sans"/>
          <w:sz w:val="20"/>
          <w:szCs w:val="20"/>
          <w:lang w:val="es"/>
        </w:rPr>
        <w:br/>
      </w:r>
    </w:p>
    <w:p w14:paraId="37053441" w14:textId="7D754A18" w:rsidR="003B00BE" w:rsidRPr="005B2ACC" w:rsidRDefault="003B00BE" w:rsidP="00820EC3">
      <w:pPr>
        <w:spacing w:line="240" w:lineRule="auto"/>
        <w:rPr>
          <w:rFonts w:ascii="Noto Sans" w:hAnsi="Noto Sans" w:cs="Noto Sans"/>
          <w:sz w:val="20"/>
          <w:szCs w:val="20"/>
        </w:rPr>
      </w:pPr>
      <w:r>
        <w:rPr>
          <w:rFonts w:ascii="Noto Sans" w:hAnsi="Noto Sans" w:cs="Noto Sans"/>
          <w:b/>
          <w:bCs/>
          <w:sz w:val="20"/>
          <w:szCs w:val="20"/>
          <w:lang w:val="es"/>
        </w:rPr>
        <w:t>Imágenes</w:t>
      </w:r>
      <w:r>
        <w:rPr>
          <w:rFonts w:ascii="Noto Sans" w:hAnsi="Noto Sans" w:cs="Noto Sans"/>
          <w:sz w:val="20"/>
          <w:szCs w:val="20"/>
          <w:lang w:val="es"/>
        </w:rPr>
        <w:br/>
        <w:t xml:space="preserve">Las imágenes pueden incluir extras opcionales o actualizaciones. La calidad de impresión puede variar en función de los consumibles, la impresora, los sustratos y otros factores. Las imágenes y las fotografías no forman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lastRenderedPageBreak/>
        <w:t>Vídeos</w:t>
      </w:r>
      <w:r>
        <w:rPr>
          <w:rFonts w:ascii="Noto Sans" w:hAnsi="Noto Sans" w:cs="Noto Sans"/>
          <w:sz w:val="20"/>
          <w:szCs w:val="20"/>
          <w:lang w:val="es"/>
        </w:rPr>
        <w:b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Pr>
          <w:rFonts w:ascii="Noto Sans" w:hAnsi="Noto Sans" w:cs="Noto Sans"/>
          <w:sz w:val="20"/>
          <w:szCs w:val="20"/>
          <w:lang w:val="es"/>
        </w:rPr>
        <w:br/>
      </w:r>
      <w:r>
        <w:rPr>
          <w:rFonts w:ascii="Noto Sans" w:hAnsi="Noto Sans" w:cs="Noto Sans"/>
          <w:sz w:val="20"/>
          <w:szCs w:val="20"/>
          <w:lang w:val="es"/>
        </w:rPr>
        <w:br/>
      </w:r>
      <w:bookmarkStart w:id="1" w:name="_Hlk61949672"/>
      <w:r>
        <w:rPr>
          <w:rFonts w:ascii="Noto Sans" w:hAnsi="Noto Sans" w:cs="Noto Sans"/>
          <w:b/>
          <w:bCs/>
          <w:sz w:val="20"/>
          <w:szCs w:val="20"/>
          <w:lang w:val="es"/>
        </w:rPr>
        <w:t>Notas para los editores:</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Acerca de Domino</w:t>
      </w:r>
      <w:r>
        <w:rPr>
          <w:rFonts w:ascii="Noto Sans" w:hAnsi="Noto Sans" w:cs="Noto Sans"/>
          <w:sz w:val="20"/>
          <w:szCs w:val="20"/>
          <w:lang w:val="es"/>
        </w:rPr>
        <w:br/>
      </w:r>
      <w:proofErr w:type="spellStart"/>
      <w:r>
        <w:rPr>
          <w:rFonts w:ascii="Noto Sans" w:hAnsi="Noto Sans" w:cs="Noto Sans"/>
          <w:sz w:val="20"/>
          <w:szCs w:val="20"/>
          <w:lang w:val="es"/>
        </w:rPr>
        <w:t>Domino</w:t>
      </w:r>
      <w:proofErr w:type="spellEnd"/>
      <w:r>
        <w:rPr>
          <w:rFonts w:ascii="Noto Sans" w:hAnsi="Noto Sans" w:cs="Noto Sans"/>
          <w:sz w:val="20"/>
          <w:szCs w:val="20"/>
          <w:lang w:val="es"/>
        </w:rPr>
        <w:t xml:space="preserve">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(Domino), empresa fundada en 1978, cuenta con un excelente prestigio a nivel mundial gracias a sus soluciones tecnológicas de codificación, marcaje e impresión. Como valor añadido, destaca su servicio internacional de postventa y atención al cliente. En la actualidad, Domino tiene una de las gamas más completas de soluciones de codificación integrales diseñadas específicamente para satisfacer los requisitos de cumplimiento y de productividad de los fabricantes en numerosos sectores, entre los que destacan la industria de alimentos y bebidas, el sector farmacéutico y el industrial. Entre las tecnologías principales de la empresa se encuentran innovadores sistemas </w:t>
      </w:r>
      <w:proofErr w:type="spellStart"/>
      <w:r>
        <w:rPr>
          <w:rFonts w:ascii="Noto Sans" w:hAnsi="Noto Sans" w:cs="Noto Sans"/>
          <w:sz w:val="20"/>
          <w:szCs w:val="20"/>
          <w:lang w:val="es"/>
        </w:rPr>
        <w:t>inkjet</w:t>
      </w:r>
      <w:proofErr w:type="spellEnd"/>
      <w:r>
        <w:rPr>
          <w:rFonts w:ascii="Noto Sans" w:hAnsi="Noto Sans" w:cs="Noto Sans"/>
          <w:sz w:val="20"/>
          <w:szCs w:val="20"/>
          <w:lang w:val="es"/>
        </w:rPr>
        <w:t xml:space="preserve">, láser, de impresión y aplicación de etiquetas y de impresión por transferencia térmica, diseñados para la aplicación de datos variables, códigos de barras y códigos de trazabilidad únicos en productos y envases. </w:t>
      </w:r>
      <w:r>
        <w:rPr>
          <w:rFonts w:ascii="Noto Sans" w:hAnsi="Noto Sans" w:cs="Noto Sans"/>
          <w:sz w:val="20"/>
          <w:szCs w:val="20"/>
          <w:lang w:val="es"/>
        </w:rPr>
        <w:br/>
      </w:r>
      <w:r>
        <w:rPr>
          <w:rFonts w:ascii="Noto Sans" w:hAnsi="Noto Sans" w:cs="Noto Sans"/>
          <w:sz w:val="20"/>
          <w:szCs w:val="20"/>
          <w:lang w:val="es"/>
        </w:rPr>
        <w:br/>
        <w:t>Domino cuenta con más de 3000 colaboradores en todo el mundo y vende a más de 120 países a través de una red global de 29 filiales y más de 200 distribuidores. Domino posee fábricas en Alemania, China, EE. UU., India, Reino Unido, Suecia y Suiza.</w:t>
      </w:r>
      <w:r>
        <w:rPr>
          <w:rFonts w:ascii="Noto Sans" w:hAnsi="Noto Sans" w:cs="Noto Sans"/>
          <w:sz w:val="20"/>
          <w:szCs w:val="20"/>
          <w:lang w:val="es"/>
        </w:rPr>
        <w:br/>
      </w:r>
      <w:r>
        <w:rPr>
          <w:rFonts w:ascii="Noto Sans" w:hAnsi="Noto Sans" w:cs="Noto Sans"/>
          <w:sz w:val="20"/>
          <w:szCs w:val="20"/>
          <w:lang w:val="es"/>
        </w:rPr>
        <w:br/>
        <w:t xml:space="preserve">Domino pasó a ser una división autónoma de Brother Industries Ltd. el 11 de junio de 2015. </w:t>
      </w:r>
      <w:r>
        <w:rPr>
          <w:rFonts w:ascii="Noto Sans" w:hAnsi="Noto Sans" w:cs="Noto Sans"/>
          <w:sz w:val="20"/>
          <w:szCs w:val="20"/>
          <w:lang w:val="es"/>
        </w:rPr>
        <w:br/>
      </w:r>
      <w:r>
        <w:rPr>
          <w:rFonts w:ascii="Noto Sans" w:hAnsi="Noto Sans" w:cs="Noto Sans"/>
          <w:sz w:val="20"/>
          <w:szCs w:val="20"/>
          <w:lang w:val="es"/>
        </w:rPr>
        <w:br/>
        <w:t>Para obtener más información sobre Domino,</w:t>
      </w:r>
      <w:r>
        <w:rPr>
          <w:rFonts w:ascii="Noto Sans" w:hAnsi="Noto Sans" w:cs="Noto Sans"/>
          <w:sz w:val="20"/>
          <w:szCs w:val="20"/>
          <w:lang w:val="es"/>
        </w:rPr>
        <w:br/>
        <w:t xml:space="preserve">visite </w:t>
      </w:r>
      <w:hyperlink r:id="rId12" w:history="1">
        <w:r>
          <w:rPr>
            <w:rStyle w:val="Hyperlink"/>
            <w:rFonts w:ascii="Noto Sans" w:hAnsi="Noto Sans" w:cs="Noto Sans"/>
            <w:sz w:val="20"/>
            <w:szCs w:val="20"/>
            <w:lang w:val="es"/>
          </w:rPr>
          <w:t>www.domino-spain.com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Contactos:</w:t>
      </w:r>
      <w:r>
        <w:rPr>
          <w:rFonts w:ascii="Noto Sans" w:hAnsi="Noto Sans" w:cs="Noto Sans"/>
          <w:sz w:val="20"/>
          <w:szCs w:val="20"/>
          <w:lang w:val="es"/>
        </w:rPr>
        <w:br/>
      </w:r>
      <w:r>
        <w:rPr>
          <w:rFonts w:ascii="Noto Sans" w:hAnsi="Noto Sans" w:cs="Noto Sans"/>
          <w:sz w:val="20"/>
          <w:szCs w:val="20"/>
          <w:lang w:val="es"/>
        </w:rPr>
        <w:br/>
      </w:r>
      <w:bookmarkEnd w:id="1"/>
      <w:r w:rsidRPr="00F4774E">
        <w:rPr>
          <w:rFonts w:ascii="Noto Sans" w:hAnsi="Noto Sans" w:cs="Noto Sans"/>
          <w:sz w:val="20"/>
          <w:szCs w:val="20"/>
          <w:lang w:val="nl"/>
        </w:rPr>
        <w:t>Jade Taylor-Salazar</w:t>
      </w:r>
      <w:r>
        <w:rPr>
          <w:rFonts w:ascii="Noto Sans" w:hAnsi="Noto Sans" w:cs="Noto Sans"/>
          <w:sz w:val="20"/>
          <w:szCs w:val="20"/>
          <w:lang w:val="es"/>
        </w:rPr>
        <w:br/>
        <w:t xml:space="preserve">RR. PP. y gestora de contenidos </w:t>
      </w:r>
      <w:r>
        <w:rPr>
          <w:rFonts w:ascii="Noto Sans" w:hAnsi="Noto Sans" w:cs="Noto Sans"/>
          <w:sz w:val="20"/>
          <w:szCs w:val="20"/>
          <w:lang w:val="es"/>
        </w:rPr>
        <w:br/>
        <w:t xml:space="preserve">Domino Printing </w:t>
      </w:r>
      <w:proofErr w:type="spellStart"/>
      <w:r>
        <w:rPr>
          <w:rFonts w:ascii="Noto Sans" w:hAnsi="Noto Sans" w:cs="Noto Sans"/>
          <w:sz w:val="20"/>
          <w:szCs w:val="20"/>
          <w:lang w:val="es"/>
        </w:rPr>
        <w:t>Sciences</w:t>
      </w:r>
      <w:proofErr w:type="spellEnd"/>
      <w:r>
        <w:rPr>
          <w:rFonts w:ascii="Noto Sans" w:hAnsi="Noto Sans" w:cs="Noto Sans"/>
          <w:sz w:val="20"/>
          <w:szCs w:val="20"/>
          <w:lang w:val="es"/>
        </w:rPr>
        <w:t xml:space="preserve"> </w:t>
      </w:r>
      <w:r>
        <w:rPr>
          <w:rFonts w:ascii="Noto Sans" w:hAnsi="Noto Sans" w:cs="Noto Sans"/>
          <w:sz w:val="20"/>
          <w:szCs w:val="20"/>
          <w:lang w:val="es"/>
        </w:rPr>
        <w:br/>
        <w:t>Tel.: +44 1954 778 780</w:t>
      </w:r>
      <w:r>
        <w:rPr>
          <w:rFonts w:ascii="Noto Sans" w:hAnsi="Noto Sans" w:cs="Noto Sans"/>
          <w:sz w:val="20"/>
          <w:szCs w:val="20"/>
          <w:lang w:val="es"/>
        </w:rPr>
        <w:br/>
      </w:r>
      <w:hyperlink r:id="rId13" w:history="1">
        <w:r w:rsidRPr="00DD4585">
          <w:rPr>
            <w:rStyle w:val="Hyperlink"/>
            <w:rFonts w:ascii="Noto Sans" w:hAnsi="Noto Sans" w:cs="Noto Sans"/>
            <w:sz w:val="20"/>
            <w:szCs w:val="20"/>
            <w:lang w:val="es-ES"/>
          </w:rPr>
          <w:t>Jade.Taylor-Salazar@domino-uk.com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t xml:space="preserve">Dafne Petracca </w:t>
      </w:r>
      <w:r w:rsidRPr="005B2ACC">
        <w:rPr>
          <w:rFonts w:ascii="Noto Sans" w:hAnsi="Noto Sans" w:cs="Noto Sans"/>
          <w:sz w:val="20"/>
          <w:szCs w:val="20"/>
        </w:rPr>
        <w:t>Rodríguez</w:t>
      </w:r>
    </w:p>
    <w:p w14:paraId="5DB282B8" w14:textId="77777777" w:rsidR="003B00BE" w:rsidRPr="00024078" w:rsidRDefault="003B00BE" w:rsidP="003B00BE">
      <w:pPr>
        <w:spacing w:line="240" w:lineRule="auto"/>
        <w:rPr>
          <w:rFonts w:ascii="Noto Sans" w:hAnsi="Noto Sans" w:cs="Noto Sans"/>
          <w:sz w:val="20"/>
          <w:szCs w:val="20"/>
          <w:lang w:val="es-ES"/>
        </w:rPr>
      </w:pPr>
      <w:r>
        <w:rPr>
          <w:rFonts w:ascii="Noto Sans" w:hAnsi="Noto Sans" w:cs="Noto Sans"/>
          <w:sz w:val="20"/>
          <w:szCs w:val="20"/>
          <w:lang w:val="es"/>
        </w:rPr>
        <w:t>Coordinadora de marketing</w:t>
      </w:r>
      <w:r>
        <w:rPr>
          <w:rFonts w:ascii="Noto Sans" w:hAnsi="Noto Sans" w:cs="Noto Sans"/>
          <w:sz w:val="20"/>
          <w:szCs w:val="20"/>
          <w:lang w:val="es"/>
        </w:rPr>
        <w:br/>
        <w:t>Domino España</w:t>
      </w:r>
      <w:r>
        <w:rPr>
          <w:rFonts w:ascii="Noto Sans" w:hAnsi="Noto Sans" w:cs="Noto Sans"/>
          <w:sz w:val="20"/>
          <w:szCs w:val="20"/>
          <w:lang w:val="es"/>
        </w:rPr>
        <w:br/>
        <w:t>Tel.: +34 616 074 252</w:t>
      </w:r>
      <w:r>
        <w:rPr>
          <w:rFonts w:ascii="Noto Sans" w:hAnsi="Noto Sans" w:cs="Noto Sans"/>
          <w:sz w:val="20"/>
          <w:szCs w:val="20"/>
          <w:lang w:val="es"/>
        </w:rPr>
        <w:br/>
      </w:r>
      <w:hyperlink r:id="rId14" w:history="1">
        <w:r>
          <w:rPr>
            <w:rStyle w:val="Hyperlink"/>
            <w:rFonts w:ascii="Noto Sans" w:hAnsi="Noto Sans" w:cs="Noto Sans"/>
            <w:sz w:val="20"/>
            <w:szCs w:val="20"/>
            <w:lang w:val="es"/>
          </w:rPr>
          <w:t>dafne.petracca@domino-spain.com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lastRenderedPageBreak/>
        <w:br/>
      </w:r>
    </w:p>
    <w:p w14:paraId="244DB645" w14:textId="77777777" w:rsidR="003B00BE" w:rsidRPr="00024078" w:rsidRDefault="003B00BE" w:rsidP="003B00BE">
      <w:pPr>
        <w:spacing w:line="240" w:lineRule="auto"/>
        <w:rPr>
          <w:rFonts w:ascii="Noto Sans" w:hAnsi="Noto Sans" w:cs="Noto Sans"/>
          <w:sz w:val="20"/>
          <w:szCs w:val="20"/>
          <w:lang w:val="es-ES"/>
        </w:rPr>
      </w:pPr>
    </w:p>
    <w:p w14:paraId="54563E58" w14:textId="77777777" w:rsidR="003B00BE" w:rsidRPr="00024078" w:rsidRDefault="003B00BE" w:rsidP="003B00BE">
      <w:pPr>
        <w:spacing w:line="240" w:lineRule="auto"/>
        <w:rPr>
          <w:rFonts w:ascii="Noto Sans" w:hAnsi="Noto Sans" w:cs="Noto Sans"/>
          <w:sz w:val="20"/>
          <w:szCs w:val="20"/>
          <w:lang w:val="es-ES"/>
        </w:rPr>
      </w:pPr>
    </w:p>
    <w:p w14:paraId="48FC6660" w14:textId="77777777" w:rsidR="003B00BE" w:rsidRPr="003B00BE" w:rsidRDefault="003B00BE" w:rsidP="003B00BE">
      <w:pPr>
        <w:spacing w:after="160" w:line="259" w:lineRule="auto"/>
        <w:rPr>
          <w:rFonts w:ascii="Noto Sans" w:eastAsiaTheme="minorHAnsi" w:hAnsi="Noto Sans" w:cs="Noto Sans"/>
          <w:sz w:val="20"/>
          <w:szCs w:val="20"/>
        </w:rPr>
      </w:pPr>
    </w:p>
    <w:p w14:paraId="53EB7C38" w14:textId="77777777" w:rsidR="005524DB" w:rsidRPr="008E7573" w:rsidRDefault="005524DB" w:rsidP="008E7573"/>
    <w:sectPr w:rsidR="005524DB" w:rsidRPr="008E7573" w:rsidSect="000F6D0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46025" w14:textId="77777777" w:rsidR="00C63E1C" w:rsidRDefault="00C63E1C" w:rsidP="00785717">
      <w:pPr>
        <w:spacing w:line="240" w:lineRule="auto"/>
      </w:pPr>
      <w:r>
        <w:separator/>
      </w:r>
    </w:p>
  </w:endnote>
  <w:endnote w:type="continuationSeparator" w:id="0">
    <w:p w14:paraId="2965D628" w14:textId="77777777" w:rsidR="00C63E1C" w:rsidRDefault="00C63E1C"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2FE4F" w14:textId="77777777" w:rsidR="00C63E1C" w:rsidRDefault="00C63E1C" w:rsidP="00785717">
      <w:pPr>
        <w:spacing w:line="240" w:lineRule="auto"/>
      </w:pPr>
      <w:r>
        <w:separator/>
      </w:r>
    </w:p>
  </w:footnote>
  <w:footnote w:type="continuationSeparator" w:id="0">
    <w:p w14:paraId="45D8CD53" w14:textId="77777777" w:rsidR="00C63E1C" w:rsidRDefault="00C63E1C"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36D89"/>
    <w:rsid w:val="000F4AB7"/>
    <w:rsid w:val="000F6D00"/>
    <w:rsid w:val="00113106"/>
    <w:rsid w:val="001D743C"/>
    <w:rsid w:val="002766D9"/>
    <w:rsid w:val="002C3337"/>
    <w:rsid w:val="00323708"/>
    <w:rsid w:val="00372E92"/>
    <w:rsid w:val="003B00BE"/>
    <w:rsid w:val="005272B1"/>
    <w:rsid w:val="005524DB"/>
    <w:rsid w:val="005741C7"/>
    <w:rsid w:val="0060122E"/>
    <w:rsid w:val="0061258A"/>
    <w:rsid w:val="006138DD"/>
    <w:rsid w:val="00647055"/>
    <w:rsid w:val="00660F46"/>
    <w:rsid w:val="00682566"/>
    <w:rsid w:val="00785717"/>
    <w:rsid w:val="00820EC3"/>
    <w:rsid w:val="008220B7"/>
    <w:rsid w:val="00823B77"/>
    <w:rsid w:val="008916A8"/>
    <w:rsid w:val="008B6461"/>
    <w:rsid w:val="008E7573"/>
    <w:rsid w:val="008F3E38"/>
    <w:rsid w:val="008F5495"/>
    <w:rsid w:val="008F74D8"/>
    <w:rsid w:val="00915D95"/>
    <w:rsid w:val="00931996"/>
    <w:rsid w:val="00943A95"/>
    <w:rsid w:val="009A1716"/>
    <w:rsid w:val="009A1DEC"/>
    <w:rsid w:val="009C10C4"/>
    <w:rsid w:val="009D6280"/>
    <w:rsid w:val="009E564D"/>
    <w:rsid w:val="00A34918"/>
    <w:rsid w:val="00AB11DA"/>
    <w:rsid w:val="00B23C3C"/>
    <w:rsid w:val="00B546C5"/>
    <w:rsid w:val="00BC7C15"/>
    <w:rsid w:val="00C063FE"/>
    <w:rsid w:val="00C44603"/>
    <w:rsid w:val="00C541FE"/>
    <w:rsid w:val="00C63E1C"/>
    <w:rsid w:val="00CF1AD5"/>
    <w:rsid w:val="00E03029"/>
    <w:rsid w:val="00E81AAB"/>
    <w:rsid w:val="00EC1C5A"/>
    <w:rsid w:val="00F32B86"/>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character" w:styleId="CommentReference">
    <w:name w:val="annotation reference"/>
    <w:basedOn w:val="DefaultParagraphFont"/>
    <w:uiPriority w:val="99"/>
    <w:semiHidden/>
    <w:unhideWhenUsed/>
    <w:rsid w:val="003B00BE"/>
    <w:rPr>
      <w:sz w:val="16"/>
      <w:szCs w:val="16"/>
    </w:rPr>
  </w:style>
  <w:style w:type="paragraph" w:styleId="CommentText">
    <w:name w:val="annotation text"/>
    <w:basedOn w:val="Normal"/>
    <w:link w:val="CommentTextChar"/>
    <w:uiPriority w:val="99"/>
    <w:unhideWhenUsed/>
    <w:rsid w:val="003B00BE"/>
    <w:pPr>
      <w:spacing w:line="240" w:lineRule="auto"/>
    </w:pPr>
    <w:rPr>
      <w:sz w:val="20"/>
      <w:szCs w:val="20"/>
    </w:rPr>
  </w:style>
  <w:style w:type="character" w:customStyle="1" w:styleId="CommentTextChar">
    <w:name w:val="Comment Text Char"/>
    <w:basedOn w:val="DefaultParagraphFont"/>
    <w:link w:val="CommentText"/>
    <w:uiPriority w:val="99"/>
    <w:rsid w:val="003B00BE"/>
    <w:rPr>
      <w:rFonts w:ascii="Verdana" w:eastAsia="Calibri" w:hAnsi="Verdana" w:cs="Times New Roman"/>
      <w:sz w:val="20"/>
      <w:szCs w:val="20"/>
    </w:rPr>
  </w:style>
  <w:style w:type="paragraph" w:styleId="CommentSubject">
    <w:name w:val="annotation subject"/>
    <w:basedOn w:val="CommentText"/>
    <w:next w:val="CommentText"/>
    <w:link w:val="CommentSubjectChar"/>
    <w:uiPriority w:val="99"/>
    <w:semiHidden/>
    <w:unhideWhenUsed/>
    <w:rsid w:val="003B00BE"/>
    <w:rPr>
      <w:b/>
      <w:bCs/>
    </w:rPr>
  </w:style>
  <w:style w:type="character" w:customStyle="1" w:styleId="CommentSubjectChar">
    <w:name w:val="Comment Subject Char"/>
    <w:basedOn w:val="CommentTextChar"/>
    <w:link w:val="CommentSubject"/>
    <w:uiPriority w:val="99"/>
    <w:semiHidden/>
    <w:rsid w:val="003B00BE"/>
    <w:rPr>
      <w:rFonts w:ascii="Verdana" w:eastAsia="Calibri"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b.co.uk/cwo/reports/cwo_report_england.pdf" TargetMode="External"/><Relationship Id="rId13" Type="http://schemas.openxmlformats.org/officeDocument/2006/relationships/hyperlink" Target="mailto:Jade.Taylor-Salazar@domino-uk.com"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placesforpeople.co.uk/pfp-thrive/insights-tools/the-uk-construction-skills-shortage/" TargetMode="External"/><Relationship Id="rId12" Type="http://schemas.openxmlformats.org/officeDocument/2006/relationships/hyperlink" Target="file:///\\dps.local\Group\Domino\Marketing\Group_Marketing\Brand_Content_&amp;_PR_Marketing\PR\Press%20Releases\1%20PR%20info\Regional%20disclaimer%20and%20boilerplate\www.domino-spain.com"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domino-printing.com/es-es/home.aspx?utm_medium=non-paid&amp;utm_source=onlinepublication&amp;utm_content=automation-and-transparency-bandc-sb-es&amp;utm_campaign=2026-int-es-global-pr-cm-fy26-q2" TargetMode="External"/><Relationship Id="rId11" Type="http://schemas.openxmlformats.org/officeDocument/2006/relationships/hyperlink" Target="https://www.domino-printing.com/es-es/blog/2026/codigos-2d-de-gs1-enmaterialesdeedificacion-y-construccion-cumplimiento-normativo-sin-compromisos?utm_medium=non-paid&amp;utm_source=onlinepublication&amp;utm_content=automation-and-transparency-bandc-sb-es&amp;utm_campaign=2026-int-es-global-pr-cm-fy26-q2"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www.globenewswire.com/news-release/2025/09/12/3149350/28124/en/Prefabricated-Construction-Industry-Forecast-Report-2025-2030-Significant-Advances-in-Digital-Fabrication-Sustainability-and-Flexibility-Across-Product-Types-and-Delivery-Models.html"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www.barclayscorporate.com/insights/industry-expertise/skills-shortage-in-uk-manufacturing/" TargetMode="External"/><Relationship Id="rId14" Type="http://schemas.openxmlformats.org/officeDocument/2006/relationships/hyperlink" Target="mailto:dafne.petracca@domino-spain.com"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8</TotalTime>
  <Pages>7</Pages>
  <Words>2493</Words>
  <Characters>14213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6</cp:revision>
  <dcterms:created xsi:type="dcterms:W3CDTF">2026-08-12T08:44:00Z</dcterms:created>
  <dcterms:modified xsi:type="dcterms:W3CDTF">2026-08-26T10:44:00Z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