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91AEABB" w:rsidR="00303AE7" w:rsidRDefault="00000000">
      <w:pPr>
        <w:spacing w:before="240" w:after="240" w:line="30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Warszawa 2</w:t>
      </w:r>
      <w:r w:rsidR="00D97484">
        <w:rPr>
          <w:rFonts w:ascii="Calibri" w:eastAsia="Calibri" w:hAnsi="Calibri" w:cs="Calibri"/>
          <w:sz w:val="20"/>
          <w:szCs w:val="20"/>
        </w:rPr>
        <w:t>8</w:t>
      </w:r>
      <w:r>
        <w:rPr>
          <w:rFonts w:ascii="Calibri" w:eastAsia="Calibri" w:hAnsi="Calibri" w:cs="Calibri"/>
          <w:sz w:val="20"/>
          <w:szCs w:val="20"/>
        </w:rPr>
        <w:t>.08.2026 r.</w:t>
      </w:r>
    </w:p>
    <w:p w14:paraId="00000002" w14:textId="77777777" w:rsidR="00303AE7" w:rsidRDefault="00000000">
      <w:pPr>
        <w:spacing w:before="480" w:after="480" w:line="259" w:lineRule="auto"/>
        <w:jc w:val="both"/>
        <w:rPr>
          <w:rFonts w:ascii="Calibri" w:eastAsia="Calibri" w:hAnsi="Calibri" w:cs="Calibri"/>
          <w:color w:val="161616"/>
          <w:sz w:val="24"/>
          <w:szCs w:val="24"/>
        </w:rPr>
      </w:pPr>
      <w:r>
        <w:rPr>
          <w:rFonts w:ascii="Calibri" w:eastAsia="Calibri" w:hAnsi="Calibri" w:cs="Calibri"/>
          <w:color w:val="161616"/>
          <w:sz w:val="24"/>
          <w:szCs w:val="24"/>
        </w:rPr>
        <w:t>INFORMACJA PRASOWA</w:t>
      </w:r>
    </w:p>
    <w:p w14:paraId="00000003" w14:textId="77777777" w:rsidR="00303AE7" w:rsidRDefault="00000000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BIG InfoMonitor: Dwie prędkości polskiego przemysłu motoryzacyjnego. Skokowy wzrost zaległości w fabrykach, stabilizacja w handlu i usługach</w:t>
      </w:r>
    </w:p>
    <w:p w14:paraId="00000004" w14:textId="77777777" w:rsidR="00303AE7" w:rsidRDefault="00303AE7">
      <w:pPr>
        <w:jc w:val="both"/>
        <w:rPr>
          <w:rFonts w:ascii="Calibri" w:eastAsia="Calibri" w:hAnsi="Calibri" w:cs="Calibri"/>
          <w:b/>
          <w:bCs/>
        </w:rPr>
      </w:pPr>
    </w:p>
    <w:p w14:paraId="00000005" w14:textId="77777777" w:rsidR="00303AE7" w:rsidRDefault="00000000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Polska motoryzacja jedzie dziś na dwóch różnych biegach. Najnowsze dane Rejestru Dłużników BIG InfoMonitor i informacje o opóźnionych zobowiązaniach kredytowych z BIK pokazują, że dealerzy i warsztaty stabilizują swoją sytuację finansową, ale producenci części motoryzacyjnych zmagają się z narastającymi problemami płynnościowymi. Ich zaległości płatnicze wzrosły w ciągu roku o 15,4 proc. do 310,7 mln zł. Tempo wzrostu przeterminowanego zadłużenia w handlu i serwisach wyraźnie wyhamowało, a w części segmentów spadła nawet liczba nierzetelnych dłużników. Dane sugerują, że polska motoryzacja coraz wyraźniej dzieli się na dwa światy: produkcję, która coraz mocniej odczuwa presję płynącą z zagranicznych rynków oraz handel i usługi, które korzystają z utrzymującego się popytu na pojazdy i finansowanie inwestycji wg ostatnich danych ZPL.</w:t>
      </w:r>
    </w:p>
    <w:p w14:paraId="00000006" w14:textId="77777777" w:rsidR="00303AE7" w:rsidRDefault="00303AE7">
      <w:pPr>
        <w:jc w:val="both"/>
        <w:rPr>
          <w:rFonts w:ascii="Calibri" w:eastAsia="Calibri" w:hAnsi="Calibri" w:cs="Calibri"/>
          <w:b/>
          <w:bCs/>
        </w:rPr>
      </w:pPr>
    </w:p>
    <w:p w14:paraId="00000007" w14:textId="77777777" w:rsidR="00303AE7" w:rsidRDefault="00303AE7">
      <w:pPr>
        <w:jc w:val="both"/>
        <w:rPr>
          <w:rFonts w:ascii="Calibri" w:eastAsia="Calibri" w:hAnsi="Calibri" w:cs="Calibri"/>
          <w:b/>
          <w:bCs/>
        </w:rPr>
      </w:pPr>
    </w:p>
    <w:p w14:paraId="00000008" w14:textId="77777777" w:rsidR="00303AE7" w:rsidRDefault="00000000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Kluczowe dane:</w:t>
      </w:r>
    </w:p>
    <w:p w14:paraId="00000009" w14:textId="77777777" w:rsidR="00303AE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310,7 mln zł (wzrost o 15,4 proc. r/r) – </w:t>
      </w:r>
      <w:r>
        <w:rPr>
          <w:rFonts w:ascii="Calibri" w:eastAsia="Calibri" w:hAnsi="Calibri" w:cs="Calibri"/>
          <w:color w:val="000000"/>
        </w:rPr>
        <w:t>nieuregulowane zobowiązania przedsiębiorstw wytwarzających komponenty motoryzacyjne w czerwcu 2026 r.</w:t>
      </w:r>
      <w:r>
        <w:rPr>
          <w:rFonts w:ascii="Calibri" w:eastAsia="Calibri" w:hAnsi="Calibri" w:cs="Calibri"/>
          <w:b/>
          <w:bCs/>
          <w:color w:val="000000"/>
        </w:rPr>
        <w:t>;</w:t>
      </w:r>
    </w:p>
    <w:p w14:paraId="0000000A" w14:textId="77777777" w:rsidR="00303AE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ponad 90 proc. – </w:t>
      </w:r>
      <w:r>
        <w:rPr>
          <w:rFonts w:ascii="Calibri" w:eastAsia="Calibri" w:hAnsi="Calibri" w:cs="Calibri"/>
          <w:color w:val="000000"/>
        </w:rPr>
        <w:t>udział tego podsegmentu w przeterminowanym zadłużeniu całej produkcji pojazdów (PKD 29), przed 2024 r. wynosił niespełna 40 proc</w:t>
      </w:r>
      <w:r>
        <w:rPr>
          <w:rFonts w:ascii="Calibri" w:eastAsia="Calibri" w:hAnsi="Calibri" w:cs="Calibri"/>
          <w:b/>
          <w:bCs/>
          <w:color w:val="000000"/>
        </w:rPr>
        <w:t xml:space="preserve">.; </w:t>
      </w:r>
    </w:p>
    <w:p w14:paraId="0000000B" w14:textId="77777777" w:rsidR="00303AE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0,55 proc. – </w:t>
      </w:r>
      <w:r>
        <w:rPr>
          <w:rFonts w:ascii="Calibri" w:eastAsia="Calibri" w:hAnsi="Calibri" w:cs="Calibri"/>
          <w:color w:val="000000"/>
        </w:rPr>
        <w:t>z taką dynamiką rosły w ostatnim roku przeterminowane rachunki podmiotów zajmujących się handlem i naprawą aut (PKD 45), co potwierdza wyhamowanie negatywnych trendów na rynku;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0C" w14:textId="77777777" w:rsidR="00303AE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spadek o 2,9 proc. – </w:t>
      </w:r>
      <w:r>
        <w:rPr>
          <w:rFonts w:ascii="Calibri" w:eastAsia="Calibri" w:hAnsi="Calibri" w:cs="Calibri"/>
          <w:color w:val="000000"/>
        </w:rPr>
        <w:t>w ujęciu rocznym zmniejszyła się wartość zaległości w gronie dystrybutorów części (w wyraźnej kontrze do trudności fabryk);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0D" w14:textId="77777777" w:rsidR="00303AE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>
        <w:rPr>
          <w:rFonts w:ascii="Calibri" w:eastAsia="Calibri" w:hAnsi="Calibri" w:cs="Calibri"/>
          <w:b/>
          <w:bCs/>
        </w:rPr>
        <w:t xml:space="preserve">1,49 mln zł – </w:t>
      </w:r>
      <w:r>
        <w:rPr>
          <w:rFonts w:ascii="Calibri" w:eastAsia="Calibri" w:hAnsi="Calibri" w:cs="Calibri"/>
        </w:rPr>
        <w:t xml:space="preserve">średnia zaległość jednego nierzetelnego dłużnika w produkcji pojazdów (PKD 29), wobec </w:t>
      </w:r>
      <w:r>
        <w:rPr>
          <w:rFonts w:ascii="Calibri" w:eastAsia="Calibri" w:hAnsi="Calibri" w:cs="Calibri"/>
          <w:b/>
          <w:bCs/>
        </w:rPr>
        <w:t xml:space="preserve">90 tys. zł </w:t>
      </w:r>
      <w:r>
        <w:rPr>
          <w:rFonts w:ascii="Calibri" w:eastAsia="Calibri" w:hAnsi="Calibri" w:cs="Calibri"/>
        </w:rPr>
        <w:t>w handlu i naprawie pojazdów (PKD 45);</w:t>
      </w:r>
    </w:p>
    <w:p w14:paraId="0000000E" w14:textId="77777777" w:rsidR="00303AE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226,7 mld zł – </w:t>
      </w:r>
      <w:r>
        <w:rPr>
          <w:rFonts w:ascii="Calibri" w:eastAsia="Calibri" w:hAnsi="Calibri" w:cs="Calibri"/>
          <w:color w:val="000000"/>
        </w:rPr>
        <w:t>wartość produkcji sprzedanej całego polskiego przemysłu motoryzacyjnego w 2025 roku, mimo jednoczesnego spadku eksportu branży o 3,73 proc.</w:t>
      </w:r>
    </w:p>
    <w:p w14:paraId="0000000F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10" w14:textId="77777777" w:rsidR="00303AE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Automotive to jeden z największych sektorów przemysłowych w Polsce. W 2025 roku wartość produkcji sprzedanej pojazdów, przyczep i naczep wzrosła o 2,9 proc., do 226,7 mld zł. Zatrudnienie spada już szósty kwartał z rzędu, choć pół roku temu sektor wciąż dawał pracę blisko 198 tys. osób. </w:t>
      </w:r>
      <w:r>
        <w:rPr>
          <w:rFonts w:ascii="Calibri" w:eastAsia="Calibri" w:hAnsi="Calibri" w:cs="Calibri"/>
        </w:rPr>
        <w:lastRenderedPageBreak/>
        <w:t>Eksport branży zmniejszył się w 2025 r. o 3,73 proc., do 43,8 mld euro i jest drugi rok z rzędu na minusie. Rosnąca produkcja przy spadającym eksporcie i zatrudnieniu to pierwszy sygnał rozjazdu w branży.</w:t>
      </w:r>
    </w:p>
    <w:p w14:paraId="00000011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12" w14:textId="77777777" w:rsidR="00303AE7" w:rsidRDefault="00000000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Przeterminowany dług w produkcji nie spada</w:t>
      </w:r>
    </w:p>
    <w:p w14:paraId="00000013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14" w14:textId="7CCBE827" w:rsidR="00303AE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Analiza danych z Rejestru Dłużników BIG InfoMonitor i informacji o opóźnieniach zobowiązań kredytowych w BIK z ostatnich czterech lat pokazuje wyraźną koncentrację problemów płatniczych w jednym obszarze sektora motoryzacyjnego. Zaległości producentów pojazdów, przyczep i naczep (PKD 29) wzrosły od czerwca 2023 do czerwca 2026 ponad pięciokrotnie, z 62,7 mln zł do 344,5 mln zł. Za zdecydowaną większość tego przyrostu odpowiada segment producentów części i akcesoriów (PKD 293): do 2024 roku generował mniej niż 40 proc. zaległości całego PKD 29 (23,7 mln zł), a w 2025 i 2026 roku już ponad 90 proc. (269,2 mln zł z 300,9 mln zł i 310,7 mln zł z 344,5 mln zł). Wzrost zaległości w produkcji pojazdów to w praktyce wzrost zaległości w jednym podsegmencie: produkcji części.</w:t>
      </w:r>
    </w:p>
    <w:p w14:paraId="00000015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16" w14:textId="77777777" w:rsidR="00303AE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Zmianę widać też w rozkładzie zaległości. W całym PKD 29 udział nierzetelnych dłużników konsekwentnie rośnie, z 5,6 proc. w 2023 roku do 6,4 proc. w 2026. Jeszcze wyraźniej wartość ta zwiększa się w produkcji pojazdów (PKD 291, z 9,2 do 12,2 proc.) i nadwozi (PKD 292, z 7,6 do 9,1 proc.). W produkcji części (PKD 293), która generuje zdecydowaną większość zaległości, udział dłużników wrócił w 2026 roku do poziomu sprzed czterech lat: 4,0 proc., mimo że kwota zaległości w tym czasie wzrosła kilkukrotnie. Rok temu skok zaległości w tym segmencie można było wiązać z jednorazowym zdarzeniem, prawdopodobnie upadłością lub restrukturyzacją jednego z większych podmiotów. Obecne dane wskazują jednak na coś bardziej trwałego: poziom zaległości nie wrócił do wcześniejszej wartości i nadal rośnie.</w:t>
      </w:r>
    </w:p>
    <w:p w14:paraId="00000017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18" w14:textId="35961F66" w:rsidR="00303AE7" w:rsidRDefault="00000000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i/>
          <w:iCs/>
        </w:rPr>
        <w:t xml:space="preserve">W przypadku producentów części i akcesoriów motoryzacyjnych obserwujemy zjawisko, które powinno zwrócić uwagę branży. Mimo że odsetek przedsiębiorstw z problemami płatniczymi wrócił do poziomu sprzed kilku lat, wartość zaległości nadal dynamicznie rośnie. Oznacza to, że problemy nie rozprzestrzeniają się na coraz większą liczbę firm, lecz koncentrują się w grupie podmiotów, które od dłuższego czasu zmagają się z trudnościami finansowymi. Dalszy wzrost zadłużenia sugeruje, że nie mamy już do czynienia z efektem pojedynczych zdarzeń, ale z utrwalającą się presją finansową w tej części sektora motoryzacyjnego – </w:t>
      </w:r>
      <w:r>
        <w:rPr>
          <w:rFonts w:ascii="Calibri" w:eastAsia="Calibri" w:hAnsi="Calibri" w:cs="Calibri"/>
        </w:rPr>
        <w:t xml:space="preserve">komentuje </w:t>
      </w:r>
      <w:proofErr w:type="gramStart"/>
      <w:r>
        <w:rPr>
          <w:rFonts w:ascii="Calibri" w:eastAsia="Calibri" w:hAnsi="Calibri" w:cs="Calibri"/>
          <w:b/>
          <w:bCs/>
        </w:rPr>
        <w:t>Paweł  Szarkowski</w:t>
      </w:r>
      <w:proofErr w:type="gramEnd"/>
      <w:r>
        <w:rPr>
          <w:rFonts w:ascii="Calibri" w:eastAsia="Calibri" w:hAnsi="Calibri" w:cs="Calibri"/>
          <w:b/>
          <w:bCs/>
        </w:rPr>
        <w:t>, prezes BIG InfoMonitor.</w:t>
      </w:r>
    </w:p>
    <w:p w14:paraId="00000019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1A" w14:textId="77777777" w:rsidR="00303AE7" w:rsidRDefault="00000000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Handel i usługi motoryzacyjne stopniowo odzyskują równowagę</w:t>
      </w:r>
    </w:p>
    <w:p w14:paraId="0000001B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1C" w14:textId="692D04DD" w:rsidR="00303AE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pozostałych segmentach rynku motoryzacyjnego sytuacja wygląda znacznie stabilniej. Zaległości płatnicze całego handlu i naprawy pojazdów (PKD 45) wyniosły na koniec czerwca 2026 roku 1,22 mld zł. Wartość ta wzrosła w latach 2023-2026 o 7,22 proc., przy czym tempo wzrostu systematycznie </w:t>
      </w:r>
      <w:r w:rsidR="0053752D">
        <w:rPr>
          <w:rFonts w:ascii="Calibri" w:eastAsia="Calibri" w:hAnsi="Calibri" w:cs="Calibri"/>
        </w:rPr>
        <w:t xml:space="preserve">zmienia się </w:t>
      </w:r>
      <w:sdt>
        <w:sdtPr>
          <w:tag w:val="goog_rdk_0"/>
          <w:id w:val="1585701717"/>
        </w:sdtPr>
        <w:sdtContent/>
      </w:sdt>
      <w:sdt>
        <w:sdtPr>
          <w:tag w:val="goog_rdk_1"/>
          <w:id w:val="1642334920"/>
        </w:sdtPr>
        <w:sdtContent/>
      </w:sdt>
      <w:r>
        <w:rPr>
          <w:rFonts w:ascii="Calibri" w:eastAsia="Calibri" w:hAnsi="Calibri" w:cs="Calibri"/>
        </w:rPr>
        <w:t xml:space="preserve">: +5,11 proc. w 2023-2024, +1,45 proc. w 2024-2025 i zaledwie +0,55 proc. w okresie 2025-2026. Podobny trend widać w sprzedaży pojazdów (PKD 451), gdzie po wcześniejszym wzroście </w:t>
      </w:r>
      <w:r>
        <w:rPr>
          <w:rFonts w:ascii="Calibri" w:eastAsia="Calibri" w:hAnsi="Calibri" w:cs="Calibri"/>
        </w:rPr>
        <w:lastRenderedPageBreak/>
        <w:t>zaległości dynamika zadłużenia wyraźnie wyhamowała, z 7,68 proc. w okresie 2023-2024 do jedynie 1,27 proc. w ostatnim roku. Jeszcze lepiej prezentuje się segment sprzedaży części (PKD 453), w którym po okresowych wahaniach łączna wartość zaległości jest obecnie o 16,7 proc. niższa niż cztery lata temu. Niezależnie od zmiany samych kwot zaległości, odsetek firm wpadających w nadmierny dług powoli, ale konsekwentnie zmniejsza się w każdym segmencie handlu i serwisu. Szczególnie dobrze widać to w kategorii części motoryzacyjnych. Podczas gdy zaległości producentów wzrosły w ciągu roku o 15,4 proc., wśród firm zajmujących się handlem częściami spadły o 2,9 proc. Różnica widoczna jest też w przeliczeniu na jedną firmę: średnia zaległość nierzetelnego dłużnika w produkcji pojazdów sięga 1,49 mln zł, a w handlu i naprawie pojazdów 90 tys. zł.</w:t>
      </w:r>
    </w:p>
    <w:p w14:paraId="0000001D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1E" w14:textId="77777777" w:rsidR="00303AE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Obraz ten znajduje odzwierciedlenie również na rynku finansowania inwestycji. Jak wynika z danych Związku Polskiego Leasingu, w pierwszym półroczu 2026 roku firmy leasingowe sfinansowały inwestycje o wartości blisko 62 mld zł, czyli o 10 proc. więcej niż rok wcześniej. Największy udział w rynku niezmiennie mają pojazdy, które odpowiadają za około 75 proc. wartości wszystkich finansowanych aktywów. Wartość finansowania pojazdów wzrosła w tym czasie o 12,1 proc. rok do roku. Dane te pokazują, że popyt na finansowanie środków transportu pozostaje wysoki, a największe wyzwania koncentrują się dziś przede wszystkim po stronie producentów części, a nie sprzedawców czy firm obsługujących rynek motoryzacyjny.</w:t>
      </w:r>
    </w:p>
    <w:p w14:paraId="0000001F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20" w14:textId="77777777" w:rsidR="00303AE7" w:rsidRDefault="00000000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 tle presja z zewnątrz i z wewnątrz</w:t>
      </w:r>
    </w:p>
    <w:p w14:paraId="00000021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22" w14:textId="496ADC4F" w:rsidR="00303AE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Rosnące zaległości producentów części motoryzacyjnych zbiegają się w czasie z pogarszającą się sytuacją europejskiego przemysłu motoryzacyjnego. Przedsiębiorstwa funkcjonują w otoczeniu słabszego popytu ze strony części europejskich odbiorców oraz rosnącej konkurencji producentów z Chin. Dodatkowym wyzwaniem pozostają wysokie koszty prowadzenia działalności i inwestycje związane z transformacją technologiczną. Raport Związku Przedsiębiorców i Pracodawców oraz Ośrodka Studiów Wschodnich, przygotowany przy udziale Stowarzyszenia Dystrybutorów i Producentów Części Motoryzacyjnych, wskazuje, że nadwyżka handlowa Chin przekroczyła bilion dolarów rocznie. Coraz większa obecność chińskich producentów, zwłaszcza w segmencie samochodów elektrycznych i komponentów, zwiększa presję konkurencyjną na europejskich producentów oraz ich dostawców. Autorzy raportu szacują, że w 2025 roku z europejskiego przemysłu do Chin odpłynęło 87 mld euro wartości dodanej, z czego 11,4 mld euro przypada na polską gospodarkę. Zagrożonych może być nawet 45 tys. miejsc pracy w Polsce, między innymi w </w:t>
      </w:r>
      <w:sdt>
        <w:sdtPr>
          <w:tag w:val="goog_rdk_2"/>
          <w:id w:val="-1337999889"/>
        </w:sdtPr>
        <w:sdtContent/>
      </w:sdt>
      <w:sdt>
        <w:sdtPr>
          <w:tag w:val="goog_rdk_3"/>
          <w:id w:val="-408754678"/>
        </w:sdtPr>
        <w:sdtContent/>
      </w:sdt>
      <w:r>
        <w:rPr>
          <w:rFonts w:ascii="Calibri" w:eastAsia="Calibri" w:hAnsi="Calibri" w:cs="Calibri"/>
        </w:rPr>
        <w:t>sektorze baterii i części motoryzacyjnych. Nie oznacza to, że właśnie te zjawiska odpowiadają za wzrost zaległości. Pokazują jednak, w jak wymagającym otoczeniu funkcjonują dziś producenci części.</w:t>
      </w:r>
    </w:p>
    <w:p w14:paraId="00000023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24" w14:textId="23929C8A" w:rsidR="00303AE7" w:rsidRDefault="00000000">
      <w:pPr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i/>
          <w:iCs/>
        </w:rPr>
        <w:t xml:space="preserve">Obserwowana przez nas zróżnicowana sytuacja w sektorze motoryzacji - rosnące zaległe długi w produkcji przy jednoczesnej stabilizacji wartości zaległości w handlu i usługach - doskonale wpisuje się w szerszy obraz sytuacji makroekonomicznej. Producenci części znajdują się dziś na pierwszej linii frontu globalnych przetasowań. To oni bezpośrednio zderzają się ze spadkiem popytu na rynkach </w:t>
      </w:r>
      <w:r>
        <w:rPr>
          <w:rFonts w:ascii="Calibri" w:eastAsia="Calibri" w:hAnsi="Calibri" w:cs="Calibri"/>
          <w:i/>
          <w:iCs/>
        </w:rPr>
        <w:lastRenderedPageBreak/>
        <w:t xml:space="preserve">europejskich i niezwykle silną presją konkurencyjną ze strony producentów z Chin, zwłaszcza w obszarze nowoczesnych technologii i elektromobilności. Choć trudno udowodnić tu bezpośredni, zero-jedynkowy związek przyczynowo-skutkowy dla każdej niezapłaconej faktury, ten kontekst rynkowy jest kluczowy. Tłumaczy on, dlaczego to właśnie produkcja znajduje się pod tak potężną presją finansową, podczas gdy lokalny handel i warsztaty samochodowe - znacznie mniej narażone na te globalne, strukturalne wstrząsy - potrafią w tym samym czasie odzyskiwać rynkową i płynnościową równowagę – </w:t>
      </w:r>
      <w:r>
        <w:rPr>
          <w:rFonts w:ascii="Calibri" w:eastAsia="Calibri" w:hAnsi="Calibri" w:cs="Calibri"/>
        </w:rPr>
        <w:t xml:space="preserve">komentuje </w:t>
      </w:r>
      <w:r>
        <w:rPr>
          <w:rFonts w:ascii="Calibri" w:eastAsia="Calibri" w:hAnsi="Calibri" w:cs="Calibri"/>
          <w:b/>
          <w:bCs/>
        </w:rPr>
        <w:t>dr hab. Waldemar Rogowski, główny analityk BIG InfoMonitor i BIK.</w:t>
      </w:r>
    </w:p>
    <w:p w14:paraId="00000025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26" w14:textId="77777777" w:rsidR="00303AE7" w:rsidRDefault="00000000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Co to znaczy dla branży?</w:t>
      </w:r>
    </w:p>
    <w:p w14:paraId="00000027" w14:textId="77777777" w:rsidR="00303AE7" w:rsidRDefault="00303AE7">
      <w:pPr>
        <w:jc w:val="both"/>
        <w:rPr>
          <w:rFonts w:ascii="Calibri" w:eastAsia="Calibri" w:hAnsi="Calibri" w:cs="Calibri"/>
        </w:rPr>
      </w:pPr>
    </w:p>
    <w:p w14:paraId="00000028" w14:textId="77777777" w:rsidR="00303AE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Dane Rejestru Dłużników BIG InfoMonitor i informacje o opóźnieniach zobowiązań kredytowych z bazy BIK pokazują, że branża motoryzacyjna coraz wyraźniej dzieli się na segmenty o odmiennej kondycji finansowej i przestaje być homogeniczna. Podczas gdy w produkcji części utrzymuje się wysoki poziom zaległości i postępuje ich koncentracja w niewielkiej grupie przedsiębiorstw, handel oraz serwis pojazdów wykazują oznaki stabilizacji. Oznacza to, że ocena ryzyka współpracy z kontrahentami z tego sektora wymaga dziś znacznie bardziej szczegółowego podejścia niż jeszcze kilka lat temu. Analiza całej branży przestaje wystarczać. Coraz większego znaczenia nabiera sytuacja poszczególnych segmentów, ponieważ producenci, dealerzy i warsztaty funkcjonują w odmiennych warunkach rynkowych.</w:t>
      </w:r>
    </w:p>
    <w:p w14:paraId="00000029" w14:textId="77777777" w:rsidR="00303AE7" w:rsidRDefault="00303AE7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0000002A" w14:textId="77777777" w:rsidR="00303AE7" w:rsidRDefault="00303AE7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0000002B" w14:textId="77777777" w:rsidR="00303AE7" w:rsidRDefault="00000000">
      <w:pPr>
        <w:spacing w:line="300" w:lineRule="auto"/>
        <w:jc w:val="both"/>
        <w:rPr>
          <w:rFonts w:ascii="Calibri" w:eastAsia="Calibri" w:hAnsi="Calibri" w:cs="Calibri"/>
          <w:color w:val="161616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161616"/>
          <w:sz w:val="18"/>
          <w:szCs w:val="18"/>
        </w:rPr>
        <w:t>BIG InfoMonitor</w:t>
      </w:r>
      <w:r>
        <w:rPr>
          <w:rFonts w:ascii="Calibri" w:eastAsia="Calibri" w:hAnsi="Calibri" w:cs="Calibri"/>
          <w:color w:val="161616"/>
          <w:sz w:val="18"/>
          <w:szCs w:val="18"/>
        </w:rPr>
        <w:t xml:space="preserve">, spółka z Grupy BIK, już od 22 lat dostarcza rynkowi wiarygodne informacje o zadłużeniu osób fizycznych i firm. Pomaga w ten sposób w przeciwdziałaniu zatorom płatniczym i odzyskiwaniu należności. Spółka prowadzi rejestr dłużników, do którego na warunkach określonych w Ustawie o BIG, każdy może wpisać dłużnika – firmę lub konsumenta zalegającego z płatnościami. Oprócz zaległych długów BIG InfoMonitor gromadzi i udostępnia pozytywne informacje gospodarcze, czyli dane o terminowych płatnościach. Raporty z BIG InfoMonitor zawierają wiarygodne informacje o kondycji finansowej osób oraz firm i tym samym wspierają podmioty gospodarcze w dbaniu o płynność finansową.  BIG InfoMonitor posiada jedną z największych baz dłużników – zasoby rejestru obejmują ponad 114 mln informacji gospodarczych. Od początku działalności do rejestru dłużników BIG InfoMonitor wpisano blisko 42 mln zaległych zobowiązań o wartości 660 mld zł. Banki, firmy pożyczkowe i inne podmioty z rynku chętnie korzystają z raportów z BIG InfoMonitor w swoich procesach sprzedażowych. Badają w ten sposób wiarygodność płatniczą swoich klientów. Od początku działania BIG InfoMonitor udostępnił 363 mln raportów o wiarygodności płatniczej osób i firm. </w:t>
      </w:r>
    </w:p>
    <w:p w14:paraId="0000002C" w14:textId="77777777" w:rsidR="00303AE7" w:rsidRDefault="00000000">
      <w:pPr>
        <w:spacing w:line="300" w:lineRule="auto"/>
        <w:jc w:val="both"/>
        <w:rPr>
          <w:rFonts w:ascii="Calibri" w:eastAsia="Calibri" w:hAnsi="Calibri" w:cs="Calibri"/>
          <w:color w:val="161616"/>
          <w:sz w:val="18"/>
          <w:szCs w:val="18"/>
        </w:rPr>
      </w:pPr>
      <w:r>
        <w:rPr>
          <w:rFonts w:ascii="Calibri" w:eastAsia="Calibri" w:hAnsi="Calibri" w:cs="Calibri"/>
          <w:color w:val="161616"/>
          <w:sz w:val="18"/>
          <w:szCs w:val="18"/>
        </w:rPr>
        <w:t xml:space="preserve">Informacje o dłużnikach przekazują do BIG InfoMonitor m.in. dostawcy energii elektrycznej, gazu, wody i inne przedsiębiorstwa użyteczności publicznej, banki, firmy pożyczkowe, operatorzy telefonii stacjonarnej i komórkowej, firmy ubezpieczeniowe, faktoringowe, leasingowe, sektor MŚP </w:t>
      </w:r>
      <w:proofErr w:type="gramStart"/>
      <w:r>
        <w:rPr>
          <w:rFonts w:ascii="Calibri" w:eastAsia="Calibri" w:hAnsi="Calibri" w:cs="Calibri"/>
          <w:color w:val="161616"/>
          <w:sz w:val="18"/>
          <w:szCs w:val="18"/>
        </w:rPr>
        <w:t>i  duże</w:t>
      </w:r>
      <w:proofErr w:type="gramEnd"/>
      <w:r>
        <w:rPr>
          <w:rFonts w:ascii="Calibri" w:eastAsia="Calibri" w:hAnsi="Calibri" w:cs="Calibri"/>
          <w:color w:val="161616"/>
          <w:sz w:val="18"/>
          <w:szCs w:val="18"/>
        </w:rPr>
        <w:t xml:space="preserve"> firmy, zarządcy nieruchomości, transport publiczny, sądy, gminy i urzędy miasta, a także osoby fizyczne. </w:t>
      </w:r>
    </w:p>
    <w:p w14:paraId="0000002D" w14:textId="77777777" w:rsidR="00303AE7" w:rsidRDefault="00000000">
      <w:pPr>
        <w:spacing w:line="300" w:lineRule="auto"/>
        <w:jc w:val="both"/>
        <w:rPr>
          <w:rFonts w:ascii="Calibri" w:eastAsia="Calibri" w:hAnsi="Calibri" w:cs="Calibri"/>
          <w:color w:val="161616"/>
          <w:sz w:val="20"/>
          <w:szCs w:val="20"/>
        </w:rPr>
      </w:pPr>
      <w:r>
        <w:rPr>
          <w:rFonts w:ascii="Calibri" w:eastAsia="Calibri" w:hAnsi="Calibri" w:cs="Calibri"/>
          <w:color w:val="161616"/>
          <w:sz w:val="18"/>
          <w:szCs w:val="18"/>
        </w:rPr>
        <w:t xml:space="preserve">BIG InfoMonitor umożliwia dostęp do baz: Biura Informacji Kredytowej i Związku Banków Polskich, dzięki czemu stanowi platformę wymiany informacji pomiędzy sektorem bankowym i pozostałymi sektorami gospodarki. Głównym akcjonariuszem BIG InfoMonitor jest Biuro Informacji Kredytowej. Więcej na </w:t>
      </w:r>
      <w:hyperlink r:id="rId8">
        <w:r w:rsidR="00303AE7">
          <w:rPr>
            <w:rFonts w:ascii="Calibri" w:eastAsia="Calibri" w:hAnsi="Calibri" w:cs="Calibri"/>
            <w:color w:val="0563C1"/>
            <w:sz w:val="18"/>
            <w:szCs w:val="18"/>
            <w:u w:val="single"/>
          </w:rPr>
          <w:t>www.big.pl</w:t>
        </w:r>
      </w:hyperlink>
    </w:p>
    <w:p w14:paraId="0000002E" w14:textId="77777777" w:rsidR="00303AE7" w:rsidRDefault="00303AE7">
      <w:pPr>
        <w:spacing w:line="300" w:lineRule="auto"/>
        <w:jc w:val="both"/>
        <w:rPr>
          <w:rFonts w:ascii="Calibri" w:eastAsia="Calibri" w:hAnsi="Calibri" w:cs="Calibri"/>
          <w:color w:val="161616"/>
          <w:sz w:val="18"/>
          <w:szCs w:val="18"/>
        </w:rPr>
      </w:pPr>
    </w:p>
    <w:p w14:paraId="0000002F" w14:textId="77777777" w:rsidR="00303AE7" w:rsidRDefault="00000000">
      <w:pPr>
        <w:spacing w:line="240" w:lineRule="auto"/>
        <w:jc w:val="both"/>
        <w:rPr>
          <w:rFonts w:ascii="Calibri" w:eastAsia="Calibri" w:hAnsi="Calibri" w:cs="Calibri"/>
          <w:b/>
          <w:bCs/>
          <w:color w:val="161616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161616"/>
          <w:sz w:val="18"/>
          <w:szCs w:val="18"/>
        </w:rPr>
        <w:t>Kontakt dla mediów:</w:t>
      </w:r>
    </w:p>
    <w:tbl>
      <w:tblPr>
        <w:tblStyle w:val="a"/>
        <w:tblW w:w="104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80"/>
        <w:gridCol w:w="3340"/>
        <w:gridCol w:w="3340"/>
      </w:tblGrid>
      <w:tr w:rsidR="00303AE7" w14:paraId="53436498" w14:textId="77777777">
        <w:trPr>
          <w:trHeight w:val="1440"/>
        </w:trPr>
        <w:tc>
          <w:tcPr>
            <w:tcW w:w="3780" w:type="dxa"/>
          </w:tcPr>
          <w:p w14:paraId="00000030" w14:textId="77777777" w:rsidR="00303AE7" w:rsidRDefault="00000000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161616"/>
                <w:sz w:val="18"/>
                <w:szCs w:val="18"/>
              </w:rPr>
              <w:lastRenderedPageBreak/>
              <w:t>Diana Borowiecka</w:t>
            </w:r>
          </w:p>
          <w:p w14:paraId="00000031" w14:textId="77777777" w:rsidR="00303AE7" w:rsidRDefault="00000000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161616"/>
                <w:sz w:val="18"/>
                <w:szCs w:val="18"/>
              </w:rPr>
              <w:t>Biuro PR i Komunikacji</w:t>
            </w:r>
          </w:p>
          <w:p w14:paraId="00000032" w14:textId="77777777" w:rsidR="00303AE7" w:rsidRDefault="00000000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161616"/>
                <w:sz w:val="18"/>
                <w:szCs w:val="18"/>
              </w:rPr>
              <w:t>tel.: +48 22 486 56 46</w:t>
            </w:r>
          </w:p>
          <w:p w14:paraId="00000033" w14:textId="77777777" w:rsidR="00303AE7" w:rsidRDefault="00000000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161616"/>
                <w:sz w:val="18"/>
                <w:szCs w:val="18"/>
              </w:rPr>
              <w:t>kom.: + 48 607 146 583</w:t>
            </w:r>
          </w:p>
          <w:p w14:paraId="00000034" w14:textId="77777777" w:rsidR="00303AE7" w:rsidRDefault="00000000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61616"/>
                <w:sz w:val="18"/>
                <w:szCs w:val="18"/>
              </w:rPr>
              <w:t>diana.borowiecka@big.pl</w:t>
            </w:r>
          </w:p>
        </w:tc>
        <w:tc>
          <w:tcPr>
            <w:tcW w:w="3340" w:type="dxa"/>
          </w:tcPr>
          <w:p w14:paraId="00000035" w14:textId="77777777" w:rsidR="00303AE7" w:rsidRDefault="00303AE7">
            <w:pPr>
              <w:spacing w:line="240" w:lineRule="auto"/>
              <w:ind w:left="-108"/>
              <w:jc w:val="both"/>
              <w:rPr>
                <w:rFonts w:ascii="Calibri" w:eastAsia="Calibri" w:hAnsi="Calibri" w:cs="Calibri"/>
                <w:color w:val="161616"/>
                <w:sz w:val="18"/>
                <w:szCs w:val="18"/>
              </w:rPr>
            </w:pPr>
          </w:p>
        </w:tc>
        <w:tc>
          <w:tcPr>
            <w:tcW w:w="3340" w:type="dxa"/>
          </w:tcPr>
          <w:p w14:paraId="00000036" w14:textId="77777777" w:rsidR="00303AE7" w:rsidRDefault="00303AE7">
            <w:pPr>
              <w:spacing w:line="240" w:lineRule="auto"/>
              <w:jc w:val="both"/>
              <w:rPr>
                <w:rFonts w:ascii="Calibri" w:eastAsia="Calibri" w:hAnsi="Calibri" w:cs="Calibri"/>
                <w:color w:val="161616"/>
                <w:sz w:val="20"/>
                <w:szCs w:val="20"/>
              </w:rPr>
            </w:pPr>
          </w:p>
        </w:tc>
      </w:tr>
    </w:tbl>
    <w:p w14:paraId="00000037" w14:textId="77777777" w:rsidR="00303AE7" w:rsidRDefault="00303AE7">
      <w:pPr>
        <w:jc w:val="both"/>
        <w:rPr>
          <w:rFonts w:ascii="Calibri" w:eastAsia="Calibri" w:hAnsi="Calibri" w:cs="Calibri"/>
          <w:sz w:val="18"/>
          <w:szCs w:val="18"/>
        </w:rPr>
      </w:pPr>
    </w:p>
    <w:sectPr w:rsidR="00303AE7">
      <w:headerReference w:type="default" r:id="rId9"/>
      <w:footerReference w:type="even" r:id="rId10"/>
      <w:footerReference w:type="defaul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6A0ED" w14:textId="77777777" w:rsidR="00D601B4" w:rsidRDefault="00D601B4">
      <w:pPr>
        <w:spacing w:line="240" w:lineRule="auto"/>
      </w:pPr>
      <w:r>
        <w:separator/>
      </w:r>
    </w:p>
  </w:endnote>
  <w:endnote w:type="continuationSeparator" w:id="0">
    <w:p w14:paraId="5021B7BD" w14:textId="77777777" w:rsidR="00D601B4" w:rsidRDefault="00D601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C169BAA-98D7-428E-A0A1-25AA8D4E24F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1E52B33B-C3DD-4699-9DF6-509FC6047E88}"/>
    <w:embedBold r:id="rId3" w:fontKey="{DAC9EA48-AEC0-4507-92E7-C141070C8C2A}"/>
    <w:embedItalic r:id="rId4" w:fontKey="{50C8324A-A7EE-4591-A62B-678F6EA5302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D60604EB-2869-4B7B-8D74-550BF965919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02F458AF-3B94-40CF-A722-8A95919990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77777777" w:rsidR="00303A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hidden="0" allowOverlap="1" wp14:anchorId="2CA885A2" wp14:editId="581B560A">
              <wp:simplePos x="0" y="0"/>
              <wp:positionH relativeFrom="column">
                <wp:posOffset>3593148</wp:posOffset>
              </wp:positionH>
              <wp:positionV relativeFrom="paragraph">
                <wp:posOffset>-10081020</wp:posOffset>
              </wp:positionV>
              <wp:extent cx="1240155" cy="397510"/>
              <wp:effectExtent l="0" t="0" r="0" b="0"/>
              <wp:wrapNone/>
              <wp:docPr id="777829687" name="Prostokąt 777829687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40210" y="3595533"/>
                        <a:ext cx="12115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1382C" w14:textId="77777777" w:rsidR="00303AE7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008000"/>
                              <w:sz w:val="2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2CA885A2" id="Prostokąt 777829687" o:spid="_x0000_s1026" alt="Informacje Jawne" style="position:absolute;margin-left:282.95pt;margin-top:-793.8pt;width:97.65pt;height:31.3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" filled="f" stroked="f">
              <v:textbox inset="0,0,20pt,15pt">
                <w:txbxContent>
                  <w:p w14:paraId="0E21382C" w14:textId="77777777" w:rsidR="00303AE7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008000"/>
                        <w:sz w:val="2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A" w14:textId="77777777" w:rsidR="00303A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2BC0B4B2" wp14:editId="1AE0DC32">
              <wp:simplePos x="0" y="0"/>
              <wp:positionH relativeFrom="column">
                <wp:posOffset>3593148</wp:posOffset>
              </wp:positionH>
              <wp:positionV relativeFrom="paragraph">
                <wp:posOffset>-10081020</wp:posOffset>
              </wp:positionV>
              <wp:extent cx="1240155" cy="397510"/>
              <wp:effectExtent l="0" t="0" r="0" b="0"/>
              <wp:wrapNone/>
              <wp:docPr id="777829685" name="Prostokąt 777829685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40210" y="3595533"/>
                        <a:ext cx="12115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C68365" w14:textId="77777777" w:rsidR="00303AE7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008000"/>
                              <w:sz w:val="2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2BC0B4B2" id="Prostokąt 777829685" o:spid="_x0000_s1027" alt="Informacje Jawne" style="position:absolute;margin-left:282.95pt;margin-top:-793.8pt;width:97.65pt;height:31.3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" filled="f" stroked="f">
              <v:textbox inset="0,0,20pt,15pt">
                <w:txbxContent>
                  <w:p w14:paraId="1AC68365" w14:textId="77777777" w:rsidR="00303AE7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008000"/>
                        <w:sz w:val="2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B" w14:textId="77777777" w:rsidR="00303A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3F6C213D" wp14:editId="3243E80B">
              <wp:simplePos x="0" y="0"/>
              <wp:positionH relativeFrom="column">
                <wp:posOffset>3593148</wp:posOffset>
              </wp:positionH>
              <wp:positionV relativeFrom="paragraph">
                <wp:posOffset>-10081020</wp:posOffset>
              </wp:positionV>
              <wp:extent cx="1240155" cy="397510"/>
              <wp:effectExtent l="0" t="0" r="0" b="0"/>
              <wp:wrapNone/>
              <wp:docPr id="777829686" name="Prostokąt 777829686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40210" y="3595533"/>
                        <a:ext cx="12115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FD66EA" w14:textId="77777777" w:rsidR="00303AE7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008000"/>
                              <w:sz w:val="2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3F6C213D" id="Prostokąt 777829686" o:spid="_x0000_s1028" alt="Informacje Jawne" style="position:absolute;margin-left:282.95pt;margin-top:-793.8pt;width:97.65pt;height:31.3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" filled="f" stroked="f">
              <v:textbox inset="0,0,20pt,15pt">
                <w:txbxContent>
                  <w:p w14:paraId="65FD66EA" w14:textId="77777777" w:rsidR="00303AE7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008000"/>
                        <w:sz w:val="2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13FB8" w14:textId="77777777" w:rsidR="00D601B4" w:rsidRDefault="00D601B4">
      <w:pPr>
        <w:spacing w:line="240" w:lineRule="auto"/>
      </w:pPr>
      <w:r>
        <w:separator/>
      </w:r>
    </w:p>
  </w:footnote>
  <w:footnote w:type="continuationSeparator" w:id="0">
    <w:p w14:paraId="10898875" w14:textId="77777777" w:rsidR="00D601B4" w:rsidRDefault="00D601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8" w14:textId="77777777" w:rsidR="00303AE7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21FF2ADC" wp14:editId="551BF59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66950" cy="1197584"/>
          <wp:effectExtent l="0" t="0" r="0" b="0"/>
          <wp:wrapTopAndBottom distT="0" distB="0"/>
          <wp:docPr id="7778296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6950" cy="1197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00845"/>
    <w:multiLevelType w:val="multilevel"/>
    <w:tmpl w:val="CBB200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1968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AE7"/>
    <w:rsid w:val="000F6CD6"/>
    <w:rsid w:val="00136F02"/>
    <w:rsid w:val="002D68FD"/>
    <w:rsid w:val="00303AE7"/>
    <w:rsid w:val="00412F51"/>
    <w:rsid w:val="00450139"/>
    <w:rsid w:val="00477A50"/>
    <w:rsid w:val="004C74A8"/>
    <w:rsid w:val="00524A6F"/>
    <w:rsid w:val="0053752D"/>
    <w:rsid w:val="005F7FBA"/>
    <w:rsid w:val="006F4E94"/>
    <w:rsid w:val="0074383B"/>
    <w:rsid w:val="007D15F5"/>
    <w:rsid w:val="00BA6E50"/>
    <w:rsid w:val="00CA3FA9"/>
    <w:rsid w:val="00D11669"/>
    <w:rsid w:val="00D601B4"/>
    <w:rsid w:val="00D97484"/>
    <w:rsid w:val="00E934E4"/>
    <w:rsid w:val="00EC0FD3"/>
    <w:rsid w:val="00FC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F8C9"/>
  <w15:docId w15:val="{729F1233-882A-42CE-A882-AACCD05D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uiPriority w:val="34"/>
    <w:qFormat/>
    <w:rsid w:val="0017109A"/>
    <w:pPr>
      <w:ind w:left="720"/>
      <w:contextualSpacing/>
    </w:pPr>
  </w:style>
  <w:style w:type="paragraph" w:styleId="Poprawka">
    <w:name w:val="Revision"/>
    <w:hidden/>
    <w:uiPriority w:val="99"/>
    <w:semiHidden/>
    <w:rsid w:val="004D3E77"/>
    <w:pPr>
      <w:spacing w:line="240" w:lineRule="auto"/>
    </w:pPr>
  </w:style>
  <w:style w:type="paragraph" w:styleId="Stopka">
    <w:name w:val="footer"/>
    <w:link w:val="StopkaZnak"/>
    <w:uiPriority w:val="99"/>
    <w:unhideWhenUsed/>
    <w:rsid w:val="00E660B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0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8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895"/>
    <w:rPr>
      <w:b/>
      <w:bCs/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ipercze">
    <w:name w:val="Hyperlink"/>
    <w:basedOn w:val="Domylnaczcionkaakapitu"/>
    <w:uiPriority w:val="99"/>
    <w:unhideWhenUsed/>
    <w:rsid w:val="000F6C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6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g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ZogZOykJFmM8wvN5o3M4BA+VIg==">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1738</Words>
  <Characters>10432</Characters>
  <Application>Microsoft Office Word</Application>
  <DocSecurity>0</DocSecurity>
  <Lines>86</Lines>
  <Paragraphs>24</Paragraphs>
  <ScaleCrop>false</ScaleCrop>
  <Company/>
  <LinksUpToDate>false</LinksUpToDate>
  <CharactersWithSpaces>12146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Rogowski Waldemar</dc:creator>
  <cp:lastModifiedBy>Adrianna Smug</cp:lastModifiedBy>
  <cp:revision>8</cp:revision>
  <dcterms:created xsi:type="dcterms:W3CDTF">2026-08-26T08:20:00Z</dcterms:created>
  <dcterms:modified xsi:type="dcterms:W3CDTF">2026-08-27T08:51:00Z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2e5cbd2c,296bcbf2,1e43190d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Informacje Jawne</vt:lpwstr>
  </property>
  <property fmtid="{D5CDD505-2E9C-101B-9397-08002B2CF9AE}" pid="5" name="MSIP_Label_1391a466-f120-4668-a5e5-7af4d8a99d82_Enabled">
    <vt:lpwstr>true</vt:lpwstr>
  </property>
  <property fmtid="{D5CDD505-2E9C-101B-9397-08002B2CF9AE}" pid="6" name="MSIP_Label_1391a466-f120-4668-a5e5-7af4d8a99d82_SetDate">
    <vt:lpwstr>2026-08-07T11:48:28Z</vt:lpwstr>
  </property>
  <property fmtid="{D5CDD505-2E9C-101B-9397-08002B2CF9AE}" pid="7" name="MSIP_Label_1391a466-f120-4668-a5e5-7af4d8a99d82_Method">
    <vt:lpwstr>Privileged</vt:lpwstr>
  </property>
  <property fmtid="{D5CDD505-2E9C-101B-9397-08002B2CF9AE}" pid="8" name="MSIP_Label_1391a466-f120-4668-a5e5-7af4d8a99d82_Name">
    <vt:lpwstr>Grupa BIK-Jawne</vt:lpwstr>
  </property>
  <property fmtid="{D5CDD505-2E9C-101B-9397-08002B2CF9AE}" pid="9" name="MSIP_Label_1391a466-f120-4668-a5e5-7af4d8a99d82_SiteId">
    <vt:lpwstr>f2871815-01ea-45c0-a64b-82e189df602c</vt:lpwstr>
  </property>
  <property fmtid="{D5CDD505-2E9C-101B-9397-08002B2CF9AE}" pid="10" name="MSIP_Label_1391a466-f120-4668-a5e5-7af4d8a99d82_ActionId">
    <vt:lpwstr>a0178fe2-3644-41ad-8670-46643bf8de9e</vt:lpwstr>
  </property>
  <property fmtid="{D5CDD505-2E9C-101B-9397-08002B2CF9AE}" pid="11" name="MSIP_Label_1391a466-f120-4668-a5e5-7af4d8a99d82_ContentBits">
    <vt:lpwstr>2</vt:lpwstr>
  </property>
  <property fmtid="{D5CDD505-2E9C-101B-9397-08002B2CF9AE}" pid="12" name="MSIP_Label_1391a466-f120-4668-a5e5-7af4d8a99d82_Tag">
    <vt:lpwstr>10, 0, 1, 1</vt:lpwstr>
  </property>
</Properties>
</file>