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BF084" w14:textId="350BF721" w:rsidR="0038382C" w:rsidRPr="0038382C" w:rsidRDefault="0038382C" w:rsidP="00B714BB">
      <w:pPr>
        <w:tabs>
          <w:tab w:val="left" w:pos="5630"/>
        </w:tabs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Hlk82005360"/>
      <w:bookmarkStart w:id="1" w:name="_Hlk98792970"/>
      <w:r w:rsidRPr="0038382C">
        <w:rPr>
          <w:rFonts w:ascii="Arial" w:hAnsi="Arial" w:cs="Arial"/>
          <w:b/>
          <w:bCs/>
          <w:sz w:val="20"/>
          <w:szCs w:val="20"/>
          <w:lang w:val="pl-PL"/>
        </w:rPr>
        <w:t>Polski rynek hotelowy w</w:t>
      </w:r>
      <w:r w:rsidR="00B43AFB">
        <w:rPr>
          <w:rFonts w:ascii="Arial" w:hAnsi="Arial" w:cs="Arial"/>
          <w:b/>
          <w:bCs/>
          <w:sz w:val="20"/>
          <w:szCs w:val="20"/>
          <w:lang w:val="pl-PL"/>
        </w:rPr>
        <w:t xml:space="preserve"> pierwszej połowie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 2026: 59 mln EUR transakcji, a Warszawa z najwyższą prognozą wzrostu podaży w CEE-6</w:t>
      </w:r>
      <w:r w:rsidR="00E01A7D">
        <w:rPr>
          <w:rStyle w:val="FootnoteReference"/>
          <w:rFonts w:ascii="Arial" w:hAnsi="Arial" w:cs="Arial"/>
          <w:b/>
          <w:bCs/>
          <w:sz w:val="20"/>
          <w:szCs w:val="20"/>
          <w:lang w:val="pl-PL"/>
        </w:rPr>
        <w:footnoteReference w:id="1"/>
      </w:r>
    </w:p>
    <w:p w14:paraId="5CA6D0E4" w14:textId="164EE16D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Jak wynika z najnowszych analiz międzynarodowej agencji doradczej </w:t>
      </w:r>
      <w:proofErr w:type="spellStart"/>
      <w:r w:rsidRPr="0038382C">
        <w:rPr>
          <w:rFonts w:ascii="Arial" w:hAnsi="Arial" w:cs="Arial"/>
          <w:b/>
          <w:bCs/>
          <w:sz w:val="20"/>
          <w:szCs w:val="20"/>
          <w:lang w:val="pl-PL"/>
        </w:rPr>
        <w:t>Cushman</w:t>
      </w:r>
      <w:proofErr w:type="spellEnd"/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 &amp; Wakefield, w pierwszej połowie 2026 roku wartość transakcji hotelowych w Polsce wyniosła 59 mln EUR i była o 24% niższa niż </w:t>
      </w:r>
      <w:r w:rsidR="00C5536B">
        <w:rPr>
          <w:rFonts w:ascii="Arial" w:hAnsi="Arial" w:cs="Arial"/>
          <w:b/>
          <w:bCs/>
          <w:sz w:val="20"/>
          <w:szCs w:val="20"/>
          <w:lang w:val="pl-PL"/>
        </w:rPr>
        <w:t xml:space="preserve">w </w:t>
      </w:r>
      <w:r w:rsidR="002975C6">
        <w:rPr>
          <w:rFonts w:ascii="Arial" w:hAnsi="Arial" w:cs="Arial"/>
          <w:b/>
          <w:bCs/>
          <w:sz w:val="20"/>
          <w:szCs w:val="20"/>
          <w:lang w:val="pl-PL"/>
        </w:rPr>
        <w:t xml:space="preserve">analogicznym </w:t>
      </w:r>
      <w:r w:rsidR="00C5536B">
        <w:rPr>
          <w:rFonts w:ascii="Arial" w:hAnsi="Arial" w:cs="Arial"/>
          <w:b/>
          <w:bCs/>
          <w:sz w:val="20"/>
          <w:szCs w:val="20"/>
          <w:lang w:val="pl-PL"/>
        </w:rPr>
        <w:t xml:space="preserve">okresie 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rok wcześniej. Jednocześnie Warszawa ma w całym 2026 roku odnotować najwyższy wzrost podaży pokoi hotelowych wśród stolic CEE-6 – o 7,2%. Polski rynek korzysta przy tym z dobrego otoczenia regionalnego: </w:t>
      </w:r>
      <w:proofErr w:type="spellStart"/>
      <w:r w:rsidRPr="0038382C">
        <w:rPr>
          <w:rFonts w:ascii="Arial" w:hAnsi="Arial" w:cs="Arial"/>
          <w:b/>
          <w:bCs/>
          <w:sz w:val="20"/>
          <w:szCs w:val="20"/>
          <w:lang w:val="pl-PL"/>
        </w:rPr>
        <w:t>RevPAR</w:t>
      </w:r>
      <w:proofErr w:type="spellEnd"/>
      <w:r w:rsidR="001C29DB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>w CEE-6</w:t>
      </w:r>
      <w:r w:rsidR="001C29DB">
        <w:rPr>
          <w:rFonts w:ascii="Arial" w:hAnsi="Arial" w:cs="Arial"/>
          <w:b/>
          <w:bCs/>
          <w:sz w:val="20"/>
          <w:szCs w:val="20"/>
          <w:lang w:val="pl-PL"/>
        </w:rPr>
        <w:t xml:space="preserve"> w I. półroczu 2026 r.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 wzrósł o 8,2% r/r</w:t>
      </w:r>
      <w:r w:rsidR="00B32E88">
        <w:rPr>
          <w:rFonts w:ascii="Arial" w:hAnsi="Arial" w:cs="Arial"/>
          <w:b/>
          <w:bCs/>
          <w:sz w:val="20"/>
          <w:szCs w:val="20"/>
          <w:lang w:val="pl-PL"/>
        </w:rPr>
        <w:t xml:space="preserve"> (w Polsce 4,6%)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, wyraźnie szybciej niż w całej Europie, gdzie dynamika </w:t>
      </w:r>
      <w:r w:rsidR="001C29DB">
        <w:rPr>
          <w:rFonts w:ascii="Arial" w:hAnsi="Arial" w:cs="Arial"/>
          <w:b/>
          <w:bCs/>
          <w:sz w:val="20"/>
          <w:szCs w:val="20"/>
          <w:lang w:val="pl-PL"/>
        </w:rPr>
        <w:t xml:space="preserve">wzrostu 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>wyniosła 3</w:t>
      </w:r>
      <w:r w:rsidR="001C29DB">
        <w:rPr>
          <w:rFonts w:ascii="Arial" w:hAnsi="Arial" w:cs="Arial"/>
          <w:b/>
          <w:bCs/>
          <w:sz w:val="20"/>
          <w:szCs w:val="20"/>
          <w:lang w:val="pl-PL"/>
        </w:rPr>
        <w:t>,0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>%.</w:t>
      </w:r>
    </w:p>
    <w:p w14:paraId="06A8ABF9" w14:textId="6B2AC493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>Polsk</w:t>
      </w:r>
      <w:r w:rsidR="0062303E">
        <w:rPr>
          <w:rFonts w:ascii="Arial" w:hAnsi="Arial" w:cs="Arial"/>
          <w:b/>
          <w:bCs/>
          <w:sz w:val="20"/>
          <w:szCs w:val="20"/>
          <w:lang w:val="pl-PL"/>
        </w:rPr>
        <w:t>i rynek transakcyjny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>: cztery hotele i 59 mln EUR transakcji</w:t>
      </w:r>
    </w:p>
    <w:p w14:paraId="0FDA2D93" w14:textId="1852D322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Według raportu „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MarketBeat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CEE-6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Hospitality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H1 2026” w pierwszym półroczu 2026 roku w Polsce przedmiotem transakcji były cztery hotele oferujące łącznie 445 pokoi. Ich całkowit</w:t>
      </w:r>
      <w:r w:rsidR="002975C6">
        <w:rPr>
          <w:rFonts w:ascii="Arial" w:hAnsi="Arial" w:cs="Arial"/>
          <w:bCs/>
          <w:sz w:val="20"/>
          <w:szCs w:val="20"/>
          <w:lang w:val="pl-PL"/>
        </w:rPr>
        <w:t>y wolumen transakcyjny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wyni</w:t>
      </w:r>
      <w:r w:rsidR="002975C6">
        <w:rPr>
          <w:rFonts w:ascii="Arial" w:hAnsi="Arial" w:cs="Arial"/>
          <w:bCs/>
          <w:sz w:val="20"/>
          <w:szCs w:val="20"/>
          <w:lang w:val="pl-PL"/>
        </w:rPr>
        <w:t>ósł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59 mln EUR, co oznacza spadek o 24% w porównaniu z analogicznym okresem 2025 roku.</w:t>
      </w:r>
    </w:p>
    <w:p w14:paraId="40132A22" w14:textId="0C4ABCCA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Wśród największych transakcji wskazanych przez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Cushman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&amp; Wakefield znalazły się </w:t>
      </w:r>
      <w:r w:rsidR="002975C6">
        <w:rPr>
          <w:rFonts w:ascii="Arial" w:hAnsi="Arial" w:cs="Arial"/>
          <w:bCs/>
          <w:sz w:val="20"/>
          <w:szCs w:val="20"/>
          <w:lang w:val="pl-PL"/>
        </w:rPr>
        <w:t xml:space="preserve">m.in.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Hampton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by Hilton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Krakow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Airport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ze 173 pokojami, IBB Hotel Gdańsk oferujący 89 pokoi oraz dysponujący 133 pokojami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Havet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Hotel Resort &amp; Spa w Dźwirzynie. Zestawienie obejmuje więc zarówno regionalne rynki miejskie, jak i lokalizację wypoczynkową.</w:t>
      </w:r>
    </w:p>
    <w:p w14:paraId="640C1F0F" w14:textId="2393EABA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– 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Pierwsze półrocze 2026 roku potwierdza, że polski rynek hotelowy rozwija się wielotorowo. Warszawa pozostaje głównym punktem odniesienia </w:t>
      </w:r>
      <w:r w:rsidR="00E01A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w regionie 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dla nowej podaży, natomiast wśród największych transakcji znajdują się również obiekty w Krakowie, Gdańsku oraz w lokalizacjach wypoczynkowych. W coraz bardziej selektywnym otoczeniu inwestycyjnym kluczowe pozostają </w:t>
      </w:r>
      <w:r w:rsidR="00E01A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lokalizacja 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aktywa, jego </w:t>
      </w:r>
      <w:r w:rsidR="00E01A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jakość oraz struktura operacyjna, a także 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>zdolność</w:t>
      </w:r>
      <w:r w:rsidR="00E01A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aktywa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do generowania </w:t>
      </w:r>
      <w:r w:rsidR="00E01A7D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możliwie jak najwyższych </w:t>
      </w:r>
      <w:r w:rsidRPr="00B714BB">
        <w:rPr>
          <w:rFonts w:ascii="Arial" w:hAnsi="Arial" w:cs="Arial"/>
          <w:bCs/>
          <w:i/>
          <w:iCs/>
          <w:sz w:val="20"/>
          <w:szCs w:val="20"/>
          <w:lang w:val="pl-PL"/>
        </w:rPr>
        <w:t>wyników operacyjnych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– mówi 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Maciej Prończuk, Senior Consultant, </w:t>
      </w:r>
      <w:proofErr w:type="spellStart"/>
      <w:r w:rsidRPr="0038382C">
        <w:rPr>
          <w:rFonts w:ascii="Arial" w:hAnsi="Arial" w:cs="Arial"/>
          <w:b/>
          <w:bCs/>
          <w:sz w:val="20"/>
          <w:szCs w:val="20"/>
          <w:lang w:val="pl-PL"/>
        </w:rPr>
        <w:t>Valuation</w:t>
      </w:r>
      <w:proofErr w:type="spellEnd"/>
      <w:r w:rsidR="00E01A7D">
        <w:rPr>
          <w:rFonts w:ascii="Arial" w:hAnsi="Arial" w:cs="Arial"/>
          <w:b/>
          <w:bCs/>
          <w:sz w:val="20"/>
          <w:szCs w:val="20"/>
          <w:lang w:val="pl-PL"/>
        </w:rPr>
        <w:t xml:space="preserve"> &amp; </w:t>
      </w:r>
      <w:proofErr w:type="spellStart"/>
      <w:r w:rsidR="00E01A7D">
        <w:rPr>
          <w:rFonts w:ascii="Arial" w:hAnsi="Arial" w:cs="Arial"/>
          <w:b/>
          <w:bCs/>
          <w:sz w:val="20"/>
          <w:szCs w:val="20"/>
          <w:lang w:val="pl-PL"/>
        </w:rPr>
        <w:t>Advisory</w:t>
      </w:r>
      <w:proofErr w:type="spellEnd"/>
      <w:r w:rsidR="00E01A7D">
        <w:rPr>
          <w:rFonts w:ascii="Arial" w:hAnsi="Arial" w:cs="Arial"/>
          <w:b/>
          <w:bCs/>
          <w:sz w:val="20"/>
          <w:szCs w:val="20"/>
          <w:lang w:val="pl-PL"/>
        </w:rPr>
        <w:t xml:space="preserve">, </w:t>
      </w:r>
      <w:proofErr w:type="spellStart"/>
      <w:r w:rsidR="00E01A7D">
        <w:rPr>
          <w:rFonts w:ascii="Arial" w:hAnsi="Arial" w:cs="Arial"/>
          <w:b/>
          <w:bCs/>
          <w:sz w:val="20"/>
          <w:szCs w:val="20"/>
          <w:lang w:val="pl-PL"/>
        </w:rPr>
        <w:t>Hospitality</w:t>
      </w:r>
      <w:proofErr w:type="spellEnd"/>
      <w:r w:rsidR="00E01A7D">
        <w:rPr>
          <w:rFonts w:ascii="Arial" w:hAnsi="Arial" w:cs="Arial"/>
          <w:b/>
          <w:bCs/>
          <w:sz w:val="20"/>
          <w:szCs w:val="20"/>
          <w:lang w:val="pl-PL"/>
        </w:rPr>
        <w:t xml:space="preserve"> &amp; </w:t>
      </w:r>
      <w:proofErr w:type="spellStart"/>
      <w:r w:rsidR="00E01A7D">
        <w:rPr>
          <w:rFonts w:ascii="Arial" w:hAnsi="Arial" w:cs="Arial"/>
          <w:b/>
          <w:bCs/>
          <w:sz w:val="20"/>
          <w:szCs w:val="20"/>
          <w:lang w:val="pl-PL"/>
        </w:rPr>
        <w:t>Alternatives</w:t>
      </w:r>
      <w:proofErr w:type="spellEnd"/>
      <w:r w:rsidR="00E01A7D">
        <w:rPr>
          <w:rFonts w:ascii="Arial" w:hAnsi="Arial" w:cs="Arial"/>
          <w:b/>
          <w:bCs/>
          <w:sz w:val="20"/>
          <w:szCs w:val="20"/>
          <w:lang w:val="pl-PL"/>
        </w:rPr>
        <w:t>,</w:t>
      </w:r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 CEE &amp; SEE, </w:t>
      </w:r>
      <w:proofErr w:type="spellStart"/>
      <w:r w:rsidRPr="0038382C">
        <w:rPr>
          <w:rFonts w:ascii="Arial" w:hAnsi="Arial" w:cs="Arial"/>
          <w:b/>
          <w:bCs/>
          <w:sz w:val="20"/>
          <w:szCs w:val="20"/>
          <w:lang w:val="pl-PL"/>
        </w:rPr>
        <w:t>Cushman</w:t>
      </w:r>
      <w:proofErr w:type="spellEnd"/>
      <w:r w:rsidRPr="0038382C">
        <w:rPr>
          <w:rFonts w:ascii="Arial" w:hAnsi="Arial" w:cs="Arial"/>
          <w:b/>
          <w:bCs/>
          <w:sz w:val="20"/>
          <w:szCs w:val="20"/>
          <w:lang w:val="pl-PL"/>
        </w:rPr>
        <w:t xml:space="preserve"> &amp; Wakefield</w:t>
      </w:r>
      <w:r w:rsidRPr="0038382C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40107337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>Warszawa ma przewodzić wzrostowi podaży w CEE-6</w:t>
      </w:r>
    </w:p>
    <w:p w14:paraId="5220ECFB" w14:textId="4A6BE3B5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 pierwszej połowie 2026 roku podaż pokoi hotelowych w </w:t>
      </w:r>
      <w:r w:rsidR="00AE31F9">
        <w:rPr>
          <w:rFonts w:ascii="Arial" w:hAnsi="Arial" w:cs="Arial"/>
          <w:bCs/>
          <w:sz w:val="20"/>
          <w:szCs w:val="20"/>
          <w:lang w:val="pl-PL"/>
        </w:rPr>
        <w:t xml:space="preserve">stolicach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CEE-6 wzrosła o 2,2% r/r. W stolicach regionu otwarto dziewięć hoteli oferujących łącznie 1 054 pokoje. Nowe obiekty reprezentowały segmenty od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midscale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po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luxury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, przy czym największa część otwarć przypadła na segment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midscale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54303784" w14:textId="4129969C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W</w:t>
      </w:r>
      <w:r w:rsidR="00AE31F9">
        <w:rPr>
          <w:rFonts w:ascii="Arial" w:hAnsi="Arial" w:cs="Arial"/>
          <w:bCs/>
          <w:sz w:val="20"/>
          <w:szCs w:val="20"/>
          <w:lang w:val="pl-PL"/>
        </w:rPr>
        <w:t>edług prognoz, w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całym 2026 roku podaż pokoi w stolicach CEE-6 ma zwiększyć się o 2,8%. Liderem </w:t>
      </w:r>
      <w:r w:rsidR="0062303E">
        <w:rPr>
          <w:rFonts w:ascii="Arial" w:hAnsi="Arial" w:cs="Arial"/>
          <w:bCs/>
          <w:sz w:val="20"/>
          <w:szCs w:val="20"/>
          <w:lang w:val="pl-PL"/>
        </w:rPr>
        <w:t xml:space="preserve">tego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wzrostu ma być Warszawa, dla której prognozowana dynamika </w:t>
      </w:r>
      <w:r w:rsidR="0062303E">
        <w:rPr>
          <w:rFonts w:ascii="Arial" w:hAnsi="Arial" w:cs="Arial"/>
          <w:bCs/>
          <w:sz w:val="20"/>
          <w:szCs w:val="20"/>
          <w:lang w:val="pl-PL"/>
        </w:rPr>
        <w:t xml:space="preserve">wzrostu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wynosi 7,2%. Na drugim miejscu znajduje się Budapeszt z wynikiem 4,2%. Według ekspertów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Cushman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&amp; Wakefield rozwój podaży wspierają m.in. silne fundamenty popytowe i poprawiające się otoczenie geopolityczne.</w:t>
      </w:r>
    </w:p>
    <w:p w14:paraId="58CEB717" w14:textId="71111F1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Warszawa wpisuje się jednocześnie w szerszy trend europejski. W pierwszym półroczu podaż </w:t>
      </w:r>
      <w:r w:rsidR="0062303E">
        <w:rPr>
          <w:rFonts w:ascii="Arial" w:hAnsi="Arial" w:cs="Arial"/>
          <w:bCs/>
          <w:sz w:val="20"/>
          <w:szCs w:val="20"/>
          <w:lang w:val="pl-PL"/>
        </w:rPr>
        <w:t xml:space="preserve">pokoi </w:t>
      </w:r>
      <w:r w:rsidRPr="0038382C">
        <w:rPr>
          <w:rFonts w:ascii="Arial" w:hAnsi="Arial" w:cs="Arial"/>
          <w:bCs/>
          <w:sz w:val="20"/>
          <w:szCs w:val="20"/>
          <w:lang w:val="pl-PL"/>
        </w:rPr>
        <w:t>hotelow</w:t>
      </w:r>
      <w:r w:rsidR="0062303E">
        <w:rPr>
          <w:rFonts w:ascii="Arial" w:hAnsi="Arial" w:cs="Arial"/>
          <w:bCs/>
          <w:sz w:val="20"/>
          <w:szCs w:val="20"/>
          <w:lang w:val="pl-PL"/>
        </w:rPr>
        <w:t>ych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w Europie zwiększyła się o 2,9% r/r, a Polska – obok Włoch i Austrii – została wskazana jako jeden </w:t>
      </w:r>
      <w:r w:rsidRPr="0038382C">
        <w:rPr>
          <w:rFonts w:ascii="Arial" w:hAnsi="Arial" w:cs="Arial"/>
          <w:bCs/>
          <w:sz w:val="20"/>
          <w:szCs w:val="20"/>
          <w:lang w:val="pl-PL"/>
        </w:rPr>
        <w:lastRenderedPageBreak/>
        <w:t xml:space="preserve">z krajów, w których odnotowano wyraźny wzrost liczby dostępnych pokoi. Tempo rozwoju pozostaje jednak zróżnicowane: w części </w:t>
      </w:r>
      <w:r w:rsidR="0062303E">
        <w:rPr>
          <w:rFonts w:ascii="Arial" w:hAnsi="Arial" w:cs="Arial"/>
          <w:bCs/>
          <w:sz w:val="20"/>
          <w:szCs w:val="20"/>
          <w:lang w:val="pl-PL"/>
        </w:rPr>
        <w:t>europejskich stolic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, takich jak Amsterdam, Barcelona, Praga czy Paryż, </w:t>
      </w:r>
      <w:r w:rsidR="0062303E">
        <w:rPr>
          <w:rFonts w:ascii="Arial" w:hAnsi="Arial" w:cs="Arial"/>
          <w:bCs/>
          <w:sz w:val="20"/>
          <w:szCs w:val="20"/>
          <w:lang w:val="pl-PL"/>
        </w:rPr>
        <w:t>budowa</w:t>
      </w:r>
      <w:r w:rsidR="0062303E" w:rsidRPr="0038382C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38382C">
        <w:rPr>
          <w:rFonts w:ascii="Arial" w:hAnsi="Arial" w:cs="Arial"/>
          <w:bCs/>
          <w:sz w:val="20"/>
          <w:szCs w:val="20"/>
          <w:lang w:val="pl-PL"/>
        </w:rPr>
        <w:t>nowych projektów jest bardzo ograniczony.</w:t>
      </w:r>
    </w:p>
    <w:p w14:paraId="0D52DC07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>CEE-6 poprawia wyniki operacyjne szybciej niż Europa</w:t>
      </w:r>
    </w:p>
    <w:p w14:paraId="3ECFB6E2" w14:textId="0559D60E" w:rsid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 pierwszym półroczu 2026 roku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RevPAR</w:t>
      </w:r>
      <w:proofErr w:type="spellEnd"/>
      <w:r w:rsidR="0062303E">
        <w:rPr>
          <w:rFonts w:ascii="Arial" w:hAnsi="Arial" w:cs="Arial"/>
          <w:bCs/>
          <w:sz w:val="20"/>
          <w:szCs w:val="20"/>
          <w:lang w:val="pl-PL"/>
        </w:rPr>
        <w:t xml:space="preserve"> (w EUR)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w regionie CEE-6 zwiększył się o 8,2% r/r. Wzrost ten był wspierany przez wyższy o 4,7% ADR oraz poprawę obłożenia o 2,1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p.p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. Wśród stolic regionu największą dynamikę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RevPAR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odnotował Budapeszt, gdzie wskaźnik </w:t>
      </w:r>
      <w:r w:rsidR="0062303E">
        <w:rPr>
          <w:rFonts w:ascii="Arial" w:hAnsi="Arial" w:cs="Arial"/>
          <w:bCs/>
          <w:sz w:val="20"/>
          <w:szCs w:val="20"/>
          <w:lang w:val="pl-PL"/>
        </w:rPr>
        <w:t xml:space="preserve">ten </w:t>
      </w:r>
      <w:r w:rsidRPr="0038382C">
        <w:rPr>
          <w:rFonts w:ascii="Arial" w:hAnsi="Arial" w:cs="Arial"/>
          <w:bCs/>
          <w:sz w:val="20"/>
          <w:szCs w:val="20"/>
          <w:lang w:val="pl-PL"/>
        </w:rPr>
        <w:t>wzrósł o 15,3%. Kolejne miejsca zajęły Bratysława ze wzrostem o 13,5% oraz Praga z wynikiem 10,5%.</w:t>
      </w:r>
      <w:r w:rsidR="00C54E67">
        <w:rPr>
          <w:rFonts w:ascii="Arial" w:hAnsi="Arial" w:cs="Arial"/>
          <w:bCs/>
          <w:sz w:val="20"/>
          <w:szCs w:val="20"/>
          <w:lang w:val="pl-PL"/>
        </w:rPr>
        <w:t xml:space="preserve"> W Polsce wskaźnik ten wyniósł 4,6%.</w:t>
      </w:r>
      <w:r w:rsidR="006B02D9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6B02D9" w:rsidRPr="006B02D9">
        <w:rPr>
          <w:rFonts w:ascii="Arial" w:hAnsi="Arial" w:cs="Arial"/>
          <w:bCs/>
          <w:sz w:val="20"/>
          <w:szCs w:val="20"/>
          <w:lang w:val="pl-PL"/>
        </w:rPr>
        <w:t>Warto zaznaczyć, że Warszawa pomimo wysokiego prognozowanego przyrostu liczby pokoi hotelowych ma obecnie najwyższe obłożenie wśród stolic CEE-6</w:t>
      </w:r>
      <w:r w:rsidR="006B02D9" w:rsidRPr="006B02D9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41A7DABC" w14:textId="3C876639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Dla porównania, średni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RevPAR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w Europie wyniósł 101 EUR, rosnąc o 3</w:t>
      </w:r>
      <w:r w:rsidR="0062303E">
        <w:rPr>
          <w:rFonts w:ascii="Arial" w:hAnsi="Arial" w:cs="Arial"/>
          <w:bCs/>
          <w:sz w:val="20"/>
          <w:szCs w:val="20"/>
          <w:lang w:val="pl-PL"/>
        </w:rPr>
        <w:t>,0</w:t>
      </w:r>
      <w:r w:rsidRPr="0038382C">
        <w:rPr>
          <w:rFonts w:ascii="Arial" w:hAnsi="Arial" w:cs="Arial"/>
          <w:bCs/>
          <w:sz w:val="20"/>
          <w:szCs w:val="20"/>
          <w:lang w:val="pl-PL"/>
        </w:rPr>
        <w:t>% r/r. ADR zwiększył się o 2,2%, a obłożenie o 0,</w:t>
      </w:r>
      <w:r w:rsidR="00C72607">
        <w:rPr>
          <w:rFonts w:ascii="Arial" w:hAnsi="Arial" w:cs="Arial"/>
          <w:bCs/>
          <w:sz w:val="20"/>
          <w:szCs w:val="20"/>
          <w:lang w:val="pl-PL"/>
        </w:rPr>
        <w:t xml:space="preserve">4 </w:t>
      </w:r>
      <w:proofErr w:type="spellStart"/>
      <w:r w:rsidR="00C72607">
        <w:rPr>
          <w:rFonts w:ascii="Arial" w:hAnsi="Arial" w:cs="Arial"/>
          <w:bCs/>
          <w:sz w:val="20"/>
          <w:szCs w:val="20"/>
          <w:lang w:val="pl-PL"/>
        </w:rPr>
        <w:t>p.p</w:t>
      </w:r>
      <w:proofErr w:type="spellEnd"/>
      <w:r w:rsidR="00C72607">
        <w:rPr>
          <w:rFonts w:ascii="Arial" w:hAnsi="Arial" w:cs="Arial"/>
          <w:bCs/>
          <w:sz w:val="20"/>
          <w:szCs w:val="20"/>
          <w:lang w:val="pl-PL"/>
        </w:rPr>
        <w:t xml:space="preserve">.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Najmocniejszą dynamikę </w:t>
      </w:r>
      <w:r w:rsidR="00C72607">
        <w:rPr>
          <w:rFonts w:ascii="Arial" w:hAnsi="Arial" w:cs="Arial"/>
          <w:bCs/>
          <w:sz w:val="20"/>
          <w:szCs w:val="20"/>
          <w:lang w:val="pl-PL"/>
        </w:rPr>
        <w:t xml:space="preserve">wzrostu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wyników operacyjnych w skali kontynentu osiągnęła Europa Wschodnia, w której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RevPAR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wzrósł o 6</w:t>
      </w:r>
      <w:r w:rsidR="00C72607">
        <w:rPr>
          <w:rFonts w:ascii="Arial" w:hAnsi="Arial" w:cs="Arial"/>
          <w:bCs/>
          <w:sz w:val="20"/>
          <w:szCs w:val="20"/>
          <w:lang w:val="pl-PL"/>
        </w:rPr>
        <w:t>,0</w:t>
      </w:r>
      <w:r w:rsidRPr="0038382C">
        <w:rPr>
          <w:rFonts w:ascii="Arial" w:hAnsi="Arial" w:cs="Arial"/>
          <w:bCs/>
          <w:sz w:val="20"/>
          <w:szCs w:val="20"/>
          <w:lang w:val="pl-PL"/>
        </w:rPr>
        <w:t>%. Na poziomie miast wyróżniały się Mediolan ze wzrostem o 24% oraz Budapeszt z wynikiem około 15%.</w:t>
      </w:r>
    </w:p>
    <w:p w14:paraId="5F7F47F2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>Rynek inwestycyjny CEE-6: mniej niż przed rokiem, ale aktywność pozostaje wysoka</w:t>
      </w:r>
    </w:p>
    <w:p w14:paraId="30F7ED1A" w14:textId="42AB929F" w:rsidR="0038382C" w:rsidRPr="0038382C" w:rsidRDefault="00C72607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Wo</w:t>
      </w:r>
      <w:r>
        <w:rPr>
          <w:rFonts w:ascii="Arial" w:hAnsi="Arial" w:cs="Arial"/>
          <w:bCs/>
          <w:sz w:val="20"/>
          <w:szCs w:val="20"/>
          <w:lang w:val="pl-PL"/>
        </w:rPr>
        <w:t>lumen</w:t>
      </w:r>
      <w:r w:rsidR="0038382C" w:rsidRPr="0038382C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>
        <w:rPr>
          <w:rFonts w:ascii="Arial" w:hAnsi="Arial" w:cs="Arial"/>
          <w:bCs/>
          <w:sz w:val="20"/>
          <w:szCs w:val="20"/>
          <w:lang w:val="pl-PL"/>
        </w:rPr>
        <w:t xml:space="preserve">transakcji </w:t>
      </w:r>
      <w:r w:rsidR="0038382C" w:rsidRPr="0038382C">
        <w:rPr>
          <w:rFonts w:ascii="Arial" w:hAnsi="Arial" w:cs="Arial"/>
          <w:bCs/>
          <w:sz w:val="20"/>
          <w:szCs w:val="20"/>
          <w:lang w:val="pl-PL"/>
        </w:rPr>
        <w:t>hotelowych w CEE-6 wyn</w:t>
      </w:r>
      <w:r>
        <w:rPr>
          <w:rFonts w:ascii="Arial" w:hAnsi="Arial" w:cs="Arial"/>
          <w:bCs/>
          <w:sz w:val="20"/>
          <w:szCs w:val="20"/>
          <w:lang w:val="pl-PL"/>
        </w:rPr>
        <w:t>iósł</w:t>
      </w:r>
      <w:r w:rsidR="0038382C" w:rsidRPr="0038382C">
        <w:rPr>
          <w:rFonts w:ascii="Arial" w:hAnsi="Arial" w:cs="Arial"/>
          <w:bCs/>
          <w:sz w:val="20"/>
          <w:szCs w:val="20"/>
          <w:lang w:val="pl-PL"/>
        </w:rPr>
        <w:t xml:space="preserve"> w pierwszej połowie 2026 roku 314 mln EUR. Było to o 50% mniej niż w wyjątkowo aktywnym pierwszym półroczu 2025 roku, kiedy wynik został podwyższony przez kilka dużych transakcji. Łącznie </w:t>
      </w:r>
      <w:r w:rsidR="00470F8D">
        <w:rPr>
          <w:rFonts w:ascii="Arial" w:hAnsi="Arial" w:cs="Arial"/>
          <w:bCs/>
          <w:sz w:val="20"/>
          <w:szCs w:val="20"/>
          <w:lang w:val="pl-PL"/>
        </w:rPr>
        <w:t xml:space="preserve">w pierwszym półroczu w CEE-6 </w:t>
      </w:r>
      <w:r w:rsidR="0038382C" w:rsidRPr="0038382C">
        <w:rPr>
          <w:rFonts w:ascii="Arial" w:hAnsi="Arial" w:cs="Arial"/>
          <w:bCs/>
          <w:sz w:val="20"/>
          <w:szCs w:val="20"/>
          <w:lang w:val="pl-PL"/>
        </w:rPr>
        <w:t>sprzedano 21 hoteli obejmujących 3 146 pokoi.</w:t>
      </w:r>
    </w:p>
    <w:p w14:paraId="324FBE49" w14:textId="51D95B30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Średnia cena transakcyjna wyniosła 149 199 EUR za pokój – z wyłączeniem transakcji poniżej 5 mln EUR. Aż 44% wolumenu przypadło na hotele z segmentów Upper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Midscale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i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Midscale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. Oznacza to zmianę w porównaniu z pierwszym półroczem 2025 roku, kiedy </w:t>
      </w:r>
      <w:r w:rsidR="00470F8D">
        <w:rPr>
          <w:rFonts w:ascii="Arial" w:hAnsi="Arial" w:cs="Arial"/>
          <w:bCs/>
          <w:sz w:val="20"/>
          <w:szCs w:val="20"/>
          <w:lang w:val="pl-PL"/>
        </w:rPr>
        <w:t xml:space="preserve">najwięcej wolumenu przypadało na segment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Upper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Upscale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3843C711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Stopy kapitalizacji dla najlepszych aktywów hotelowych w stolicach CEE-6 pozostawały w pierwszym półroczu zasadniczo stabilne i mieściły się w przedziale 6,25–8,5%. W porównaniu z analogicznym okresem poprzedniego roku w Bukareszcie, Budapeszcie i Pradze odnotowano kompresję o 25 punktów bazowych. W Warszawie, podobnie jak w Bratysławie i Sofii, stopy kapitalizacji nie zmieniły się.</w:t>
      </w:r>
    </w:p>
    <w:p w14:paraId="1B38BB22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38382C">
        <w:rPr>
          <w:rFonts w:ascii="Arial" w:hAnsi="Arial" w:cs="Arial"/>
          <w:b/>
          <w:bCs/>
          <w:sz w:val="20"/>
          <w:szCs w:val="20"/>
          <w:lang w:val="pl-PL"/>
        </w:rPr>
        <w:t>Europa: mniej aktywów w obrocie, ale większe transakcje</w:t>
      </w:r>
    </w:p>
    <w:p w14:paraId="6A6FC6AA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Wartość inwestycji hotelowych w Europie wyniosła w pierwszym półroczu 2026 roku 11,7 mld EUR. Wynik ten był o 9,5% niższy niż rok wcześniej, ale jednocześnie o 19,5% przekraczał średnią z ostatnich dziesięciu lat. Przedmiotem transakcji były 384 hotele oferujące łącznie 51 219 pokoi.</w:t>
      </w:r>
    </w:p>
    <w:p w14:paraId="5D255441" w14:textId="20E77B93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Europejski rynek charakteryzowała koncentracja na mniejszej liczbie większych i wysokiej jakości aktywów. Liczba transakcji o wartości przekraczającej 100 mln EUR wzrosła o 30% r/r, a średnia cena za pokój zwiększyła się o 9%, do 228 416 EUR. Połowa całego wolumenu inwestycyjnego została ulokowana w hotelach z segmentów Upper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Upscale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i </w:t>
      </w:r>
      <w:proofErr w:type="spellStart"/>
      <w:r w:rsidRPr="0038382C">
        <w:rPr>
          <w:rFonts w:ascii="Arial" w:hAnsi="Arial" w:cs="Arial"/>
          <w:bCs/>
          <w:sz w:val="20"/>
          <w:szCs w:val="20"/>
          <w:lang w:val="pl-PL"/>
        </w:rPr>
        <w:t>Upscale</w:t>
      </w:r>
      <w:proofErr w:type="spellEnd"/>
      <w:r w:rsidRPr="0038382C">
        <w:rPr>
          <w:rFonts w:ascii="Arial" w:hAnsi="Arial" w:cs="Arial"/>
          <w:bCs/>
          <w:sz w:val="20"/>
          <w:szCs w:val="20"/>
          <w:lang w:val="pl-PL"/>
        </w:rPr>
        <w:t>. Aktywność inwestorów z regionu Azji i Pacyfiku wzrosła o 86% r/r.</w:t>
      </w:r>
    </w:p>
    <w:p w14:paraId="7C1E1C0C" w14:textId="546C7092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lastRenderedPageBreak/>
        <w:t xml:space="preserve">Największym rynkiem inwestycyjnym w Europie była Wielka Brytania, gdzie wolumen wyniósł 3,22 mld EUR i wzrósł o 74% r/r. Drugie miejsce zajęła Hiszpania z wynikiem 2,66 mld EUR i wzrostem o 34%. Na poziomie </w:t>
      </w:r>
      <w:r w:rsidR="009A5BD0">
        <w:rPr>
          <w:rFonts w:ascii="Arial" w:hAnsi="Arial" w:cs="Arial"/>
          <w:bCs/>
          <w:sz w:val="20"/>
          <w:szCs w:val="20"/>
          <w:lang w:val="pl-PL"/>
        </w:rPr>
        <w:t>stolic</w:t>
      </w:r>
      <w:r w:rsidR="009A5BD0" w:rsidRPr="0038382C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liderem pozostawał Londyn, w którym </w:t>
      </w:r>
      <w:r w:rsidR="009A5BD0">
        <w:rPr>
          <w:rFonts w:ascii="Arial" w:hAnsi="Arial" w:cs="Arial"/>
          <w:bCs/>
          <w:sz w:val="20"/>
          <w:szCs w:val="20"/>
          <w:lang w:val="pl-PL"/>
        </w:rPr>
        <w:t>sprzedano</w:t>
      </w:r>
      <w:r w:rsidRPr="0038382C">
        <w:rPr>
          <w:rFonts w:ascii="Arial" w:hAnsi="Arial" w:cs="Arial"/>
          <w:bCs/>
          <w:sz w:val="20"/>
          <w:szCs w:val="20"/>
          <w:lang w:val="pl-PL"/>
        </w:rPr>
        <w:t xml:space="preserve"> 24 nieruchomości o łączn</w:t>
      </w:r>
      <w:r w:rsidR="009A5BD0">
        <w:rPr>
          <w:rFonts w:ascii="Arial" w:hAnsi="Arial" w:cs="Arial"/>
          <w:bCs/>
          <w:sz w:val="20"/>
          <w:szCs w:val="20"/>
          <w:lang w:val="pl-PL"/>
        </w:rPr>
        <w:t xml:space="preserve">ym wolumenie </w:t>
      </w:r>
      <w:r w:rsidRPr="0038382C">
        <w:rPr>
          <w:rFonts w:ascii="Arial" w:hAnsi="Arial" w:cs="Arial"/>
          <w:bCs/>
          <w:sz w:val="20"/>
          <w:szCs w:val="20"/>
          <w:lang w:val="pl-PL"/>
        </w:rPr>
        <w:t>2,3 mld EUR, przed Paryżem, Madrytem</w:t>
      </w:r>
      <w:r w:rsidR="009A5BD0">
        <w:rPr>
          <w:rFonts w:ascii="Arial" w:hAnsi="Arial" w:cs="Arial"/>
          <w:bCs/>
          <w:sz w:val="20"/>
          <w:szCs w:val="20"/>
          <w:lang w:val="pl-PL"/>
        </w:rPr>
        <w:t xml:space="preserve"> i Wiedniem</w:t>
      </w:r>
      <w:r w:rsidRPr="0038382C">
        <w:rPr>
          <w:rFonts w:ascii="Arial" w:hAnsi="Arial" w:cs="Arial"/>
          <w:bCs/>
          <w:sz w:val="20"/>
          <w:szCs w:val="20"/>
          <w:lang w:val="pl-PL"/>
        </w:rPr>
        <w:t>.</w:t>
      </w:r>
    </w:p>
    <w:p w14:paraId="2A2701C8" w14:textId="77777777" w:rsidR="0038382C" w:rsidRPr="0038382C" w:rsidRDefault="0038382C" w:rsidP="00B714BB">
      <w:pPr>
        <w:tabs>
          <w:tab w:val="left" w:pos="5630"/>
        </w:tabs>
        <w:spacing w:line="240" w:lineRule="auto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38382C">
        <w:rPr>
          <w:rFonts w:ascii="Arial" w:hAnsi="Arial" w:cs="Arial"/>
          <w:bCs/>
          <w:sz w:val="20"/>
          <w:szCs w:val="20"/>
          <w:lang w:val="pl-PL"/>
        </w:rPr>
        <w:t>W drugiej połowie roku na finalizację oczekuje kilka dużych transakcji portfelowych i platformowych, które mogą pozytywnie wpłynąć na całoroczny wolumen. Jednocześnie ponowny wzrost inflacji i związane z nim wyższe koszty finansowania mogą ograniczać przestrzeń do dalszej kompresji stóp kapitalizacji.</w:t>
      </w:r>
    </w:p>
    <w:p w14:paraId="020F55D3" w14:textId="0D716661" w:rsidR="006B6114" w:rsidRPr="006C2215" w:rsidRDefault="006B6114" w:rsidP="00573968">
      <w:pPr>
        <w:tabs>
          <w:tab w:val="left" w:pos="5630"/>
        </w:tabs>
        <w:rPr>
          <w:rFonts w:ascii="Arial" w:hAnsi="Arial" w:cs="Arial"/>
          <w:bCs/>
          <w:sz w:val="20"/>
          <w:szCs w:val="20"/>
          <w:lang w:val="pl-PL"/>
        </w:rPr>
      </w:pPr>
    </w:p>
    <w:bookmarkEnd w:id="0"/>
    <w:bookmarkEnd w:id="1"/>
    <w:p w14:paraId="258EF7D2" w14:textId="383354BB" w:rsidR="008942DD" w:rsidRPr="00802515" w:rsidRDefault="008942DD" w:rsidP="008942DD">
      <w:pPr>
        <w:spacing w:after="0"/>
        <w:jc w:val="center"/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</w:pPr>
      <w:r w:rsidRPr="00802515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-</w:t>
      </w:r>
      <w:r w:rsidR="00CF540F" w:rsidRPr="00802515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KONIEC</w:t>
      </w:r>
      <w:r w:rsidRPr="00802515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-</w:t>
      </w:r>
    </w:p>
    <w:p w14:paraId="0F57C59E" w14:textId="3815DB24" w:rsidR="0065599F" w:rsidRPr="00802515" w:rsidRDefault="00CF540F" w:rsidP="0065599F">
      <w:pPr>
        <w:pStyle w:val="NormalWeb"/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</w:pPr>
      <w:r w:rsidRPr="00802515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>O</w:t>
      </w:r>
      <w:r w:rsidR="0065599F" w:rsidRPr="00802515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="0065599F" w:rsidRPr="00802515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>Cushman</w:t>
      </w:r>
      <w:proofErr w:type="spellEnd"/>
      <w:r w:rsidR="0065599F" w:rsidRPr="00802515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&amp; Wakefield</w:t>
      </w:r>
    </w:p>
    <w:p w14:paraId="4AB07F79" w14:textId="075DA75A" w:rsidR="00753BBA" w:rsidRPr="00352F50" w:rsidRDefault="006B02D9">
      <w:pPr>
        <w:rPr>
          <w:lang w:val="pl-PL"/>
        </w:rPr>
      </w:pPr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Cushman &amp; Wakefield (NYSE: CWK) jest wiodącą na świecie firmą świadczącą usługi na rynku nieruchomości komercyjnych na rzecz najemców i inwestorów. Zatrudnia ok. 53 tys. pracowników w ponad 350 biurach i niemal 60 krajach na całym świecie. W 2025 roku jej przychody wyniosły 10,3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 Better never settles Cushman &amp; Wakefield otrzymuje wiele wyróżnień oraz nagród w konkursach branżowych i biznesowych. </w:t>
      </w:r>
      <w:proofErr w:type="spellStart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Dodatkowe</w:t>
      </w:r>
      <w:proofErr w:type="spellEnd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informacje</w:t>
      </w:r>
      <w:proofErr w:type="spellEnd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na</w:t>
      </w:r>
      <w:proofErr w:type="spellEnd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stronie</w:t>
      </w:r>
      <w:proofErr w:type="spellEnd"/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 </w:t>
      </w:r>
      <w:hyperlink r:id="rId8" w:tgtFrame="_blank" w:history="1">
        <w:r w:rsidRPr="006B02D9">
          <w:rPr>
            <w:rStyle w:val="Hyperlink"/>
            <w:rFonts w:ascii="Arial" w:eastAsia="Times New Roman" w:hAnsi="Arial" w:cs="Arial"/>
            <w:sz w:val="18"/>
            <w:szCs w:val="18"/>
            <w:bdr w:val="none" w:sz="0" w:space="0" w:color="auto" w:frame="1"/>
            <w:shd w:val="clear" w:color="auto" w:fill="FFFFFF"/>
          </w:rPr>
          <w:t>www.cushmanwakefield.com</w:t>
        </w:r>
      </w:hyperlink>
      <w:r w:rsidRPr="006B02D9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. </w:t>
      </w:r>
    </w:p>
    <w:sectPr w:rsidR="00753BBA" w:rsidRPr="00352F50" w:rsidSect="009E1244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3600" w:right="1008" w:bottom="2880" w:left="1224" w:header="180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17E93" w14:textId="77777777" w:rsidR="00B70318" w:rsidRDefault="00B70318" w:rsidP="001E5EDD">
      <w:pPr>
        <w:spacing w:after="0" w:line="240" w:lineRule="auto"/>
      </w:pPr>
      <w:r>
        <w:separator/>
      </w:r>
    </w:p>
  </w:endnote>
  <w:endnote w:type="continuationSeparator" w:id="0">
    <w:p w14:paraId="61650476" w14:textId="77777777" w:rsidR="00B70318" w:rsidRDefault="00B70318" w:rsidP="001E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Look w:val="0400" w:firstRow="0" w:lastRow="0" w:firstColumn="0" w:lastColumn="0" w:noHBand="0" w:noVBand="1"/>
    </w:tblPr>
    <w:tblGrid>
      <w:gridCol w:w="9000"/>
    </w:tblGrid>
    <w:tr w:rsidR="00802515" w:rsidRPr="00394677" w14:paraId="338483EC" w14:textId="77777777" w:rsidTr="00940992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2B4DE995" w14:textId="77777777" w:rsidR="00802515" w:rsidRPr="00394677" w:rsidRDefault="00802515" w:rsidP="008025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</w:rPr>
          </w:pPr>
        </w:p>
        <w:tbl>
          <w:tblPr>
            <w:tblW w:w="8780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20"/>
          </w:tblGrid>
          <w:tr w:rsidR="00802515" w:rsidRPr="00802515" w14:paraId="096A0421" w14:textId="77777777" w:rsidTr="00940992">
            <w:trPr>
              <w:trHeight w:val="1164"/>
            </w:trPr>
            <w:tc>
              <w:tcPr>
                <w:tcW w:w="8560" w:type="dxa"/>
              </w:tcPr>
              <w:p w14:paraId="6706C914" w14:textId="77777777" w:rsidR="00802515" w:rsidRPr="00802515" w:rsidRDefault="00802515" w:rsidP="0080251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</w:p>
              <w:tbl>
                <w:tblPr>
                  <w:tblW w:w="11827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802515" w:rsidRPr="00802515" w14:paraId="6F070478" w14:textId="77777777" w:rsidTr="00940992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041A4B5E" w14:textId="4274C0C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Karolina </w:t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Samczyńska-Fiślak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Cushman &amp; Wakefield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Tel: + 48 22 820 20 20; 691 060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hyperlink r:id="rId1" w:history="1">
                        <w:r w:rsidRPr="0080251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de-DE"/>
                          </w:rPr>
                          <w:t>karolina.samczynska@cushwake.com</w:t>
                        </w:r>
                      </w:hyperlink>
                      <w:r w:rsidRPr="00802515">
                        <w:rPr>
                          <w:rFonts w:ascii="Arial" w:hAnsi="Arial" w:cs="Arial"/>
                          <w:color w:val="008B98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7FCA021A" w14:textId="7777777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4F5AF21C" w14:textId="6F528CB9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Linkleaders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Tel: + 48 502 556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846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hyperlink r:id="rId2" w:history="1">
                        <w:r w:rsidRPr="00802515">
                          <w:rPr>
                            <w:rStyle w:val="Hyperlink"/>
                            <w:rFonts w:ascii="Arial" w:eastAsia="Calibri" w:hAnsi="Arial" w:cs="Arial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magdalena.ossowska@linkleaders.pl</w:t>
                        </w:r>
                      </w:hyperlink>
                    </w:p>
                  </w:tc>
                </w:tr>
              </w:tbl>
              <w:p w14:paraId="7B4369CC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  <w:tc>
              <w:tcPr>
                <w:tcW w:w="220" w:type="dxa"/>
              </w:tcPr>
              <w:p w14:paraId="643EC133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  <w:p w14:paraId="5686B8BD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</w:tr>
        </w:tbl>
        <w:p w14:paraId="432D14D2" w14:textId="77777777" w:rsidR="00802515" w:rsidRPr="00394677" w:rsidRDefault="00802515" w:rsidP="0080251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Calibri" w:hAnsi="Arial" w:cs="Arial"/>
              <w:color w:val="000000"/>
              <w:sz w:val="18"/>
              <w:szCs w:val="18"/>
              <w:lang w:val="de-DE"/>
            </w:rPr>
          </w:pPr>
        </w:p>
      </w:tc>
    </w:tr>
  </w:tbl>
  <w:p w14:paraId="3C11815C" w14:textId="77777777" w:rsidR="00104CC1" w:rsidRDefault="00104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3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5"/>
      <w:gridCol w:w="3065"/>
    </w:tblGrid>
    <w:tr w:rsidR="001E5EDD" w:rsidRPr="001E5EDD" w14:paraId="0D5F9232" w14:textId="77777777" w:rsidTr="00AE6F33">
      <w:trPr>
        <w:trHeight w:val="650"/>
      </w:trPr>
      <w:tc>
        <w:tcPr>
          <w:tcW w:w="6130" w:type="dxa"/>
          <w:gridSpan w:val="2"/>
          <w:vAlign w:val="bottom"/>
        </w:tcPr>
        <w:p w14:paraId="3896D469" w14:textId="34388226" w:rsidR="001E5EDD" w:rsidRPr="001E5EDD" w:rsidRDefault="00CF540F" w:rsidP="001E5EDD">
          <w:pPr>
            <w:keepNext/>
            <w:keepLines/>
            <w:spacing w:after="100" w:line="240" w:lineRule="atLeast"/>
            <w:outlineLvl w:val="1"/>
            <w:rPr>
              <w:rFonts w:ascii="Arial" w:eastAsia="Times New Roman" w:hAnsi="Arial" w:cs="Arial"/>
              <w:b/>
              <w:bCs/>
              <w:caps/>
              <w:color w:val="4E5050"/>
              <w:sz w:val="18"/>
              <w:szCs w:val="26"/>
              <w:lang w:eastAsia="en-GB"/>
            </w:rPr>
          </w:pPr>
          <w:r w:rsidRPr="00CF540F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val="pl-PL" w:eastAsia="en-GB"/>
            </w:rPr>
            <w:t>Dodatkowe informacje</w:t>
          </w:r>
          <w:r w:rsidR="001E5EDD" w:rsidRPr="001E5EDD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eastAsia="en-GB"/>
            </w:rPr>
            <w:t>:</w:t>
          </w:r>
        </w:p>
      </w:tc>
    </w:tr>
    <w:tr w:rsidR="001E5EDD" w:rsidRPr="001E5EDD" w14:paraId="76C3C1CA" w14:textId="77777777" w:rsidTr="00AE6F33">
      <w:trPr>
        <w:trHeight w:val="1300"/>
      </w:trPr>
      <w:tc>
        <w:tcPr>
          <w:tcW w:w="3065" w:type="dxa"/>
          <w:vAlign w:val="bottom"/>
        </w:tcPr>
        <w:p w14:paraId="267837AC" w14:textId="7B6642F0" w:rsidR="001E5EDD" w:rsidRPr="001E5EDD" w:rsidRDefault="00AE6F33" w:rsidP="001E5EDD">
          <w:pPr>
            <w:keepNext/>
            <w:keepLines/>
            <w:spacing w:after="0" w:line="216" w:lineRule="atLeast"/>
            <w:outlineLvl w:val="2"/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Lauren</w:t>
          </w:r>
          <w:r w:rsidR="001E5EDD" w:rsidRPr="001E5EDD"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Joselyn</w:t>
          </w:r>
        </w:p>
        <w:p w14:paraId="6CFC7B1A" w14:textId="331BBF84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>Associate Director,</w:t>
          </w:r>
          <w:r w:rsidR="001E5EDD" w:rsidRPr="001E5EDD"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 xml:space="preserve"> Communications</w:t>
          </w:r>
        </w:p>
        <w:p w14:paraId="2D0B8870" w14:textId="17618848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</w:pPr>
          <w:r w:rsidRPr="001E5EDD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 xml:space="preserve">+44(0)203 296 </w:t>
          </w:r>
          <w:r w:rsidR="00AE6F33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>3034</w:t>
          </w:r>
        </w:p>
        <w:p w14:paraId="2E7DEB0F" w14:textId="2D36CE02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eastAsia="en-GB"/>
            </w:rPr>
          </w:pPr>
          <w:hyperlink r:id="rId1" w:history="1">
            <w:r>
              <w:rPr>
                <w:rFonts w:ascii="Arial" w:eastAsia="Times New Roman" w:hAnsi="Arial" w:cs="Arial"/>
                <w:color w:val="0093B2"/>
                <w:sz w:val="18"/>
                <w:szCs w:val="18"/>
                <w:u w:val="single"/>
                <w:lang w:val="es-ES_tradnl" w:eastAsia="en-GB"/>
              </w:rPr>
              <w:t>lauren.joselyn@cushwake.com</w:t>
            </w:r>
          </w:hyperlink>
        </w:p>
      </w:tc>
      <w:tc>
        <w:tcPr>
          <w:tcW w:w="3065" w:type="dxa"/>
          <w:vAlign w:val="bottom"/>
        </w:tcPr>
        <w:p w14:paraId="2FAF6508" w14:textId="77777777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val="es-ES_tradnl" w:eastAsia="en-GB"/>
            </w:rPr>
          </w:pPr>
        </w:p>
      </w:tc>
    </w:tr>
  </w:tbl>
  <w:p w14:paraId="054AD49B" w14:textId="22808C65" w:rsidR="00104CC1" w:rsidRDefault="00104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DB7D4" w14:textId="77777777" w:rsidR="00B70318" w:rsidRDefault="00B70318" w:rsidP="001E5EDD">
      <w:pPr>
        <w:spacing w:after="0" w:line="240" w:lineRule="auto"/>
      </w:pPr>
      <w:r>
        <w:separator/>
      </w:r>
    </w:p>
  </w:footnote>
  <w:footnote w:type="continuationSeparator" w:id="0">
    <w:p w14:paraId="030A65BA" w14:textId="77777777" w:rsidR="00B70318" w:rsidRDefault="00B70318" w:rsidP="001E5EDD">
      <w:pPr>
        <w:spacing w:after="0" w:line="240" w:lineRule="auto"/>
      </w:pPr>
      <w:r>
        <w:continuationSeparator/>
      </w:r>
    </w:p>
  </w:footnote>
  <w:footnote w:id="1">
    <w:p w14:paraId="2714785E" w14:textId="35EC5BDE" w:rsidR="00E01A7D" w:rsidRPr="00C54E67" w:rsidRDefault="00E01A7D">
      <w:pPr>
        <w:pStyle w:val="FootnoteText"/>
        <w:rPr>
          <w:rFonts w:ascii="Arial" w:hAnsi="Arial" w:cs="Arial"/>
          <w:lang w:val="pl-PL"/>
        </w:rPr>
      </w:pPr>
      <w:r w:rsidRPr="00C54E67">
        <w:rPr>
          <w:rStyle w:val="FootnoteReference"/>
          <w:rFonts w:ascii="Arial" w:hAnsi="Arial" w:cs="Arial"/>
        </w:rPr>
        <w:footnoteRef/>
      </w:r>
      <w:r w:rsidRPr="00C54E67">
        <w:rPr>
          <w:rFonts w:ascii="Arial" w:hAnsi="Arial" w:cs="Arial"/>
          <w:lang w:val="pl-PL"/>
        </w:rPr>
        <w:t xml:space="preserve"> CEE-6 – wybrane kraje w regionie Europy Środkowo-Wschodniej: </w:t>
      </w:r>
      <w:r w:rsidR="00AE31F9" w:rsidRPr="00C54E67">
        <w:rPr>
          <w:rFonts w:ascii="Arial" w:hAnsi="Arial" w:cs="Arial"/>
          <w:lang w:val="pl-PL"/>
        </w:rPr>
        <w:t>Polska</w:t>
      </w:r>
      <w:r w:rsidRPr="00C54E67">
        <w:rPr>
          <w:rFonts w:ascii="Arial" w:hAnsi="Arial" w:cs="Arial"/>
          <w:lang w:val="pl-PL"/>
        </w:rPr>
        <w:t xml:space="preserve">, Czechy, </w:t>
      </w:r>
      <w:r w:rsidR="00AE31F9" w:rsidRPr="00C54E67">
        <w:rPr>
          <w:rFonts w:ascii="Arial" w:hAnsi="Arial" w:cs="Arial"/>
          <w:lang w:val="pl-PL"/>
        </w:rPr>
        <w:t>Węgry, Rumunia, Słowacja, Bułgaria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AA93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60C9C53F" wp14:editId="37A0F607">
          <wp:extent cx="2303780" cy="484505"/>
          <wp:effectExtent l="0" t="0" r="1270" b="0"/>
          <wp:docPr id="1" name="Picture 1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1A27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350B32DA" wp14:editId="6AEAE4A2">
          <wp:extent cx="2031167" cy="412229"/>
          <wp:effectExtent l="0" t="0" r="1270" b="0"/>
          <wp:docPr id="6" name="Picture 6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111" cy="417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33614"/>
    <w:multiLevelType w:val="hybridMultilevel"/>
    <w:tmpl w:val="957C1E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D14A10"/>
    <w:multiLevelType w:val="hybridMultilevel"/>
    <w:tmpl w:val="37FC0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665F2"/>
    <w:multiLevelType w:val="hybridMultilevel"/>
    <w:tmpl w:val="8918E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7731F"/>
    <w:multiLevelType w:val="hybridMultilevel"/>
    <w:tmpl w:val="712AF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3299484">
    <w:abstractNumId w:val="1"/>
  </w:num>
  <w:num w:numId="2" w16cid:durableId="1798839421">
    <w:abstractNumId w:val="2"/>
  </w:num>
  <w:num w:numId="3" w16cid:durableId="117797981">
    <w:abstractNumId w:val="3"/>
  </w:num>
  <w:num w:numId="4" w16cid:durableId="99006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DD"/>
    <w:rsid w:val="0001074B"/>
    <w:rsid w:val="000108EB"/>
    <w:rsid w:val="00015F8C"/>
    <w:rsid w:val="0002027B"/>
    <w:rsid w:val="000212B3"/>
    <w:rsid w:val="0002491F"/>
    <w:rsid w:val="0003069F"/>
    <w:rsid w:val="0003209D"/>
    <w:rsid w:val="00043B30"/>
    <w:rsid w:val="0004779C"/>
    <w:rsid w:val="00050727"/>
    <w:rsid w:val="000520BB"/>
    <w:rsid w:val="00054A8D"/>
    <w:rsid w:val="00056F25"/>
    <w:rsid w:val="00065F26"/>
    <w:rsid w:val="00073B6F"/>
    <w:rsid w:val="00085B48"/>
    <w:rsid w:val="000963C3"/>
    <w:rsid w:val="000A052A"/>
    <w:rsid w:val="000A1B60"/>
    <w:rsid w:val="000A3295"/>
    <w:rsid w:val="000A7549"/>
    <w:rsid w:val="000A7731"/>
    <w:rsid w:val="000B13B7"/>
    <w:rsid w:val="000B3AE0"/>
    <w:rsid w:val="000C57AE"/>
    <w:rsid w:val="000D740F"/>
    <w:rsid w:val="000E22D3"/>
    <w:rsid w:val="000E2A9C"/>
    <w:rsid w:val="000E34DA"/>
    <w:rsid w:val="000E4554"/>
    <w:rsid w:val="000F201D"/>
    <w:rsid w:val="000F54BD"/>
    <w:rsid w:val="00103A95"/>
    <w:rsid w:val="00104CC1"/>
    <w:rsid w:val="00106BDF"/>
    <w:rsid w:val="00106F1A"/>
    <w:rsid w:val="00107538"/>
    <w:rsid w:val="001239A3"/>
    <w:rsid w:val="0012426A"/>
    <w:rsid w:val="00124F66"/>
    <w:rsid w:val="0012747D"/>
    <w:rsid w:val="0013021C"/>
    <w:rsid w:val="00133CC5"/>
    <w:rsid w:val="00144931"/>
    <w:rsid w:val="00145035"/>
    <w:rsid w:val="0014627C"/>
    <w:rsid w:val="001464A7"/>
    <w:rsid w:val="0015560A"/>
    <w:rsid w:val="001569DD"/>
    <w:rsid w:val="001611CD"/>
    <w:rsid w:val="00163E7F"/>
    <w:rsid w:val="001678C1"/>
    <w:rsid w:val="00171653"/>
    <w:rsid w:val="00171878"/>
    <w:rsid w:val="00181F57"/>
    <w:rsid w:val="00184B5E"/>
    <w:rsid w:val="00195414"/>
    <w:rsid w:val="001A00E0"/>
    <w:rsid w:val="001A2B7F"/>
    <w:rsid w:val="001A5691"/>
    <w:rsid w:val="001A7F10"/>
    <w:rsid w:val="001B08B9"/>
    <w:rsid w:val="001B4924"/>
    <w:rsid w:val="001C29DB"/>
    <w:rsid w:val="001C43FD"/>
    <w:rsid w:val="001C6965"/>
    <w:rsid w:val="001D15DB"/>
    <w:rsid w:val="001D35D4"/>
    <w:rsid w:val="001D6217"/>
    <w:rsid w:val="001D67D4"/>
    <w:rsid w:val="001E106F"/>
    <w:rsid w:val="001E5EDD"/>
    <w:rsid w:val="001F090C"/>
    <w:rsid w:val="001F2AC6"/>
    <w:rsid w:val="001F6561"/>
    <w:rsid w:val="001F6A93"/>
    <w:rsid w:val="001F6D52"/>
    <w:rsid w:val="002022D9"/>
    <w:rsid w:val="00212C61"/>
    <w:rsid w:val="00212E69"/>
    <w:rsid w:val="00215F32"/>
    <w:rsid w:val="00220E3E"/>
    <w:rsid w:val="002222E7"/>
    <w:rsid w:val="0023061F"/>
    <w:rsid w:val="00231CA5"/>
    <w:rsid w:val="00233C62"/>
    <w:rsid w:val="00234AD2"/>
    <w:rsid w:val="002361A1"/>
    <w:rsid w:val="002462B6"/>
    <w:rsid w:val="0024757B"/>
    <w:rsid w:val="002511FB"/>
    <w:rsid w:val="00251B6E"/>
    <w:rsid w:val="00251E8A"/>
    <w:rsid w:val="00253F83"/>
    <w:rsid w:val="00255D1D"/>
    <w:rsid w:val="0025717C"/>
    <w:rsid w:val="002623AE"/>
    <w:rsid w:val="00262EA4"/>
    <w:rsid w:val="00265F4C"/>
    <w:rsid w:val="00270E7E"/>
    <w:rsid w:val="00275A3D"/>
    <w:rsid w:val="0028128F"/>
    <w:rsid w:val="00282D2D"/>
    <w:rsid w:val="002902B4"/>
    <w:rsid w:val="00293778"/>
    <w:rsid w:val="002975C6"/>
    <w:rsid w:val="002A02D1"/>
    <w:rsid w:val="002A217D"/>
    <w:rsid w:val="002A6017"/>
    <w:rsid w:val="002A6A26"/>
    <w:rsid w:val="002A6D47"/>
    <w:rsid w:val="002B1149"/>
    <w:rsid w:val="002B4862"/>
    <w:rsid w:val="002C0B55"/>
    <w:rsid w:val="002E130B"/>
    <w:rsid w:val="002E31B3"/>
    <w:rsid w:val="002E406E"/>
    <w:rsid w:val="002E484E"/>
    <w:rsid w:val="002E77BB"/>
    <w:rsid w:val="002E79F5"/>
    <w:rsid w:val="0030508F"/>
    <w:rsid w:val="00305E12"/>
    <w:rsid w:val="0030762E"/>
    <w:rsid w:val="00311CDD"/>
    <w:rsid w:val="00311ED5"/>
    <w:rsid w:val="0032599A"/>
    <w:rsid w:val="00330BE4"/>
    <w:rsid w:val="003328C9"/>
    <w:rsid w:val="00334C7F"/>
    <w:rsid w:val="00334FFA"/>
    <w:rsid w:val="00342214"/>
    <w:rsid w:val="003428AD"/>
    <w:rsid w:val="003476F5"/>
    <w:rsid w:val="00350A08"/>
    <w:rsid w:val="003524FB"/>
    <w:rsid w:val="00352F50"/>
    <w:rsid w:val="003568BF"/>
    <w:rsid w:val="0036057E"/>
    <w:rsid w:val="0036096F"/>
    <w:rsid w:val="0036300F"/>
    <w:rsid w:val="00364595"/>
    <w:rsid w:val="00373C4A"/>
    <w:rsid w:val="00376DC5"/>
    <w:rsid w:val="0038382C"/>
    <w:rsid w:val="00384618"/>
    <w:rsid w:val="003856A6"/>
    <w:rsid w:val="00392671"/>
    <w:rsid w:val="003926DD"/>
    <w:rsid w:val="00393076"/>
    <w:rsid w:val="0039531D"/>
    <w:rsid w:val="00397E70"/>
    <w:rsid w:val="003A015B"/>
    <w:rsid w:val="003A1210"/>
    <w:rsid w:val="003A33F6"/>
    <w:rsid w:val="003B175A"/>
    <w:rsid w:val="003B3E8D"/>
    <w:rsid w:val="003C0B24"/>
    <w:rsid w:val="003C296D"/>
    <w:rsid w:val="003C3194"/>
    <w:rsid w:val="003C4037"/>
    <w:rsid w:val="003C52CD"/>
    <w:rsid w:val="003C6EE2"/>
    <w:rsid w:val="003D2BAF"/>
    <w:rsid w:val="003D3E99"/>
    <w:rsid w:val="003D4EC8"/>
    <w:rsid w:val="003D55DF"/>
    <w:rsid w:val="003E1027"/>
    <w:rsid w:val="003E5345"/>
    <w:rsid w:val="003F0FC5"/>
    <w:rsid w:val="004003B9"/>
    <w:rsid w:val="00401DE2"/>
    <w:rsid w:val="00406858"/>
    <w:rsid w:val="00423C3D"/>
    <w:rsid w:val="004270C7"/>
    <w:rsid w:val="0042769A"/>
    <w:rsid w:val="004277BF"/>
    <w:rsid w:val="004306F2"/>
    <w:rsid w:val="0044367D"/>
    <w:rsid w:val="004464E4"/>
    <w:rsid w:val="00455933"/>
    <w:rsid w:val="00470F8D"/>
    <w:rsid w:val="0047106D"/>
    <w:rsid w:val="00473673"/>
    <w:rsid w:val="0047475F"/>
    <w:rsid w:val="0048015C"/>
    <w:rsid w:val="0048123A"/>
    <w:rsid w:val="00483155"/>
    <w:rsid w:val="004832B8"/>
    <w:rsid w:val="004867EC"/>
    <w:rsid w:val="004869A2"/>
    <w:rsid w:val="004878C4"/>
    <w:rsid w:val="004929C2"/>
    <w:rsid w:val="0049457C"/>
    <w:rsid w:val="004A0E1F"/>
    <w:rsid w:val="004A184E"/>
    <w:rsid w:val="004B0C40"/>
    <w:rsid w:val="004D0D62"/>
    <w:rsid w:val="004E2F4A"/>
    <w:rsid w:val="004F29B7"/>
    <w:rsid w:val="004F5383"/>
    <w:rsid w:val="004F6381"/>
    <w:rsid w:val="004F68D4"/>
    <w:rsid w:val="00501FDE"/>
    <w:rsid w:val="0050654A"/>
    <w:rsid w:val="005078C0"/>
    <w:rsid w:val="00513283"/>
    <w:rsid w:val="00520179"/>
    <w:rsid w:val="00523121"/>
    <w:rsid w:val="00523854"/>
    <w:rsid w:val="0053060C"/>
    <w:rsid w:val="0053080E"/>
    <w:rsid w:val="00530E91"/>
    <w:rsid w:val="00532D88"/>
    <w:rsid w:val="00535236"/>
    <w:rsid w:val="00550C32"/>
    <w:rsid w:val="00560EE8"/>
    <w:rsid w:val="005624DA"/>
    <w:rsid w:val="00572245"/>
    <w:rsid w:val="00573968"/>
    <w:rsid w:val="00575F56"/>
    <w:rsid w:val="005872E3"/>
    <w:rsid w:val="005A17C7"/>
    <w:rsid w:val="005B5DC6"/>
    <w:rsid w:val="005C1C47"/>
    <w:rsid w:val="005C5D90"/>
    <w:rsid w:val="005D1286"/>
    <w:rsid w:val="005D7557"/>
    <w:rsid w:val="005F59FB"/>
    <w:rsid w:val="006001FD"/>
    <w:rsid w:val="00605ADC"/>
    <w:rsid w:val="006116AA"/>
    <w:rsid w:val="006176E6"/>
    <w:rsid w:val="00617ACD"/>
    <w:rsid w:val="00621D84"/>
    <w:rsid w:val="0062303E"/>
    <w:rsid w:val="00623527"/>
    <w:rsid w:val="00634891"/>
    <w:rsid w:val="00636A3D"/>
    <w:rsid w:val="00637EA3"/>
    <w:rsid w:val="00643A5C"/>
    <w:rsid w:val="006466F2"/>
    <w:rsid w:val="00651362"/>
    <w:rsid w:val="0065599F"/>
    <w:rsid w:val="0065761F"/>
    <w:rsid w:val="006578F1"/>
    <w:rsid w:val="00657F01"/>
    <w:rsid w:val="00666EC8"/>
    <w:rsid w:val="00667E57"/>
    <w:rsid w:val="00670BAE"/>
    <w:rsid w:val="00674C62"/>
    <w:rsid w:val="00685E75"/>
    <w:rsid w:val="0068736C"/>
    <w:rsid w:val="00696EC6"/>
    <w:rsid w:val="006B02D9"/>
    <w:rsid w:val="006B21C6"/>
    <w:rsid w:val="006B6114"/>
    <w:rsid w:val="006C207B"/>
    <w:rsid w:val="006C2215"/>
    <w:rsid w:val="006C689B"/>
    <w:rsid w:val="006D2071"/>
    <w:rsid w:val="006E3140"/>
    <w:rsid w:val="006E3C1B"/>
    <w:rsid w:val="006E3CD9"/>
    <w:rsid w:val="006E47DB"/>
    <w:rsid w:val="006F7F0A"/>
    <w:rsid w:val="007016B2"/>
    <w:rsid w:val="0070379F"/>
    <w:rsid w:val="0071349E"/>
    <w:rsid w:val="007209C0"/>
    <w:rsid w:val="007230F7"/>
    <w:rsid w:val="00730236"/>
    <w:rsid w:val="0073187D"/>
    <w:rsid w:val="00731ECB"/>
    <w:rsid w:val="007326B6"/>
    <w:rsid w:val="0073562B"/>
    <w:rsid w:val="00740783"/>
    <w:rsid w:val="0074498C"/>
    <w:rsid w:val="00746213"/>
    <w:rsid w:val="00746CB9"/>
    <w:rsid w:val="0075021B"/>
    <w:rsid w:val="00753BBA"/>
    <w:rsid w:val="007555D8"/>
    <w:rsid w:val="007561AC"/>
    <w:rsid w:val="0075656D"/>
    <w:rsid w:val="00765B80"/>
    <w:rsid w:val="007726C6"/>
    <w:rsid w:val="0077366C"/>
    <w:rsid w:val="00776D2C"/>
    <w:rsid w:val="00784D28"/>
    <w:rsid w:val="00785400"/>
    <w:rsid w:val="0079246E"/>
    <w:rsid w:val="00793174"/>
    <w:rsid w:val="007A0475"/>
    <w:rsid w:val="007A0873"/>
    <w:rsid w:val="007A5BF5"/>
    <w:rsid w:val="007A5D86"/>
    <w:rsid w:val="007A7A66"/>
    <w:rsid w:val="007B0966"/>
    <w:rsid w:val="007B3E09"/>
    <w:rsid w:val="007B5BAB"/>
    <w:rsid w:val="007B7066"/>
    <w:rsid w:val="007C7C31"/>
    <w:rsid w:val="007D7276"/>
    <w:rsid w:val="007E5480"/>
    <w:rsid w:val="007E655F"/>
    <w:rsid w:val="007E65BC"/>
    <w:rsid w:val="007E7808"/>
    <w:rsid w:val="007F75D4"/>
    <w:rsid w:val="00802515"/>
    <w:rsid w:val="00804C2E"/>
    <w:rsid w:val="008075A9"/>
    <w:rsid w:val="00821C32"/>
    <w:rsid w:val="008230EA"/>
    <w:rsid w:val="0084065B"/>
    <w:rsid w:val="00857607"/>
    <w:rsid w:val="00860B09"/>
    <w:rsid w:val="008871B9"/>
    <w:rsid w:val="00893433"/>
    <w:rsid w:val="008942DD"/>
    <w:rsid w:val="008A1306"/>
    <w:rsid w:val="008B3B7C"/>
    <w:rsid w:val="008B4F75"/>
    <w:rsid w:val="008C24C1"/>
    <w:rsid w:val="008C6487"/>
    <w:rsid w:val="008D0E65"/>
    <w:rsid w:val="008D73C5"/>
    <w:rsid w:val="008E0A34"/>
    <w:rsid w:val="008E75B1"/>
    <w:rsid w:val="008F2E56"/>
    <w:rsid w:val="008F4926"/>
    <w:rsid w:val="008F6803"/>
    <w:rsid w:val="00913231"/>
    <w:rsid w:val="00917A70"/>
    <w:rsid w:val="00921D12"/>
    <w:rsid w:val="00922A32"/>
    <w:rsid w:val="00930DE1"/>
    <w:rsid w:val="00932377"/>
    <w:rsid w:val="009362BB"/>
    <w:rsid w:val="0095039F"/>
    <w:rsid w:val="00955879"/>
    <w:rsid w:val="009608BD"/>
    <w:rsid w:val="00964630"/>
    <w:rsid w:val="0096636D"/>
    <w:rsid w:val="00974A07"/>
    <w:rsid w:val="0097642E"/>
    <w:rsid w:val="00983470"/>
    <w:rsid w:val="00983BF9"/>
    <w:rsid w:val="0099648B"/>
    <w:rsid w:val="009A282F"/>
    <w:rsid w:val="009A5BD0"/>
    <w:rsid w:val="009A6D11"/>
    <w:rsid w:val="009B02ED"/>
    <w:rsid w:val="009B2ECF"/>
    <w:rsid w:val="009B503A"/>
    <w:rsid w:val="009B6A9B"/>
    <w:rsid w:val="009C0D31"/>
    <w:rsid w:val="009C323E"/>
    <w:rsid w:val="009C44B6"/>
    <w:rsid w:val="009D3944"/>
    <w:rsid w:val="009D64EF"/>
    <w:rsid w:val="009D7E4B"/>
    <w:rsid w:val="009D7EBB"/>
    <w:rsid w:val="009E1244"/>
    <w:rsid w:val="009E1335"/>
    <w:rsid w:val="009E1B00"/>
    <w:rsid w:val="009E2D72"/>
    <w:rsid w:val="009F06AB"/>
    <w:rsid w:val="009F6B4C"/>
    <w:rsid w:val="009F6D5F"/>
    <w:rsid w:val="009F7D5B"/>
    <w:rsid w:val="00A00113"/>
    <w:rsid w:val="00A03E81"/>
    <w:rsid w:val="00A10546"/>
    <w:rsid w:val="00A1134C"/>
    <w:rsid w:val="00A17394"/>
    <w:rsid w:val="00A31E54"/>
    <w:rsid w:val="00A31FE8"/>
    <w:rsid w:val="00A45C59"/>
    <w:rsid w:val="00A46B01"/>
    <w:rsid w:val="00A53608"/>
    <w:rsid w:val="00A5642F"/>
    <w:rsid w:val="00A61D2F"/>
    <w:rsid w:val="00A63A12"/>
    <w:rsid w:val="00A66148"/>
    <w:rsid w:val="00A71D5A"/>
    <w:rsid w:val="00A73013"/>
    <w:rsid w:val="00A803A8"/>
    <w:rsid w:val="00A84F29"/>
    <w:rsid w:val="00A85F3E"/>
    <w:rsid w:val="00A872BA"/>
    <w:rsid w:val="00A92675"/>
    <w:rsid w:val="00A94FA3"/>
    <w:rsid w:val="00A96A48"/>
    <w:rsid w:val="00A96E83"/>
    <w:rsid w:val="00AA622E"/>
    <w:rsid w:val="00AB193F"/>
    <w:rsid w:val="00AB30BE"/>
    <w:rsid w:val="00AD03C2"/>
    <w:rsid w:val="00AD2692"/>
    <w:rsid w:val="00AD70F5"/>
    <w:rsid w:val="00AE3136"/>
    <w:rsid w:val="00AE31F9"/>
    <w:rsid w:val="00AE637D"/>
    <w:rsid w:val="00AE6F33"/>
    <w:rsid w:val="00AF3769"/>
    <w:rsid w:val="00AF5887"/>
    <w:rsid w:val="00B0310F"/>
    <w:rsid w:val="00B03FFB"/>
    <w:rsid w:val="00B05A0A"/>
    <w:rsid w:val="00B21A38"/>
    <w:rsid w:val="00B30EC3"/>
    <w:rsid w:val="00B32E88"/>
    <w:rsid w:val="00B35B50"/>
    <w:rsid w:val="00B43AFB"/>
    <w:rsid w:val="00B46F72"/>
    <w:rsid w:val="00B52676"/>
    <w:rsid w:val="00B54040"/>
    <w:rsid w:val="00B67C68"/>
    <w:rsid w:val="00B70318"/>
    <w:rsid w:val="00B714BB"/>
    <w:rsid w:val="00B72FA2"/>
    <w:rsid w:val="00B8347D"/>
    <w:rsid w:val="00B91579"/>
    <w:rsid w:val="00B92EBE"/>
    <w:rsid w:val="00B93FDF"/>
    <w:rsid w:val="00B96AE7"/>
    <w:rsid w:val="00B977A4"/>
    <w:rsid w:val="00BB304B"/>
    <w:rsid w:val="00BB395B"/>
    <w:rsid w:val="00BB3CE0"/>
    <w:rsid w:val="00BB497A"/>
    <w:rsid w:val="00BB5CEA"/>
    <w:rsid w:val="00BD0CDB"/>
    <w:rsid w:val="00BD27F8"/>
    <w:rsid w:val="00BD3630"/>
    <w:rsid w:val="00BD5DB5"/>
    <w:rsid w:val="00BE01E6"/>
    <w:rsid w:val="00BE12C9"/>
    <w:rsid w:val="00BE2EA2"/>
    <w:rsid w:val="00BF4B31"/>
    <w:rsid w:val="00BF4EF9"/>
    <w:rsid w:val="00C00009"/>
    <w:rsid w:val="00C02A83"/>
    <w:rsid w:val="00C04C31"/>
    <w:rsid w:val="00C05CA1"/>
    <w:rsid w:val="00C06933"/>
    <w:rsid w:val="00C0756C"/>
    <w:rsid w:val="00C07A0B"/>
    <w:rsid w:val="00C121E4"/>
    <w:rsid w:val="00C13536"/>
    <w:rsid w:val="00C15653"/>
    <w:rsid w:val="00C20D0D"/>
    <w:rsid w:val="00C25164"/>
    <w:rsid w:val="00C33B98"/>
    <w:rsid w:val="00C3451A"/>
    <w:rsid w:val="00C35B5F"/>
    <w:rsid w:val="00C4237E"/>
    <w:rsid w:val="00C44E24"/>
    <w:rsid w:val="00C51A6E"/>
    <w:rsid w:val="00C52A16"/>
    <w:rsid w:val="00C54341"/>
    <w:rsid w:val="00C54E67"/>
    <w:rsid w:val="00C5536B"/>
    <w:rsid w:val="00C56965"/>
    <w:rsid w:val="00C57F59"/>
    <w:rsid w:val="00C601A4"/>
    <w:rsid w:val="00C72607"/>
    <w:rsid w:val="00C760B8"/>
    <w:rsid w:val="00C81199"/>
    <w:rsid w:val="00C85FB0"/>
    <w:rsid w:val="00C91793"/>
    <w:rsid w:val="00C92048"/>
    <w:rsid w:val="00C939A3"/>
    <w:rsid w:val="00C96A00"/>
    <w:rsid w:val="00CB57AA"/>
    <w:rsid w:val="00CC14BA"/>
    <w:rsid w:val="00CC1F5C"/>
    <w:rsid w:val="00CC2BD6"/>
    <w:rsid w:val="00CC2D8D"/>
    <w:rsid w:val="00CC5830"/>
    <w:rsid w:val="00CE7B5F"/>
    <w:rsid w:val="00CF2D41"/>
    <w:rsid w:val="00CF442C"/>
    <w:rsid w:val="00CF540F"/>
    <w:rsid w:val="00D02471"/>
    <w:rsid w:val="00D13625"/>
    <w:rsid w:val="00D14B54"/>
    <w:rsid w:val="00D22C80"/>
    <w:rsid w:val="00D24DB2"/>
    <w:rsid w:val="00D316D1"/>
    <w:rsid w:val="00D32374"/>
    <w:rsid w:val="00D33745"/>
    <w:rsid w:val="00D373A8"/>
    <w:rsid w:val="00D44288"/>
    <w:rsid w:val="00D47D39"/>
    <w:rsid w:val="00D506D1"/>
    <w:rsid w:val="00D516BD"/>
    <w:rsid w:val="00D64919"/>
    <w:rsid w:val="00D732DF"/>
    <w:rsid w:val="00D73891"/>
    <w:rsid w:val="00D7467F"/>
    <w:rsid w:val="00D80B6A"/>
    <w:rsid w:val="00D80EC6"/>
    <w:rsid w:val="00D84EDD"/>
    <w:rsid w:val="00D858B8"/>
    <w:rsid w:val="00D87024"/>
    <w:rsid w:val="00D90962"/>
    <w:rsid w:val="00D931CB"/>
    <w:rsid w:val="00D946BF"/>
    <w:rsid w:val="00DA62C9"/>
    <w:rsid w:val="00DA6C52"/>
    <w:rsid w:val="00DC1616"/>
    <w:rsid w:val="00DC4C86"/>
    <w:rsid w:val="00DD0966"/>
    <w:rsid w:val="00DD1045"/>
    <w:rsid w:val="00DE1ACE"/>
    <w:rsid w:val="00DE4704"/>
    <w:rsid w:val="00DF20C2"/>
    <w:rsid w:val="00DF4A2A"/>
    <w:rsid w:val="00DF5939"/>
    <w:rsid w:val="00DF655A"/>
    <w:rsid w:val="00DF73D8"/>
    <w:rsid w:val="00E01A7D"/>
    <w:rsid w:val="00E02536"/>
    <w:rsid w:val="00E03552"/>
    <w:rsid w:val="00E07F19"/>
    <w:rsid w:val="00E136AF"/>
    <w:rsid w:val="00E13D5A"/>
    <w:rsid w:val="00E164DA"/>
    <w:rsid w:val="00E20A98"/>
    <w:rsid w:val="00E20D76"/>
    <w:rsid w:val="00E25482"/>
    <w:rsid w:val="00E25BF6"/>
    <w:rsid w:val="00E26939"/>
    <w:rsid w:val="00E274C2"/>
    <w:rsid w:val="00E27FA4"/>
    <w:rsid w:val="00E3591A"/>
    <w:rsid w:val="00E35A97"/>
    <w:rsid w:val="00E437F0"/>
    <w:rsid w:val="00E438D6"/>
    <w:rsid w:val="00E64E4A"/>
    <w:rsid w:val="00E6658E"/>
    <w:rsid w:val="00E67AD0"/>
    <w:rsid w:val="00E77BE9"/>
    <w:rsid w:val="00E82CE2"/>
    <w:rsid w:val="00E83F98"/>
    <w:rsid w:val="00E92107"/>
    <w:rsid w:val="00E964AF"/>
    <w:rsid w:val="00E96986"/>
    <w:rsid w:val="00EA6B30"/>
    <w:rsid w:val="00EB69C7"/>
    <w:rsid w:val="00EC4D82"/>
    <w:rsid w:val="00ED64A6"/>
    <w:rsid w:val="00EE1539"/>
    <w:rsid w:val="00EE5970"/>
    <w:rsid w:val="00EE6453"/>
    <w:rsid w:val="00F02314"/>
    <w:rsid w:val="00F05CA0"/>
    <w:rsid w:val="00F10F58"/>
    <w:rsid w:val="00F1332E"/>
    <w:rsid w:val="00F32D87"/>
    <w:rsid w:val="00F32FEC"/>
    <w:rsid w:val="00F34A2F"/>
    <w:rsid w:val="00F3577F"/>
    <w:rsid w:val="00F35834"/>
    <w:rsid w:val="00F46CCC"/>
    <w:rsid w:val="00F47988"/>
    <w:rsid w:val="00F542F8"/>
    <w:rsid w:val="00F545C7"/>
    <w:rsid w:val="00F54CA2"/>
    <w:rsid w:val="00F54EEA"/>
    <w:rsid w:val="00F650DB"/>
    <w:rsid w:val="00F80663"/>
    <w:rsid w:val="00F82D54"/>
    <w:rsid w:val="00F84AE3"/>
    <w:rsid w:val="00FA2878"/>
    <w:rsid w:val="00FA45CC"/>
    <w:rsid w:val="00FA6197"/>
    <w:rsid w:val="00FD109B"/>
    <w:rsid w:val="00FD657A"/>
    <w:rsid w:val="00FD722D"/>
    <w:rsid w:val="00FD7777"/>
    <w:rsid w:val="00FE097A"/>
    <w:rsid w:val="00FE0FE3"/>
    <w:rsid w:val="00FE2833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7787F3"/>
  <w15:chartTrackingRefBased/>
  <w15:docId w15:val="{286C76C1-C9D3-47F0-BFF5-9B5F0515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5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E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E5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E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nhideWhenUsed/>
    <w:qFormat/>
    <w:rsid w:val="001E5EDD"/>
    <w:rPr>
      <w:color w:val="156082" w:themeColor="accent1"/>
      <w:u w:val="single"/>
    </w:rPr>
  </w:style>
  <w:style w:type="table" w:styleId="TableGrid">
    <w:name w:val="Table Grid"/>
    <w:basedOn w:val="TableNormal"/>
    <w:uiPriority w:val="59"/>
    <w:rsid w:val="001E5ED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Name">
    <w:name w:val="ContactName"/>
    <w:basedOn w:val="Heading3"/>
    <w:qFormat/>
    <w:rsid w:val="001E5EDD"/>
    <w:pPr>
      <w:spacing w:before="0" w:after="0" w:line="216" w:lineRule="atLeast"/>
    </w:pPr>
    <w:rPr>
      <w:rFonts w:ascii="Calibri" w:eastAsia="Times New Roman" w:hAnsi="Calibri" w:cs="Times New Roman"/>
      <w:b/>
      <w:bCs/>
      <w:color w:val="008B98"/>
      <w:sz w:val="18"/>
      <w:szCs w:val="24"/>
      <w:lang w:eastAsia="en-GB"/>
    </w:rPr>
  </w:style>
  <w:style w:type="paragraph" w:customStyle="1" w:styleId="ContactDetail">
    <w:name w:val="ContactDetail"/>
    <w:basedOn w:val="Normal"/>
    <w:rsid w:val="001E5ED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0379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7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6D4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Body">
    <w:name w:val="Body"/>
    <w:rsid w:val="009D7EB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5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E12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E12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efaultParagraphFont"/>
    <w:rsid w:val="00DC161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9E2D72"/>
  </w:style>
  <w:style w:type="paragraph" w:styleId="FootnoteText">
    <w:name w:val="footnote text"/>
    <w:basedOn w:val="Normal"/>
    <w:link w:val="FootnoteTextChar"/>
    <w:uiPriority w:val="99"/>
    <w:semiHidden/>
    <w:unhideWhenUsed/>
    <w:rsid w:val="00E01A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1A7D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01A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shmanwakefield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gdalena.ossowska@linkleaders.pl" TargetMode="External"/><Relationship Id="rId1" Type="http://schemas.openxmlformats.org/officeDocument/2006/relationships/hyperlink" Target="mailto:karolina.samczynska@cushwak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en.joselyn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84ED6-5338-4EDC-BA78-B49C4D40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 Wheeler</dc:creator>
  <cp:keywords/>
  <dc:description/>
  <cp:lastModifiedBy>magdalena ossowska</cp:lastModifiedBy>
  <cp:revision>3</cp:revision>
  <cp:lastPrinted>2026-07-08T10:10:00Z</cp:lastPrinted>
  <dcterms:created xsi:type="dcterms:W3CDTF">2026-08-26T13:04:00Z</dcterms:created>
  <dcterms:modified xsi:type="dcterms:W3CDTF">2026-08-26T14:28:00Z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86f961-1d3e-4cfe-b1e9-19b9bcf12554_Enabled">
    <vt:lpwstr>true</vt:lpwstr>
  </property>
  <property fmtid="{D5CDD505-2E9C-101B-9397-08002B2CF9AE}" pid="3" name="MSIP_Label_b086f961-1d3e-4cfe-b1e9-19b9bcf12554_SetDate">
    <vt:lpwstr>2024-08-09T12:49:32Z</vt:lpwstr>
  </property>
  <property fmtid="{D5CDD505-2E9C-101B-9397-08002B2CF9AE}" pid="4" name="MSIP_Label_b086f961-1d3e-4cfe-b1e9-19b9bcf12554_Method">
    <vt:lpwstr>Standard</vt:lpwstr>
  </property>
  <property fmtid="{D5CDD505-2E9C-101B-9397-08002B2CF9AE}" pid="5" name="MSIP_Label_b086f961-1d3e-4cfe-b1e9-19b9bcf12554_Name">
    <vt:lpwstr>Private</vt:lpwstr>
  </property>
  <property fmtid="{D5CDD505-2E9C-101B-9397-08002B2CF9AE}" pid="6" name="MSIP_Label_b086f961-1d3e-4cfe-b1e9-19b9bcf12554_SiteId">
    <vt:lpwstr>6facebd9-e318-4ea6-a98b-e892ee55070f</vt:lpwstr>
  </property>
  <property fmtid="{D5CDD505-2E9C-101B-9397-08002B2CF9AE}" pid="7" name="MSIP_Label_b086f961-1d3e-4cfe-b1e9-19b9bcf12554_ActionId">
    <vt:lpwstr>60c3cb59-3795-42a8-af48-43117dcbee96</vt:lpwstr>
  </property>
  <property fmtid="{D5CDD505-2E9C-101B-9397-08002B2CF9AE}" pid="8" name="MSIP_Label_b086f961-1d3e-4cfe-b1e9-19b9bcf12554_ContentBits">
    <vt:lpwstr>0</vt:lpwstr>
  </property>
  <property fmtid="{D5CDD505-2E9C-101B-9397-08002B2CF9AE}" pid="9" name="GrammarlyDocumentId">
    <vt:lpwstr>341a8607d4d2d5ce3fbf3503c2f967ea1e4ce5daa8426167cb97b41905428e1a</vt:lpwstr>
  </property>
</Properties>
</file>