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ACE44" w14:textId="77777777" w:rsidR="00FF4388" w:rsidRDefault="00963B07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Informacja prasowa</w:t>
      </w:r>
    </w:p>
    <w:p w14:paraId="5627D706" w14:textId="2CE44226" w:rsidR="00FF4388" w:rsidRDefault="686C2E66">
      <w:pPr>
        <w:spacing w:after="0"/>
        <w:jc w:val="right"/>
        <w:rPr>
          <w:rFonts w:ascii="Times New Roman" w:eastAsia="Times New Roman" w:hAnsi="Times New Roman" w:cs="Times New Roman"/>
        </w:rPr>
      </w:pPr>
      <w:bookmarkStart w:id="0" w:name="_heading=h.7yzfv4stwrd"/>
      <w:bookmarkEnd w:id="0"/>
      <w:r w:rsidRPr="686C2E66">
        <w:rPr>
          <w:rFonts w:ascii="Times New Roman" w:eastAsia="Times New Roman" w:hAnsi="Times New Roman" w:cs="Times New Roman"/>
        </w:rPr>
        <w:t>Warszawa, 27 sierpnia 2026 r.</w:t>
      </w:r>
    </w:p>
    <w:p w14:paraId="5170F697" w14:textId="77777777" w:rsidR="00FF4388" w:rsidRDefault="00FF43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75B0F0E5" w14:textId="77777777" w:rsidR="00FF4388" w:rsidRDefault="00FF438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1" w:name="_heading=h.y7p9xaqd7ero" w:colFirst="0" w:colLast="0"/>
      <w:bookmarkEnd w:id="1"/>
    </w:p>
    <w:p w14:paraId="20166C91" w14:textId="77777777" w:rsidR="00FF4388" w:rsidRDefault="00963B07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Arup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przedstawia 4 sposoby na redukcję śladu węglowego i odpadów w aranżacji wnętrz</w:t>
      </w:r>
    </w:p>
    <w:p w14:paraId="174FB565" w14:textId="77777777" w:rsidR="00FF4388" w:rsidRDefault="00963B07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Całkowita wymiana wyposażenia i renowacja biura co kilka lat? W obliczu wymogów ESG oraz celów klimatycznych, aranżacja wnętrz komercyjnych – dotąd pomijana w bilansach środowiskowych – staje się jednym z kluczowych obszarów redukowania emisyjności budynków. Eksperci międzynarodowej firmy doradczej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Arup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, opierając się na projektach z Polski i świata, wskazują cztery strategie, które pozwalają stworzyć niskoemisyjne, zrównoważone i opłacalne biznesowo przestrzenie pracy. </w:t>
      </w:r>
    </w:p>
    <w:p w14:paraId="67EE9870" w14:textId="3B642190" w:rsidR="00FF4388" w:rsidRDefault="00963B07" w:rsidP="07F70289">
      <w:pPr>
        <w:spacing w:before="280" w:after="28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Tradycyjne podejście do najmu powierzchni biurowych zakłada regularne odświeżanie wnętrz. To proces, który generuje ogromne ilości odpadów oraz tzw. wbudowany ślad węglowy (</w:t>
      </w:r>
      <w:proofErr w:type="spellStart"/>
      <w:r w:rsidRPr="31C30C85">
        <w:rPr>
          <w:rFonts w:ascii="Times New Roman" w:eastAsia="Times New Roman" w:hAnsi="Times New Roman" w:cs="Times New Roman"/>
          <w:i/>
          <w:iCs/>
        </w:rPr>
        <w:t>embodied</w:t>
      </w:r>
      <w:proofErr w:type="spellEnd"/>
      <w:r w:rsidRPr="31C30C85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31C30C85">
        <w:rPr>
          <w:rFonts w:ascii="Times New Roman" w:eastAsia="Times New Roman" w:hAnsi="Times New Roman" w:cs="Times New Roman"/>
          <w:i/>
          <w:iCs/>
        </w:rPr>
        <w:t>carbon</w:t>
      </w:r>
      <w:proofErr w:type="spellEnd"/>
      <w:r>
        <w:rPr>
          <w:rFonts w:ascii="Times New Roman" w:eastAsia="Times New Roman" w:hAnsi="Times New Roman" w:cs="Times New Roman"/>
        </w:rPr>
        <w:t>). Mowa tutaj o emisjach powstających</w:t>
      </w:r>
      <w:r>
        <w:t xml:space="preserve"> </w:t>
      </w:r>
      <w:r>
        <w:rPr>
          <w:rFonts w:ascii="Times New Roman" w:eastAsia="Times New Roman" w:hAnsi="Times New Roman" w:cs="Times New Roman"/>
        </w:rPr>
        <w:t>na etapie wydobycia surowca, produkcji, transportu i montażu materiałów. Z danych rynkowych wynika, że renowacja wnętrz komercyjnych może odpowiadać za 25 proc. do nawet 60 proc. całkowitych emisji generowanych przez obiekt w całym cyklu jego funkcjonowania</w:t>
      </w:r>
      <w:r>
        <w:rPr>
          <w:rFonts w:ascii="Times New Roman" w:eastAsia="Times New Roman" w:hAnsi="Times New Roman" w:cs="Times New Roman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</w:rPr>
        <w:t xml:space="preserve">. Oprócz obciążenia klimatycznego, narastającym problemem jest ilość trafiających do kosza surowców. Rocznie w Unii Europejskiej wyrzuca się aż 10,78 mln ton mebli, z czego blisko jedna piąta pochodzi z firm i biur. Co najbardziej niepokojące, statystyki Europejskiej Federacji Producentów Mebli pokazują alarmujący obraz: od 80 proc. do 90 proc. wyposażenia ląduje na </w:t>
      </w:r>
      <w:r w:rsidR="07F70289" w:rsidRPr="07F70289">
        <w:rPr>
          <w:rFonts w:ascii="Times New Roman" w:eastAsia="Times New Roman" w:hAnsi="Times New Roman" w:cs="Times New Roman"/>
        </w:rPr>
        <w:t>składowiskach lub w spalarniach</w:t>
      </w:r>
      <w:r w:rsidRPr="31C30C85">
        <w:rPr>
          <w:rFonts w:ascii="Times New Roman" w:eastAsia="Times New Roman" w:hAnsi="Times New Roman" w:cs="Times New Roman"/>
          <w:vertAlign w:val="superscript"/>
        </w:rPr>
        <w:footnoteReference w:id="2"/>
      </w:r>
      <w:r w:rsidR="31C30C85" w:rsidRPr="31C30C85">
        <w:rPr>
          <w:rFonts w:ascii="Times New Roman" w:eastAsia="Times New Roman" w:hAnsi="Times New Roman" w:cs="Times New Roman"/>
        </w:rPr>
        <w:t>.</w:t>
      </w:r>
    </w:p>
    <w:p w14:paraId="475AFC18" w14:textId="77777777" w:rsidR="00FF4388" w:rsidRDefault="00963B07">
      <w:pPr>
        <w:spacing w:before="280" w:after="28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 odpowiedzi na te wyzwania, na rynku nieruchomości, gdzie zrównoważona modernizacja i dążenie do neutralności klimatycznej zyskują na sile, podejście cyrkularne przestaje być jedynie wyborem. Staje się koniecznością. Specjaliści </w:t>
      </w:r>
      <w:proofErr w:type="spellStart"/>
      <w:r>
        <w:rPr>
          <w:rFonts w:ascii="Times New Roman" w:eastAsia="Times New Roman" w:hAnsi="Times New Roman" w:cs="Times New Roman"/>
        </w:rPr>
        <w:t>Arup</w:t>
      </w:r>
      <w:proofErr w:type="spellEnd"/>
      <w:r>
        <w:rPr>
          <w:rFonts w:ascii="Times New Roman" w:eastAsia="Times New Roman" w:hAnsi="Times New Roman" w:cs="Times New Roman"/>
        </w:rPr>
        <w:t xml:space="preserve"> wyodrębnili cztery filary dekarbonizacji wnętrz komercyjnych, które można z powodzeniem wdrożyć także w polskich realiach.</w:t>
      </w:r>
    </w:p>
    <w:p w14:paraId="088604C8" w14:textId="77777777" w:rsidR="00FF4388" w:rsidRDefault="00963B07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Meble w modelu współdzielonym i gospodarka obiegu zamkniętego</w:t>
      </w:r>
    </w:p>
    <w:p w14:paraId="18721AE4" w14:textId="2EA7E3B3" w:rsidR="00FF4388" w:rsidRDefault="31C30C85" w:rsidP="31C30C85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highlight w:val="red"/>
        </w:rPr>
      </w:pPr>
      <w:r w:rsidRPr="31C30C85">
        <w:rPr>
          <w:rFonts w:ascii="Times New Roman" w:eastAsia="Times New Roman" w:hAnsi="Times New Roman" w:cs="Times New Roman"/>
        </w:rPr>
        <w:t xml:space="preserve">Największą część odpadów biurowych, które trafiają na składowiskach, stanowią meble. Odpowiedzią na to wyzwanie jest model usługowy, zakładający ich współdzielenie, rozwijany m.in. przez australijską markę </w:t>
      </w:r>
      <w:proofErr w:type="spellStart"/>
      <w:r w:rsidRPr="31C30C85">
        <w:rPr>
          <w:rFonts w:ascii="Times New Roman" w:eastAsia="Times New Roman" w:hAnsi="Times New Roman" w:cs="Times New Roman"/>
        </w:rPr>
        <w:t>Koskela</w:t>
      </w:r>
      <w:proofErr w:type="spellEnd"/>
      <w:r w:rsidRPr="31C30C85">
        <w:rPr>
          <w:rFonts w:ascii="Times New Roman" w:eastAsia="Times New Roman" w:hAnsi="Times New Roman" w:cs="Times New Roman"/>
        </w:rPr>
        <w:t xml:space="preserve"> przy wsparciu inżynierów </w:t>
      </w:r>
      <w:proofErr w:type="spellStart"/>
      <w:r w:rsidRPr="31C30C85">
        <w:rPr>
          <w:rFonts w:ascii="Times New Roman" w:eastAsia="Times New Roman" w:hAnsi="Times New Roman" w:cs="Times New Roman"/>
        </w:rPr>
        <w:t>Arup</w:t>
      </w:r>
      <w:proofErr w:type="spellEnd"/>
      <w:r w:rsidRPr="31C30C85">
        <w:rPr>
          <w:rFonts w:ascii="Times New Roman" w:eastAsia="Times New Roman" w:hAnsi="Times New Roman" w:cs="Times New Roman"/>
        </w:rPr>
        <w:t xml:space="preserve">. Zamiast kupować meble na własność, firmy je </w:t>
      </w:r>
      <w:r w:rsidRPr="31C30C85">
        <w:rPr>
          <w:rFonts w:ascii="Times New Roman" w:eastAsia="Times New Roman" w:hAnsi="Times New Roman" w:cs="Times New Roman"/>
        </w:rPr>
        <w:lastRenderedPageBreak/>
        <w:t xml:space="preserve">wynajmują. To rozwiązanie nie tylko </w:t>
      </w:r>
      <w:proofErr w:type="spellStart"/>
      <w:r w:rsidRPr="31C30C85">
        <w:rPr>
          <w:rFonts w:ascii="Times New Roman" w:eastAsia="Times New Roman" w:hAnsi="Times New Roman" w:cs="Times New Roman"/>
        </w:rPr>
        <w:t>prośrodowiskowe</w:t>
      </w:r>
      <w:proofErr w:type="spellEnd"/>
      <w:r w:rsidRPr="31C30C85">
        <w:rPr>
          <w:rFonts w:ascii="Times New Roman" w:eastAsia="Times New Roman" w:hAnsi="Times New Roman" w:cs="Times New Roman"/>
        </w:rPr>
        <w:t xml:space="preserve">, ale także ekonomiczne – eliminuje konieczność ponoszenia dużych nakładów na start, zastępując je stałymi, łatwiejszymi do zarządzania opłatami abonamentowymi. Po zakończeniu umowy wyposażenie jest poddawane renowacji, a następnie trafia do kolejnego biura. Niska emisyjność tego rozwiązania wynika jednak nie tylko z samego modelu wypożyczania, ale również z optymalizacji sprzętu. Dlatego </w:t>
      </w:r>
      <w:hyperlink r:id="rId7">
        <w:r w:rsidRPr="31C30C85">
          <w:rPr>
            <w:rFonts w:ascii="Times New Roman" w:eastAsia="Times New Roman" w:hAnsi="Times New Roman" w:cs="Times New Roman"/>
            <w:color w:val="1155CC"/>
            <w:u w:val="single"/>
          </w:rPr>
          <w:t>m.in</w:t>
        </w:r>
      </w:hyperlink>
      <w:r w:rsidRPr="31C30C85">
        <w:rPr>
          <w:rFonts w:ascii="Times New Roman" w:eastAsia="Times New Roman" w:hAnsi="Times New Roman" w:cs="Times New Roman"/>
        </w:rPr>
        <w:t xml:space="preserve">. inżynierowie </w:t>
      </w:r>
      <w:proofErr w:type="spellStart"/>
      <w:r w:rsidRPr="31C30C85">
        <w:rPr>
          <w:rFonts w:ascii="Times New Roman" w:eastAsia="Times New Roman" w:hAnsi="Times New Roman" w:cs="Times New Roman"/>
        </w:rPr>
        <w:t>Arup</w:t>
      </w:r>
      <w:proofErr w:type="spellEnd"/>
      <w:r w:rsidRPr="31C30C85">
        <w:rPr>
          <w:rFonts w:ascii="Times New Roman" w:eastAsia="Times New Roman" w:hAnsi="Times New Roman" w:cs="Times New Roman"/>
        </w:rPr>
        <w:t xml:space="preserve"> przeanalizowali skład materiałowy mebli, co pozwoliło odchudzić ich konstrukcję i znacząco zredukować ślad węglowy bez najmniejszej straty dla ich trwałości. W efekcie zgromadzone dane pozwalają firmie </w:t>
      </w:r>
      <w:proofErr w:type="spellStart"/>
      <w:r w:rsidRPr="31C30C85">
        <w:rPr>
          <w:rFonts w:ascii="Times New Roman" w:eastAsia="Times New Roman" w:hAnsi="Times New Roman" w:cs="Times New Roman"/>
        </w:rPr>
        <w:t>Koskela</w:t>
      </w:r>
      <w:proofErr w:type="spellEnd"/>
      <w:r w:rsidRPr="31C30C85">
        <w:rPr>
          <w:rFonts w:ascii="Times New Roman" w:eastAsia="Times New Roman" w:hAnsi="Times New Roman" w:cs="Times New Roman"/>
        </w:rPr>
        <w:t xml:space="preserve"> dokonywać bardziej zrównoważonych wyborów. </w:t>
      </w:r>
    </w:p>
    <w:p w14:paraId="6C7E5313" w14:textId="77777777" w:rsidR="00FF4388" w:rsidRDefault="00963B07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highlight w:val="red"/>
        </w:rPr>
      </w:pPr>
      <w:r>
        <w:rPr>
          <w:rFonts w:ascii="Times New Roman" w:eastAsia="Times New Roman" w:hAnsi="Times New Roman" w:cs="Times New Roman"/>
        </w:rPr>
        <w:t xml:space="preserve">Zasady obiegu zamkniętego w zakresie wyposażenia wdrażane są także w polskich biurach </w:t>
      </w:r>
      <w:proofErr w:type="spellStart"/>
      <w:r>
        <w:rPr>
          <w:rFonts w:ascii="Times New Roman" w:eastAsia="Times New Roman" w:hAnsi="Times New Roman" w:cs="Times New Roman"/>
        </w:rPr>
        <w:t>Arup</w:t>
      </w:r>
      <w:proofErr w:type="spellEnd"/>
      <w:r>
        <w:rPr>
          <w:rFonts w:ascii="Times New Roman" w:eastAsia="Times New Roman" w:hAnsi="Times New Roman" w:cs="Times New Roman"/>
        </w:rPr>
        <w:t xml:space="preserve"> w Krakowie i Warszawie. Nowe meble dobierano tam z myślą o przyszłości – w taki sposób, aby w razie zużycia można było wymienić wyłącznie pojedynczy element, a nie cały produkt. Ponadto, dbając o to, by stare przedmioty zyskały drugie życie, część dotychczasowego wyposażenia przekazano pracownikom w ramach wewnętrznego kiermaszu. W przestrzeni biurowej wykorzystano również elementy z odzysku, np. stoły i stoliki kawowe stworzone z metalowych beczek oraz rur instalacyjnych. Architekci postanowili także wstawić budki telefoniczne pochodzące z ekspozycji. Dzięki temu zapewniono pracownikom komfort swobodnych rozmów, unikając jednocześnie produkcji i zakupu zupełnie nowych kabin. </w:t>
      </w:r>
    </w:p>
    <w:p w14:paraId="4545ED39" w14:textId="77777777" w:rsidR="00FF4388" w:rsidRDefault="00963B07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b/>
          <w:bCs/>
          <w:highlight w:val="red"/>
        </w:rPr>
      </w:pPr>
      <w:r>
        <w:rPr>
          <w:rFonts w:ascii="Times New Roman" w:eastAsia="Times New Roman" w:hAnsi="Times New Roman" w:cs="Times New Roman"/>
          <w:b/>
          <w:bCs/>
        </w:rPr>
        <w:t xml:space="preserve">Projektowanie elastyczne i modułowe </w:t>
      </w:r>
    </w:p>
    <w:p w14:paraId="26AA7E26" w14:textId="77777777" w:rsidR="00FF4388" w:rsidRDefault="00963B07">
      <w:pPr>
        <w:spacing w:before="280" w:after="28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Zmieniające się modele pracy wymuszają nowe podejście do projektowania biur. Kluczowym elementem staje się elastyczność przestrzeni. W praktyce oznacza to, że stałe elementy wykończenia można bezinwazyjnie wymieniać, a układ powierzchni i instalacji dostosowywać do potrzeb zmieniających się najemców. Zamiast wznosić gipsowo-kartonowe ścianki działowe i inwestować w stałe instalacje, coraz więcej organizacji wybiera rozwiązania modułowe.</w:t>
      </w:r>
    </w:p>
    <w:p w14:paraId="75B6347E" w14:textId="55386B37" w:rsidR="00FF4388" w:rsidRDefault="31C30C85">
      <w:pPr>
        <w:spacing w:before="280" w:after="280" w:line="360" w:lineRule="auto"/>
        <w:jc w:val="both"/>
        <w:rPr>
          <w:rFonts w:ascii="Times New Roman" w:eastAsia="Times New Roman" w:hAnsi="Times New Roman" w:cs="Times New Roman"/>
        </w:rPr>
      </w:pPr>
      <w:r w:rsidRPr="31C30C85">
        <w:rPr>
          <w:rFonts w:ascii="Times New Roman" w:eastAsia="Times New Roman" w:hAnsi="Times New Roman" w:cs="Times New Roman"/>
        </w:rPr>
        <w:t xml:space="preserve">W ten trend wpisują się działania zespołu inżynieryjnego </w:t>
      </w:r>
      <w:proofErr w:type="spellStart"/>
      <w:r w:rsidRPr="31C30C85">
        <w:rPr>
          <w:rFonts w:ascii="Times New Roman" w:eastAsia="Times New Roman" w:hAnsi="Times New Roman" w:cs="Times New Roman"/>
        </w:rPr>
        <w:t>Arup</w:t>
      </w:r>
      <w:proofErr w:type="spellEnd"/>
      <w:r w:rsidRPr="31C30C85">
        <w:rPr>
          <w:rFonts w:ascii="Times New Roman" w:eastAsia="Times New Roman" w:hAnsi="Times New Roman" w:cs="Times New Roman"/>
        </w:rPr>
        <w:t xml:space="preserve">, który wspiera organizacje w przejściu na elastyczne modele przestrzeni. W praktyce oznacza to m.in. wprowadzanie modułowych kabin do spotkań, łatwo </w:t>
      </w:r>
      <w:proofErr w:type="spellStart"/>
      <w:r w:rsidRPr="31C30C85">
        <w:rPr>
          <w:rFonts w:ascii="Times New Roman" w:eastAsia="Times New Roman" w:hAnsi="Times New Roman" w:cs="Times New Roman"/>
        </w:rPr>
        <w:t>demontowalnych</w:t>
      </w:r>
      <w:proofErr w:type="spellEnd"/>
      <w:r w:rsidRPr="31C30C85">
        <w:rPr>
          <w:rFonts w:ascii="Times New Roman" w:eastAsia="Times New Roman" w:hAnsi="Times New Roman" w:cs="Times New Roman"/>
        </w:rPr>
        <w:t xml:space="preserve"> stref pracy czy regulowanych układów wyposażenia. Co ważne, modułowość w bezpośredni sposób sprzyja obniżaniu emisyjności, ponieważ pozwala uniknąć ciężkich i uciążliwych prac budowlanych przy każdej </w:t>
      </w:r>
      <w:proofErr w:type="spellStart"/>
      <w:r w:rsidRPr="31C30C85">
        <w:rPr>
          <w:rFonts w:ascii="Times New Roman" w:eastAsia="Times New Roman" w:hAnsi="Times New Roman" w:cs="Times New Roman"/>
        </w:rPr>
        <w:t>rearanżacji</w:t>
      </w:r>
      <w:proofErr w:type="spellEnd"/>
      <w:r w:rsidRPr="31C30C85">
        <w:rPr>
          <w:rFonts w:ascii="Times New Roman" w:eastAsia="Times New Roman" w:hAnsi="Times New Roman" w:cs="Times New Roman"/>
        </w:rPr>
        <w:t xml:space="preserve"> wnętrza. Z analiz </w:t>
      </w:r>
      <w:proofErr w:type="spellStart"/>
      <w:r w:rsidRPr="31C30C85">
        <w:rPr>
          <w:rFonts w:ascii="Times New Roman" w:eastAsia="Times New Roman" w:hAnsi="Times New Roman" w:cs="Times New Roman"/>
        </w:rPr>
        <w:t>Arup</w:t>
      </w:r>
      <w:proofErr w:type="spellEnd"/>
      <w:r w:rsidRPr="31C30C85">
        <w:rPr>
          <w:rFonts w:ascii="Times New Roman" w:eastAsia="Times New Roman" w:hAnsi="Times New Roman" w:cs="Times New Roman"/>
        </w:rPr>
        <w:t xml:space="preserve"> wynika, że dzięki elastycznemu układowi podłóg oraz ponownemu wykorzystaniu wbudowanych instalacji oraz mebli zredukowano ślad węglowy projektów aż o 30-40 proc. </w:t>
      </w:r>
    </w:p>
    <w:p w14:paraId="6A08CAEB" w14:textId="657E51BA" w:rsidR="00FF4388" w:rsidRDefault="00963B07">
      <w:pPr>
        <w:spacing w:before="280" w:after="28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– </w:t>
      </w:r>
      <w:r>
        <w:rPr>
          <w:rFonts w:ascii="Times New Roman" w:eastAsia="Times New Roman" w:hAnsi="Times New Roman" w:cs="Times New Roman"/>
          <w:i/>
          <w:iCs/>
        </w:rPr>
        <w:t xml:space="preserve">Kluczem do stworzenia zrównoważonego biura jest projektowanie z myślą o jego przyszłej rekonfiguracji, demontażu oraz oszczędności energii. Praca hybrydowa pozwala zoptymalizować powierzchnię oraz zmniejszać zużycie energii potrzebnej na ogrzewanie, klimatyzację czy oświetlenie. </w:t>
      </w:r>
      <w:r>
        <w:rPr>
          <w:rFonts w:ascii="Times New Roman" w:eastAsia="Times New Roman" w:hAnsi="Times New Roman" w:cs="Times New Roman"/>
          <w:i/>
          <w:iCs/>
        </w:rPr>
        <w:lastRenderedPageBreak/>
        <w:t>Doskonałym uzupełnieniem takich elastycznych przestrzeni są ciche budki akustyczne. Ich modułowa konstrukcja pozwala uniknąć gruntownych remontów, a wysoka jakość materiałów i izolacja akustyczna pozwalają na optymalne wykorzystanie dostępnej przestrzeni</w:t>
      </w:r>
      <w:r>
        <w:rPr>
          <w:rFonts w:ascii="Times New Roman" w:eastAsia="Times New Roman" w:hAnsi="Times New Roman" w:cs="Times New Roman"/>
        </w:rPr>
        <w:t xml:space="preserve"> – zauważa </w:t>
      </w:r>
      <w:r w:rsidR="00FC4FE3">
        <w:rPr>
          <w:rFonts w:ascii="Times New Roman" w:eastAsia="Times New Roman" w:hAnsi="Times New Roman" w:cs="Times New Roman"/>
        </w:rPr>
        <w:t>Małgorzata Madalińska, Senior Project Manager</w:t>
      </w:r>
      <w:r>
        <w:rPr>
          <w:rFonts w:ascii="Times New Roman" w:eastAsia="Times New Roman" w:hAnsi="Times New Roman" w:cs="Times New Roman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</w:rPr>
        <w:t>Arup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6E5D9107" w14:textId="77777777" w:rsidR="00FF4388" w:rsidRDefault="00963B07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Zintegrowane standardy materiałowe i przejrzystość w łańcuchu dostaw </w:t>
      </w:r>
    </w:p>
    <w:p w14:paraId="1691BCD2" w14:textId="77777777" w:rsidR="00FF4388" w:rsidRDefault="00963B07">
      <w:pPr>
        <w:spacing w:before="280" w:after="28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Skuteczna redukcja emisji oraz walka z odpadami w architekturze wymaga jasnych zasad dla całego rynku. Przykładem takiego systemowego działania jest inicjatywa australijskiej agencji </w:t>
      </w:r>
      <w:proofErr w:type="spellStart"/>
      <w:r>
        <w:rPr>
          <w:rFonts w:ascii="Times New Roman" w:eastAsia="Times New Roman" w:hAnsi="Times New Roman" w:cs="Times New Roman"/>
        </w:rPr>
        <w:t>Bradfield</w:t>
      </w:r>
      <w:proofErr w:type="spellEnd"/>
      <w:r>
        <w:rPr>
          <w:rFonts w:ascii="Times New Roman" w:eastAsia="Times New Roman" w:hAnsi="Times New Roman" w:cs="Times New Roman"/>
        </w:rPr>
        <w:t xml:space="preserve"> Development Authority (BDA), odpowiedzialnej za budowę nowoczesnej dzielnicy </w:t>
      </w:r>
      <w:proofErr w:type="spellStart"/>
      <w:r>
        <w:rPr>
          <w:rFonts w:ascii="Times New Roman" w:eastAsia="Times New Roman" w:hAnsi="Times New Roman" w:cs="Times New Roman"/>
        </w:rPr>
        <w:t>Bradfield</w:t>
      </w:r>
      <w:proofErr w:type="spellEnd"/>
      <w:r>
        <w:rPr>
          <w:rFonts w:ascii="Times New Roman" w:eastAsia="Times New Roman" w:hAnsi="Times New Roman" w:cs="Times New Roman"/>
        </w:rPr>
        <w:t xml:space="preserve"> City Centre przy nowym lotnisku w Sydney. BDA postawiło na odzysk surowców, aby ograniczyć zużycie zasobów naturalnych. </w:t>
      </w:r>
    </w:p>
    <w:p w14:paraId="700580C1" w14:textId="77777777" w:rsidR="00FF4388" w:rsidRDefault="00963B07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highlight w:val="red"/>
        </w:rPr>
      </w:pPr>
      <w:r>
        <w:rPr>
          <w:rFonts w:ascii="Times New Roman" w:eastAsia="Times New Roman" w:hAnsi="Times New Roman" w:cs="Times New Roman"/>
        </w:rPr>
        <w:t xml:space="preserve">Kluczem do sukcesu projektu było zaangażowanie pełnego łańcucha dostaw – deweloperów, architektów i wykonawców – oraz stworzenie dla nich wspólnego standardu. We współpracy z BDA, inżynierowie </w:t>
      </w:r>
      <w:proofErr w:type="spellStart"/>
      <w:r>
        <w:rPr>
          <w:rFonts w:ascii="Times New Roman" w:eastAsia="Times New Roman" w:hAnsi="Times New Roman" w:cs="Times New Roman"/>
        </w:rPr>
        <w:t>Arup</w:t>
      </w:r>
      <w:proofErr w:type="spellEnd"/>
      <w:r>
        <w:rPr>
          <w:rFonts w:ascii="Times New Roman" w:eastAsia="Times New Roman" w:hAnsi="Times New Roman" w:cs="Times New Roman"/>
        </w:rPr>
        <w:t xml:space="preserve"> opracowali kompleksowy przewodnik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Recycled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Materials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Guidance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Document</w:t>
      </w:r>
      <w:proofErr w:type="spellEnd"/>
      <w:r>
        <w:rPr>
          <w:rFonts w:ascii="Times New Roman" w:eastAsia="Times New Roman" w:hAnsi="Times New Roman" w:cs="Times New Roman"/>
        </w:rPr>
        <w:t>. To narzędzie, które krok po kroku ułatwia dobór materiałów z recyklingu (m.in. wykładzin, płyt gipsowych, izolacji czy mebli) w budownictwie biurowym, mieszkaniowym oraz przemysłowym. Publikacja zawiera gotowe karty produktów, wymogi techniczne oraz analizy przypadków, tworząc ogólnodostępny standard, który ma pomóc całej branży wdrażać zrównoważone rozwiązania na dużą skalę.</w:t>
      </w:r>
    </w:p>
    <w:p w14:paraId="1E295C5C" w14:textId="77777777" w:rsidR="00FF4388" w:rsidRDefault="00963B07">
      <w:pPr>
        <w:spacing w:before="280" w:after="28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Zasada ta sprawdza się zarówno przy wielkoskalowych inwestycjach miejskich, jak i w aranżacji poszczególnych biur. W polskich placówkach </w:t>
      </w:r>
      <w:proofErr w:type="spellStart"/>
      <w:r>
        <w:rPr>
          <w:rFonts w:ascii="Times New Roman" w:eastAsia="Times New Roman" w:hAnsi="Times New Roman" w:cs="Times New Roman"/>
        </w:rPr>
        <w:t>Arup</w:t>
      </w:r>
      <w:proofErr w:type="spellEnd"/>
      <w:r>
        <w:rPr>
          <w:rFonts w:ascii="Times New Roman" w:eastAsia="Times New Roman" w:hAnsi="Times New Roman" w:cs="Times New Roman"/>
        </w:rPr>
        <w:t xml:space="preserve"> zrezygnowano ze standardowych tworzyw na rzecz surowców o przejrzystym pochodzeniu i niskim śladzie węglowym. Zastosowano tam m.in. pionierskie panele akustyczne z grzybni, ścianki z betonu konopnego, sufity i okładziny z przetworzonych butelek PET czy naturalnego korka. Wykorzystano także podłogi z </w:t>
      </w:r>
      <w:proofErr w:type="spellStart"/>
      <w:r>
        <w:rPr>
          <w:rFonts w:ascii="Times New Roman" w:eastAsia="Times New Roman" w:hAnsi="Times New Roman" w:cs="Times New Roman"/>
        </w:rPr>
        <w:t>marmoleum</w:t>
      </w:r>
      <w:proofErr w:type="spellEnd"/>
      <w:r>
        <w:rPr>
          <w:rFonts w:ascii="Times New Roman" w:eastAsia="Times New Roman" w:hAnsi="Times New Roman" w:cs="Times New Roman"/>
        </w:rPr>
        <w:t xml:space="preserve"> i wykładziny dywanowe z przędzy składającej się w 90 proc. z materiału z recyklingu. Wiele elementów wykończeniowych zyskało drugie życie: we wnętrzach znalazła się mozaika z resztek płytek kuchennych, dywany zszyte z kwadratowych próbek, a także wykładziny z końcówek kolekcji. Nawet przegrody akustyczne z poprzedniego biura przekształcono w tapicerowane, naścienne panele wyciszające. </w:t>
      </w:r>
    </w:p>
    <w:p w14:paraId="33C8ECCC" w14:textId="77777777" w:rsidR="00FF4388" w:rsidRDefault="00963B07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Adaptacja istniejących budynków i podejście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regeneratywne</w:t>
      </w:r>
      <w:proofErr w:type="spellEnd"/>
    </w:p>
    <w:p w14:paraId="3E310A81" w14:textId="446516BA" w:rsidR="00FF4388" w:rsidRDefault="31C30C85" w:rsidP="7AF276F1">
      <w:pPr>
        <w:spacing w:before="280" w:after="280" w:line="360" w:lineRule="auto"/>
        <w:jc w:val="both"/>
        <w:rPr>
          <w:rFonts w:ascii="Times New Roman" w:eastAsia="Times New Roman" w:hAnsi="Times New Roman" w:cs="Times New Roman"/>
        </w:rPr>
      </w:pPr>
      <w:r w:rsidRPr="31C30C85">
        <w:rPr>
          <w:rFonts w:ascii="Times New Roman" w:eastAsia="Times New Roman" w:hAnsi="Times New Roman" w:cs="Times New Roman"/>
        </w:rPr>
        <w:t xml:space="preserve">Redukcja emisyjności samych wnętrz biurowych to jednak dopiero początek. Jeszcze większe oszczędności niesie za sobą ograniczanie śladu węglowego poprzez wykorzystanie istniejących obiektów. Pozwala to uniknąć ogromnych emisji związanych z wznoszeniem nowych konstrukcji ze stali czy betonu. Przykładem takiego </w:t>
      </w:r>
      <w:proofErr w:type="spellStart"/>
      <w:r w:rsidRPr="31C30C85">
        <w:rPr>
          <w:rFonts w:ascii="Times New Roman" w:eastAsia="Times New Roman" w:hAnsi="Times New Roman" w:cs="Times New Roman"/>
        </w:rPr>
        <w:t>regeneratywnego</w:t>
      </w:r>
      <w:proofErr w:type="spellEnd"/>
      <w:r w:rsidRPr="31C30C85">
        <w:rPr>
          <w:rFonts w:ascii="Times New Roman" w:eastAsia="Times New Roman" w:hAnsi="Times New Roman" w:cs="Times New Roman"/>
        </w:rPr>
        <w:t xml:space="preserve"> podejścia jest nowa siedziba firmy </w:t>
      </w:r>
      <w:proofErr w:type="spellStart"/>
      <w:r w:rsidRPr="31C30C85">
        <w:rPr>
          <w:rFonts w:ascii="Times New Roman" w:eastAsia="Times New Roman" w:hAnsi="Times New Roman" w:cs="Times New Roman"/>
        </w:rPr>
        <w:t>Meridian</w:t>
      </w:r>
      <w:proofErr w:type="spellEnd"/>
      <w:r w:rsidRPr="31C30C85">
        <w:rPr>
          <w:rFonts w:ascii="Times New Roman" w:eastAsia="Times New Roman" w:hAnsi="Times New Roman" w:cs="Times New Roman"/>
        </w:rPr>
        <w:t xml:space="preserve"> </w:t>
      </w:r>
      <w:r w:rsidRPr="31C30C85">
        <w:rPr>
          <w:rFonts w:ascii="Times New Roman" w:eastAsia="Times New Roman" w:hAnsi="Times New Roman" w:cs="Times New Roman"/>
        </w:rPr>
        <w:lastRenderedPageBreak/>
        <w:t xml:space="preserve">Energy w Wellington (Nowa Zelandia). Inwestycję zlokalizowano w 120-letnim zabytkowym budynku, a doradcy </w:t>
      </w:r>
      <w:proofErr w:type="spellStart"/>
      <w:r w:rsidRPr="31C30C85">
        <w:rPr>
          <w:rFonts w:ascii="Times New Roman" w:eastAsia="Times New Roman" w:hAnsi="Times New Roman" w:cs="Times New Roman"/>
        </w:rPr>
        <w:t>Arup</w:t>
      </w:r>
      <w:proofErr w:type="spellEnd"/>
      <w:r w:rsidRPr="31C30C85">
        <w:rPr>
          <w:rFonts w:ascii="Times New Roman" w:eastAsia="Times New Roman" w:hAnsi="Times New Roman" w:cs="Times New Roman"/>
        </w:rPr>
        <w:t xml:space="preserve"> pomogli zrealizować rygorystyczne wymogi certyfikatu </w:t>
      </w:r>
      <w:proofErr w:type="spellStart"/>
      <w:r w:rsidRPr="31C30C85">
        <w:rPr>
          <w:rFonts w:ascii="Times New Roman" w:eastAsia="Times New Roman" w:hAnsi="Times New Roman" w:cs="Times New Roman"/>
          <w:i/>
          <w:iCs/>
        </w:rPr>
        <w:t>Living</w:t>
      </w:r>
      <w:proofErr w:type="spellEnd"/>
      <w:r w:rsidRPr="31C30C85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31C30C85">
        <w:rPr>
          <w:rFonts w:ascii="Times New Roman" w:eastAsia="Times New Roman" w:hAnsi="Times New Roman" w:cs="Times New Roman"/>
          <w:i/>
          <w:iCs/>
        </w:rPr>
        <w:t>Building</w:t>
      </w:r>
      <w:proofErr w:type="spellEnd"/>
      <w:r w:rsidRPr="31C30C85">
        <w:rPr>
          <w:rFonts w:ascii="Times New Roman" w:eastAsia="Times New Roman" w:hAnsi="Times New Roman" w:cs="Times New Roman"/>
          <w:i/>
          <w:iCs/>
        </w:rPr>
        <w:t xml:space="preserve"> Challenge</w:t>
      </w:r>
      <w:r w:rsidRPr="31C30C85">
        <w:rPr>
          <w:rFonts w:ascii="Times New Roman" w:eastAsia="Times New Roman" w:hAnsi="Times New Roman" w:cs="Times New Roman"/>
        </w:rPr>
        <w:t xml:space="preserve">. Efektem tych prac jest zatrzymanie aż 95 proc. odpadów budowlanych przed trafieniem na składowisko. Ponadto, 90 proc. </w:t>
      </w:r>
      <w:proofErr w:type="spellStart"/>
      <w:r w:rsidRPr="31C30C85">
        <w:rPr>
          <w:rFonts w:ascii="Times New Roman" w:eastAsia="Times New Roman" w:hAnsi="Times New Roman" w:cs="Times New Roman"/>
        </w:rPr>
        <w:t>wykończeń</w:t>
      </w:r>
      <w:proofErr w:type="spellEnd"/>
      <w:r w:rsidRPr="31C30C85">
        <w:rPr>
          <w:rFonts w:ascii="Times New Roman" w:eastAsia="Times New Roman" w:hAnsi="Times New Roman" w:cs="Times New Roman"/>
        </w:rPr>
        <w:t xml:space="preserve"> stanowiły bezpieczne, nietoksyczne materiały. Natomiast układ przestrzenny oparto na prefabrykowanym systemie drewnianym </w:t>
      </w:r>
      <w:proofErr w:type="spellStart"/>
      <w:r w:rsidRPr="31C30C85">
        <w:rPr>
          <w:rFonts w:ascii="Times New Roman" w:eastAsia="Times New Roman" w:hAnsi="Times New Roman" w:cs="Times New Roman"/>
        </w:rPr>
        <w:t>XFrame</w:t>
      </w:r>
      <w:proofErr w:type="spellEnd"/>
      <w:r w:rsidRPr="31C30C85">
        <w:rPr>
          <w:rFonts w:ascii="Times New Roman" w:eastAsia="Times New Roman" w:hAnsi="Times New Roman" w:cs="Times New Roman"/>
        </w:rPr>
        <w:t xml:space="preserve">. Zaprojektowane w nim kabiny konferencyjne są w pełni </w:t>
      </w:r>
      <w:proofErr w:type="spellStart"/>
      <w:r w:rsidRPr="31C30C85">
        <w:rPr>
          <w:rFonts w:ascii="Times New Roman" w:eastAsia="Times New Roman" w:hAnsi="Times New Roman" w:cs="Times New Roman"/>
        </w:rPr>
        <w:t>demontowalne</w:t>
      </w:r>
      <w:proofErr w:type="spellEnd"/>
      <w:r w:rsidRPr="31C30C85">
        <w:rPr>
          <w:rFonts w:ascii="Times New Roman" w:eastAsia="Times New Roman" w:hAnsi="Times New Roman" w:cs="Times New Roman"/>
        </w:rPr>
        <w:t xml:space="preserve">, co umożliwia ich ponowne wykorzystanie lub łatwą zmianę lokalizacji w zależności od potrzeb. </w:t>
      </w:r>
    </w:p>
    <w:p w14:paraId="7A6CB9C5" w14:textId="77777777" w:rsidR="00FF4388" w:rsidRDefault="00963B07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highlight w:val="red"/>
        </w:rPr>
      </w:pPr>
      <w:r>
        <w:rPr>
          <w:rFonts w:ascii="Times New Roman" w:eastAsia="Times New Roman" w:hAnsi="Times New Roman" w:cs="Times New Roman"/>
        </w:rPr>
        <w:t xml:space="preserve">To podejście wpisuje się w obserwowany także w Polsce trend rewitalizacji obiektów historycznych i poprzemysłowych, ale odnosi się również do samej infrastruktury wnętrz. W polskich siedzibach </w:t>
      </w:r>
      <w:proofErr w:type="spellStart"/>
      <w:r>
        <w:rPr>
          <w:rFonts w:ascii="Times New Roman" w:eastAsia="Times New Roman" w:hAnsi="Times New Roman" w:cs="Times New Roman"/>
        </w:rPr>
        <w:t>Arup</w:t>
      </w:r>
      <w:proofErr w:type="spellEnd"/>
      <w:r>
        <w:rPr>
          <w:rFonts w:ascii="Times New Roman" w:eastAsia="Times New Roman" w:hAnsi="Times New Roman" w:cs="Times New Roman"/>
        </w:rPr>
        <w:t xml:space="preserve"> zdecydowano się na pozostawienie wielu elementów po poprzednim najemcy. Zamiast wymiany infrastruktury, zachowano m.in. ponad połowę urządzeń grzewczo-chłodzących, system chłodzenia serwerowni oraz nawiewniki wentylacyjne. </w:t>
      </w:r>
    </w:p>
    <w:p w14:paraId="357ABBA9" w14:textId="1B5E7704" w:rsidR="00FF4388" w:rsidRDefault="00963B07" w:rsidP="002913EC">
      <w:pPr>
        <w:spacing w:before="280" w:after="28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– </w:t>
      </w:r>
      <w:r>
        <w:rPr>
          <w:rFonts w:ascii="Times New Roman" w:eastAsia="Times New Roman" w:hAnsi="Times New Roman" w:cs="Times New Roman"/>
          <w:i/>
          <w:iCs/>
        </w:rPr>
        <w:t>Zrównoważona renowacja wnętrz przechodzi od obszaru deklaracji do twardych wymogów biznesowych. Inwestorzy i najemcy w Polsce coraz wyraźniej widzą, że gospodarka obiegu zamkniętego to nie tylko odpowiedź na unijne wymogi i sposób na redukcję śladu węglowego, ale też realne oszczędności finansowe. Mądrze zaprojektowane biuro chroni środowisko, wspiera zdrowie pracowników i podnosi długoterminową wartość samej nieruchomości</w:t>
      </w:r>
      <w:r>
        <w:rPr>
          <w:rFonts w:ascii="Times New Roman" w:eastAsia="Times New Roman" w:hAnsi="Times New Roman" w:cs="Times New Roman"/>
        </w:rPr>
        <w:t xml:space="preserve"> – podsumowuje </w:t>
      </w:r>
      <w:r w:rsidR="002913EC">
        <w:rPr>
          <w:rFonts w:ascii="Times New Roman" w:eastAsia="Times New Roman" w:hAnsi="Times New Roman" w:cs="Times New Roman"/>
        </w:rPr>
        <w:t xml:space="preserve">Małgorzata Madalińska, Senior Project Manager w </w:t>
      </w:r>
      <w:proofErr w:type="spellStart"/>
      <w:r w:rsidR="002913EC">
        <w:rPr>
          <w:rFonts w:ascii="Times New Roman" w:eastAsia="Times New Roman" w:hAnsi="Times New Roman" w:cs="Times New Roman"/>
        </w:rPr>
        <w:t>Arup</w:t>
      </w:r>
      <w:proofErr w:type="spellEnd"/>
      <w:r w:rsidR="002913EC">
        <w:rPr>
          <w:rFonts w:ascii="Times New Roman" w:eastAsia="Times New Roman" w:hAnsi="Times New Roman" w:cs="Times New Roman"/>
        </w:rPr>
        <w:t>.</w:t>
      </w:r>
    </w:p>
    <w:p w14:paraId="407E1112" w14:textId="77777777" w:rsidR="00FF4388" w:rsidRDefault="00963B07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Arup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to globalna firma doradcza, która wyznacza kierunki, planuje i projektuje przyszłość nieruchomości, przestrzeni miejskiej oraz infrastruktury. Łączy strategiczne doradztwo z wiedzą techniczną w ponad 150 dziedzinach, oferując kompleksowe wsparcie na każdym etapie inwestycji – od planowania i projektowania, po realizację i użytkowanie. Realizuje projekty w ponad 140 krajach, wspierając rozwój nowoczesnych rozwiązań w sektorach takich jak energetyka, nieruchomości, przemysł, transport i technologie. Do najbardziej rozpoznawalnych realizacji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Arup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należą m.in. Opera w Sydney, najdłuższy most na świecie Hongkong–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Zhuhai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–Makau, a także polskie projekty, takie jak Zielona Wizja Warszawy, najbardziej zrównoważona fabryka w Europie – zakład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PepsiCo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pod Środą Śląską oraz łódzkie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Orientarium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. Więcej informacji na temat firmy na: </w:t>
      </w:r>
      <w:hyperlink r:id="rId8">
        <w:r w:rsidR="00FF4388">
          <w:rPr>
            <w:rFonts w:ascii="Times New Roman" w:eastAsia="Times New Roman" w:hAnsi="Times New Roman" w:cs="Times New Roman"/>
            <w:color w:val="000000"/>
            <w:sz w:val="16"/>
            <w:szCs w:val="16"/>
            <w:u w:val="single"/>
          </w:rPr>
          <w:t>https://www.arup.com/about-us/</w:t>
        </w:r>
      </w:hyperlink>
    </w:p>
    <w:p w14:paraId="3F61AEBD" w14:textId="77777777" w:rsidR="00FF4388" w:rsidRDefault="00FF4388">
      <w:pPr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1796247" w14:textId="77777777" w:rsidR="00FF4388" w:rsidRPr="00FC4FE3" w:rsidRDefault="00963B07">
      <w:pPr>
        <w:spacing w:after="0" w:line="276" w:lineRule="auto"/>
        <w:jc w:val="right"/>
        <w:rPr>
          <w:rFonts w:ascii="Times New Roman" w:eastAsia="Times New Roman" w:hAnsi="Times New Roman" w:cs="Times New Roman"/>
          <w:sz w:val="16"/>
          <w:szCs w:val="16"/>
          <w:highlight w:val="white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C4FE3">
        <w:rPr>
          <w:rFonts w:ascii="Times New Roman" w:eastAsia="Times New Roman" w:hAnsi="Times New Roman" w:cs="Times New Roman"/>
          <w:sz w:val="16"/>
          <w:szCs w:val="16"/>
          <w:highlight w:val="white"/>
          <w:lang w:val="en-GB"/>
        </w:rPr>
        <w:t>Kontakt</w:t>
      </w:r>
      <w:proofErr w:type="spellEnd"/>
      <w:r w:rsidRPr="00FC4FE3">
        <w:rPr>
          <w:rFonts w:ascii="Times New Roman" w:eastAsia="Times New Roman" w:hAnsi="Times New Roman" w:cs="Times New Roman"/>
          <w:sz w:val="16"/>
          <w:szCs w:val="16"/>
          <w:highlight w:val="white"/>
          <w:lang w:val="en-GB"/>
        </w:rPr>
        <w:t xml:space="preserve"> </w:t>
      </w:r>
      <w:proofErr w:type="spellStart"/>
      <w:r w:rsidRPr="00FC4FE3">
        <w:rPr>
          <w:rFonts w:ascii="Times New Roman" w:eastAsia="Times New Roman" w:hAnsi="Times New Roman" w:cs="Times New Roman"/>
          <w:sz w:val="16"/>
          <w:szCs w:val="16"/>
          <w:highlight w:val="white"/>
          <w:lang w:val="en-GB"/>
        </w:rPr>
        <w:t>dla</w:t>
      </w:r>
      <w:proofErr w:type="spellEnd"/>
      <w:r w:rsidRPr="00FC4FE3">
        <w:rPr>
          <w:rFonts w:ascii="Times New Roman" w:eastAsia="Times New Roman" w:hAnsi="Times New Roman" w:cs="Times New Roman"/>
          <w:sz w:val="16"/>
          <w:szCs w:val="16"/>
          <w:highlight w:val="white"/>
          <w:lang w:val="en-GB"/>
        </w:rPr>
        <w:t xml:space="preserve"> </w:t>
      </w:r>
      <w:proofErr w:type="spellStart"/>
      <w:r w:rsidRPr="00FC4FE3">
        <w:rPr>
          <w:rFonts w:ascii="Times New Roman" w:eastAsia="Times New Roman" w:hAnsi="Times New Roman" w:cs="Times New Roman"/>
          <w:sz w:val="16"/>
          <w:szCs w:val="16"/>
          <w:highlight w:val="white"/>
          <w:lang w:val="en-GB"/>
        </w:rPr>
        <w:t>mediów</w:t>
      </w:r>
      <w:proofErr w:type="spellEnd"/>
      <w:r w:rsidRPr="00FC4FE3">
        <w:rPr>
          <w:rFonts w:ascii="Times New Roman" w:eastAsia="Times New Roman" w:hAnsi="Times New Roman" w:cs="Times New Roman"/>
          <w:sz w:val="16"/>
          <w:szCs w:val="16"/>
          <w:highlight w:val="white"/>
          <w:lang w:val="en-GB"/>
        </w:rPr>
        <w:t>:</w:t>
      </w:r>
    </w:p>
    <w:p w14:paraId="48BBFA8F" w14:textId="77777777" w:rsidR="00FF4388" w:rsidRPr="00FC4FE3" w:rsidRDefault="00963B07">
      <w:pPr>
        <w:spacing w:after="0" w:line="276" w:lineRule="auto"/>
        <w:jc w:val="right"/>
        <w:rPr>
          <w:rFonts w:ascii="Times New Roman" w:eastAsia="Times New Roman" w:hAnsi="Times New Roman" w:cs="Times New Roman"/>
          <w:sz w:val="16"/>
          <w:szCs w:val="16"/>
          <w:lang w:val="en-GB"/>
        </w:rPr>
      </w:pPr>
      <w:r w:rsidRPr="00FC4FE3">
        <w:rPr>
          <w:rFonts w:ascii="Times New Roman" w:eastAsia="Times New Roman" w:hAnsi="Times New Roman" w:cs="Times New Roman"/>
          <w:sz w:val="16"/>
          <w:szCs w:val="16"/>
          <w:lang w:val="en-GB"/>
        </w:rPr>
        <w:t>Adrianna Smug</w:t>
      </w:r>
    </w:p>
    <w:p w14:paraId="6E8825B3" w14:textId="77777777" w:rsidR="00FF4388" w:rsidRPr="00FC4FE3" w:rsidRDefault="00963B07">
      <w:pPr>
        <w:spacing w:after="0" w:line="276" w:lineRule="auto"/>
        <w:jc w:val="right"/>
        <w:rPr>
          <w:rFonts w:ascii="Times New Roman" w:eastAsia="Times New Roman" w:hAnsi="Times New Roman" w:cs="Times New Roman"/>
          <w:sz w:val="16"/>
          <w:szCs w:val="16"/>
          <w:lang w:val="en-GB"/>
        </w:rPr>
      </w:pPr>
      <w:r w:rsidRPr="00FC4FE3">
        <w:rPr>
          <w:rFonts w:ascii="Times New Roman" w:eastAsia="Times New Roman" w:hAnsi="Times New Roman" w:cs="Times New Roman"/>
          <w:sz w:val="16"/>
          <w:szCs w:val="16"/>
          <w:lang w:val="en-GB"/>
        </w:rPr>
        <w:t>Senior Account Executive</w:t>
      </w:r>
    </w:p>
    <w:p w14:paraId="781B377D" w14:textId="77777777" w:rsidR="00FF4388" w:rsidRPr="00FC4FE3" w:rsidRDefault="00963B07">
      <w:pPr>
        <w:spacing w:after="0"/>
        <w:jc w:val="right"/>
        <w:rPr>
          <w:rFonts w:ascii="Times New Roman" w:eastAsia="Times New Roman" w:hAnsi="Times New Roman" w:cs="Times New Roman"/>
          <w:sz w:val="16"/>
          <w:szCs w:val="16"/>
          <w:lang w:val="en-GB"/>
        </w:rPr>
      </w:pPr>
      <w:r w:rsidRPr="00FC4FE3">
        <w:rPr>
          <w:rFonts w:ascii="Times New Roman" w:eastAsia="Times New Roman" w:hAnsi="Times New Roman" w:cs="Times New Roman"/>
          <w:sz w:val="16"/>
          <w:szCs w:val="16"/>
          <w:lang w:val="en-GB"/>
        </w:rPr>
        <w:t xml:space="preserve">e-mail: </w:t>
      </w:r>
      <w:hyperlink r:id="rId9">
        <w:r w:rsidR="00FF4388" w:rsidRPr="00FC4FE3">
          <w:rPr>
            <w:rFonts w:ascii="Times New Roman" w:eastAsia="Times New Roman" w:hAnsi="Times New Roman" w:cs="Times New Roman"/>
            <w:color w:val="0563C1"/>
            <w:sz w:val="16"/>
            <w:szCs w:val="16"/>
            <w:u w:val="single"/>
            <w:lang w:val="en-GB"/>
          </w:rPr>
          <w:t>adrianna.smug@goodonepr.pl</w:t>
        </w:r>
      </w:hyperlink>
    </w:p>
    <w:p w14:paraId="472CB32A" w14:textId="77777777" w:rsidR="00FF4388" w:rsidRDefault="00963B07">
      <w:pPr>
        <w:spacing w:after="0" w:line="276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Tel.: 796 996 267</w:t>
      </w:r>
    </w:p>
    <w:sectPr w:rsidR="00FF4388">
      <w:headerReference w:type="default" r:id="rId10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BFFEC" w14:textId="77777777" w:rsidR="00653211" w:rsidRDefault="00653211">
      <w:pPr>
        <w:spacing w:after="0" w:line="240" w:lineRule="auto"/>
      </w:pPr>
      <w:r>
        <w:separator/>
      </w:r>
    </w:p>
  </w:endnote>
  <w:endnote w:type="continuationSeparator" w:id="0">
    <w:p w14:paraId="20969B4D" w14:textId="77777777" w:rsidR="00653211" w:rsidRDefault="00653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FDCF2D0-CAF2-49EA-B332-8D4E44887670}"/>
    <w:embedBold r:id="rId2" w:fontKey="{9A3EB9E0-5AE7-4CB3-9A93-078312577D0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6FD1D958-812C-48C8-B6F2-76339795F35E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41C28E97-24E4-44E1-95B5-DC8489956824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F573361D-001A-45D1-A1F5-90112BCB7A70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A843D" w14:textId="77777777" w:rsidR="00653211" w:rsidRDefault="00653211">
      <w:pPr>
        <w:spacing w:after="0" w:line="240" w:lineRule="auto"/>
      </w:pPr>
      <w:r>
        <w:separator/>
      </w:r>
    </w:p>
  </w:footnote>
  <w:footnote w:type="continuationSeparator" w:id="0">
    <w:p w14:paraId="65848D52" w14:textId="77777777" w:rsidR="00653211" w:rsidRDefault="00653211">
      <w:pPr>
        <w:spacing w:after="0" w:line="240" w:lineRule="auto"/>
      </w:pPr>
      <w:r>
        <w:continuationSeparator/>
      </w:r>
    </w:p>
  </w:footnote>
  <w:footnote w:id="1">
    <w:p w14:paraId="7ADD1EC1" w14:textId="77777777" w:rsidR="00FF4388" w:rsidRDefault="00963B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hyperlink r:id="rId1">
        <w:r w:rsidR="00FF4388">
          <w:rPr>
            <w:rFonts w:ascii="Times New Roman" w:eastAsia="Times New Roman" w:hAnsi="Times New Roman" w:cs="Times New Roman"/>
            <w:color w:val="0563C1"/>
            <w:sz w:val="16"/>
            <w:szCs w:val="16"/>
            <w:u w:val="single"/>
          </w:rPr>
          <w:t>https://knowledge.uli.org/-/media/files/research-reports/2022/fitting-out-spaces-for-net-zero.pdf</w:t>
        </w:r>
      </w:hyperlink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</w:p>
  </w:footnote>
  <w:footnote w:id="2">
    <w:p w14:paraId="0FF1C009" w14:textId="77777777" w:rsidR="00FF4388" w:rsidRDefault="00963B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hyperlink r:id="rId2">
        <w:r w:rsidR="00FF4388">
          <w:rPr>
            <w:rFonts w:ascii="Times New Roman" w:eastAsia="Times New Roman" w:hAnsi="Times New Roman" w:cs="Times New Roman"/>
            <w:color w:val="1155CC"/>
            <w:sz w:val="16"/>
            <w:szCs w:val="16"/>
            <w:u w:val="single"/>
          </w:rPr>
          <w:t>https://cordis.europa.eu/programme/id/HORIZON_HORIZON-CL6-2024-CircBio-01-3</w:t>
        </w:r>
      </w:hyperlink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0C62A" w14:textId="77777777" w:rsidR="00FF4388" w:rsidRDefault="00963B0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3B1A02CA" wp14:editId="6FE9E402">
          <wp:simplePos x="0" y="0"/>
          <wp:positionH relativeFrom="column">
            <wp:posOffset>4481830</wp:posOffset>
          </wp:positionH>
          <wp:positionV relativeFrom="paragraph">
            <wp:posOffset>-118109</wp:posOffset>
          </wp:positionV>
          <wp:extent cx="1457325" cy="387624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57325" cy="3876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388"/>
    <w:rsid w:val="00087202"/>
    <w:rsid w:val="002913EC"/>
    <w:rsid w:val="002D7DA8"/>
    <w:rsid w:val="002E72BC"/>
    <w:rsid w:val="00410BD1"/>
    <w:rsid w:val="004D21EE"/>
    <w:rsid w:val="005E70E4"/>
    <w:rsid w:val="00653211"/>
    <w:rsid w:val="006B2EB4"/>
    <w:rsid w:val="007B4A6C"/>
    <w:rsid w:val="008B21C7"/>
    <w:rsid w:val="008D13D6"/>
    <w:rsid w:val="00963B07"/>
    <w:rsid w:val="00987608"/>
    <w:rsid w:val="00A6048E"/>
    <w:rsid w:val="00A91224"/>
    <w:rsid w:val="00AB2165"/>
    <w:rsid w:val="00C87A92"/>
    <w:rsid w:val="00D54A58"/>
    <w:rsid w:val="00D7710B"/>
    <w:rsid w:val="00E4AD24"/>
    <w:rsid w:val="00E822EC"/>
    <w:rsid w:val="00EE2CE9"/>
    <w:rsid w:val="00FC4FE3"/>
    <w:rsid w:val="00FF4388"/>
    <w:rsid w:val="07F70289"/>
    <w:rsid w:val="1443AD5A"/>
    <w:rsid w:val="1EA428D8"/>
    <w:rsid w:val="31C30C85"/>
    <w:rsid w:val="574C0D47"/>
    <w:rsid w:val="686C2E66"/>
    <w:rsid w:val="6C2DA2EE"/>
    <w:rsid w:val="71442DED"/>
    <w:rsid w:val="7AF2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2979A"/>
  <w15:docId w15:val="{56A3C561-C4DB-48DE-874B-0DA648645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kapitzlist">
    <w:name w:val="List Paragraph"/>
    <w:uiPriority w:val="34"/>
    <w:qFormat/>
    <w:rsid w:val="00430EF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42291"/>
    <w:rPr>
      <w:sz w:val="16"/>
      <w:szCs w:val="16"/>
    </w:rPr>
  </w:style>
  <w:style w:type="paragraph" w:styleId="Tekstkomentarza">
    <w:name w:val="annotation text"/>
    <w:link w:val="TekstkomentarzaZnak"/>
    <w:uiPriority w:val="99"/>
    <w:unhideWhenUsed/>
    <w:rsid w:val="00E422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22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22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2291"/>
    <w:rPr>
      <w:b/>
      <w:bCs/>
      <w:sz w:val="20"/>
      <w:szCs w:val="20"/>
    </w:rPr>
  </w:style>
  <w:style w:type="paragraph" w:styleId="Tekstdymka">
    <w:name w:val="Balloon Text"/>
    <w:link w:val="TekstdymkaZnak"/>
    <w:uiPriority w:val="99"/>
    <w:semiHidden/>
    <w:unhideWhenUsed/>
    <w:rsid w:val="00E422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229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402983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18171D"/>
    <w:rPr>
      <w:color w:val="0563C1" w:themeColor="hyperlink"/>
      <w:u w:val="single"/>
    </w:rPr>
  </w:style>
  <w:style w:type="paragraph" w:styleId="Nagwek">
    <w:name w:val="header"/>
    <w:link w:val="NagwekZnak"/>
    <w:uiPriority w:val="99"/>
    <w:unhideWhenUsed/>
    <w:rsid w:val="00734B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4B9C"/>
  </w:style>
  <w:style w:type="paragraph" w:styleId="Stopka">
    <w:name w:val="footer"/>
    <w:link w:val="StopkaZnak"/>
    <w:uiPriority w:val="99"/>
    <w:unhideWhenUsed/>
    <w:rsid w:val="00734B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4B9C"/>
  </w:style>
  <w:style w:type="character" w:customStyle="1" w:styleId="hwtze">
    <w:name w:val="hwtze"/>
    <w:basedOn w:val="Domylnaczcionkaakapitu"/>
    <w:rsid w:val="009C2A6F"/>
  </w:style>
  <w:style w:type="character" w:customStyle="1" w:styleId="rynqvb">
    <w:name w:val="rynqvb"/>
    <w:basedOn w:val="Domylnaczcionkaakapitu"/>
    <w:rsid w:val="009C2A6F"/>
  </w:style>
  <w:style w:type="paragraph" w:styleId="Tekstprzypisudolnego">
    <w:name w:val="footnote text"/>
    <w:link w:val="TekstprzypisudolnegoZnak"/>
    <w:uiPriority w:val="99"/>
    <w:semiHidden/>
    <w:unhideWhenUsed/>
    <w:rsid w:val="00DE7B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E7B8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E7B8A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60D2F"/>
    <w:rPr>
      <w:color w:val="605E5C"/>
      <w:shd w:val="clear" w:color="auto" w:fill="E1DFDD"/>
    </w:rPr>
  </w:style>
  <w:style w:type="paragraph" w:styleId="Tekstprzypisukocowego">
    <w:name w:val="endnote text"/>
    <w:link w:val="TekstprzypisukocowegoZnak"/>
    <w:uiPriority w:val="99"/>
    <w:semiHidden/>
    <w:unhideWhenUsed/>
    <w:rsid w:val="00691E1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1E1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1E1D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1851E9"/>
    <w:rPr>
      <w:b/>
      <w:bCs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C01E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73795"/>
    <w:rPr>
      <w:color w:val="954F72" w:themeColor="followedHyperlink"/>
      <w:u w:val="single"/>
    </w:rPr>
  </w:style>
  <w:style w:type="character" w:customStyle="1" w:styleId="ui-provider">
    <w:name w:val="ui-provider"/>
    <w:basedOn w:val="Domylnaczcionkaakapitu"/>
    <w:rsid w:val="00447946"/>
  </w:style>
  <w:style w:type="character" w:customStyle="1" w:styleId="Wzmianka1">
    <w:name w:val="Wzmianka1"/>
    <w:basedOn w:val="Domylnaczcionkaakapitu"/>
    <w:uiPriority w:val="99"/>
    <w:unhideWhenUsed/>
    <w:rsid w:val="001A2121"/>
    <w:rPr>
      <w:color w:val="2B579A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F4454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7E46BD"/>
    <w:rPr>
      <w:color w:val="605E5C"/>
      <w:shd w:val="clear" w:color="auto" w:fill="E1DFDD"/>
    </w:rPr>
  </w:style>
  <w:style w:type="paragraph" w:styleId="NormalnyWeb">
    <w:name w:val="Normal (Web)"/>
    <w:uiPriority w:val="99"/>
    <w:unhideWhenUsed/>
    <w:rsid w:val="007E0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CC17AA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083877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B52242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9434D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up.com/about-u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.i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drianna.smug@goodonepr.p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cordis.europa.eu/programme/id/HORIZON_HORIZON-CL6-2024-CircBio-01-3" TargetMode="External"/><Relationship Id="rId1" Type="http://schemas.openxmlformats.org/officeDocument/2006/relationships/hyperlink" Target="https://knowledge.uli.org/-/media/files/research-reports/2022/fitting-out-spaces-for-net-zero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QPySkYMVx14Q2Z1YEgCRXprbRQ==">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82fa3fd3-029b-403d-91b4-1dc930cb0e60}" enabled="1" method="Standard" siteId="{4ae48b41-0137-4599-8661-fc641fe77b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1490</Words>
  <Characters>8946</Characters>
  <Application>Microsoft Office Word</Application>
  <DocSecurity>0</DocSecurity>
  <Lines>74</Lines>
  <Paragraphs>20</Paragraphs>
  <ScaleCrop>false</ScaleCrop>
  <Company/>
  <LinksUpToDate>false</LinksUpToDate>
  <CharactersWithSpaces>10416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GoodOnePR - Arek</dc:creator>
  <cp:keywords/>
  <cp:lastModifiedBy>Adrianna Smug</cp:lastModifiedBy>
  <cp:revision>2</cp:revision>
  <dcterms:created xsi:type="dcterms:W3CDTF">2026-08-26T14:16:00Z</dcterms:created>
  <dcterms:modified xsi:type="dcterms:W3CDTF">2026-08-26T14:16:00Z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2fa3fd3-029b-403d-91b4-1dc930cb0e60_Enabled">
    <vt:lpwstr>true</vt:lpwstr>
  </property>
  <property fmtid="{D5CDD505-2E9C-101B-9397-08002B2CF9AE}" pid="3" name="MSIP_Label_82fa3fd3-029b-403d-91b4-1dc930cb0e60_SetDate">
    <vt:lpwstr>2023-03-02T11:21:11Z</vt:lpwstr>
  </property>
  <property fmtid="{D5CDD505-2E9C-101B-9397-08002B2CF9AE}" pid="4" name="MSIP_Label_82fa3fd3-029b-403d-91b4-1dc930cb0e60_Method">
    <vt:lpwstr>Standard</vt:lpwstr>
  </property>
  <property fmtid="{D5CDD505-2E9C-101B-9397-08002B2CF9AE}" pid="5" name="MSIP_Label_82fa3fd3-029b-403d-91b4-1dc930cb0e60_Name">
    <vt:lpwstr>82fa3fd3-029b-403d-91b4-1dc930cb0e60</vt:lpwstr>
  </property>
  <property fmtid="{D5CDD505-2E9C-101B-9397-08002B2CF9AE}" pid="6" name="MSIP_Label_82fa3fd3-029b-403d-91b4-1dc930cb0e60_SiteId">
    <vt:lpwstr>4ae48b41-0137-4599-8661-fc641fe77bea</vt:lpwstr>
  </property>
  <property fmtid="{D5CDD505-2E9C-101B-9397-08002B2CF9AE}" pid="7" name="MSIP_Label_82fa3fd3-029b-403d-91b4-1dc930cb0e60_ActionId">
    <vt:lpwstr>81d76357-ea05-40d0-b009-145038cfe02a</vt:lpwstr>
  </property>
  <property fmtid="{D5CDD505-2E9C-101B-9397-08002B2CF9AE}" pid="8" name="MSIP_Label_82fa3fd3-029b-403d-91b4-1dc930cb0e60_ContentBits">
    <vt:lpwstr>0</vt:lpwstr>
  </property>
</Properties>
</file>