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6D37" w14:textId="77777777" w:rsidR="009026A9" w:rsidRDefault="00AF71E4">
      <w:pPr>
        <w:rPr>
          <w:rFonts w:ascii="Calibri" w:hAnsi="Calibri"/>
        </w:rPr>
      </w:pPr>
      <w:r>
        <w:rPr>
          <w:rFonts w:ascii="Calibri" w:hAnsi="Calibri"/>
        </w:rPr>
        <w:tab/>
      </w:r>
    </w:p>
    <w:p w14:paraId="715E6D38" w14:textId="26DE253B" w:rsidR="009026A9" w:rsidRDefault="00AF71E4">
      <w:pPr>
        <w:jc w:val="right"/>
        <w:rPr>
          <w:rFonts w:ascii="Calibri" w:hAnsi="Calibri"/>
        </w:rPr>
      </w:pPr>
      <w:r>
        <w:rPr>
          <w:rFonts w:ascii="Calibri" w:hAnsi="Calibri" w:cs="Calibri"/>
        </w:rPr>
        <w:t>Łódź, 26.08.2026 r.</w:t>
      </w:r>
    </w:p>
    <w:p w14:paraId="715E6D39" w14:textId="77777777" w:rsidR="009026A9" w:rsidRDefault="009026A9">
      <w:pPr>
        <w:jc w:val="both"/>
        <w:rPr>
          <w:rFonts w:ascii="Calibri" w:hAnsi="Calibri" w:cs="Calibri"/>
        </w:rPr>
      </w:pPr>
    </w:p>
    <w:p w14:paraId="715E6D3A" w14:textId="77777777" w:rsidR="009026A9" w:rsidRDefault="00AF71E4"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bCs/>
          <w:sz w:val="28"/>
          <w:szCs w:val="28"/>
        </w:rPr>
        <w:t>Budowa T17 w Łodzi postępuje zgodnie z harmonogramem. W ofercie pozostaje 40% apartamentów</w:t>
      </w:r>
    </w:p>
    <w:p w14:paraId="715E6D3B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  <w:b/>
          <w:bCs/>
        </w:rPr>
        <w:t>Budowa T17, łódzkiej inwestycji mieszkaniowej z segmentu luksusowego, wkracza w kolejną fazę. Trwają prace konstrukcyjno-zbrojeniowe, a generalny wykonawca kończy betonowanie płyty fundamentowej dwukondygnacyjnego garażu podziemnego. W ofercie pozostaje obecnie ok. 40% apartamentów. Zgodnie z przyjętym harmonogramem przekazywanie mieszkań zaplanowano na IV kwartał 2027 roku.</w:t>
      </w:r>
    </w:p>
    <w:p w14:paraId="715E6D3C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Prace budowlane przy ul. Tymienieckiego 17 w Łodzi rozpoczęły się w IV kwartale 2025 roku. Dotychczas koncentrowały się przede wszystkim na podziemnej części inwestycji, obejmującej dwukondygnacyjny garaż. Budynek został zabezpieczony z wykorzystaniem dwóch technologii </w:t>
      </w:r>
      <w:proofErr w:type="spellStart"/>
      <w:r>
        <w:rPr>
          <w:rFonts w:ascii="Calibri" w:hAnsi="Calibri" w:cs="Calibri"/>
        </w:rPr>
        <w:t>hydroizolacyjnych</w:t>
      </w:r>
      <w:proofErr w:type="spellEnd"/>
      <w:r>
        <w:rPr>
          <w:rFonts w:ascii="Calibri" w:hAnsi="Calibri" w:cs="Calibri"/>
        </w:rPr>
        <w:t xml:space="preserve"> – tzw. czarnej i białej wanny. Obecnie wykonawca kończy betonowanie płyty fundamentowej. Po jej zakończeniu rozpoczną się dalsze prace konstrukcyjno-zbrojeniowe, a wkrótce budowa będzie widoczna powyżej poziomu gruntu.</w:t>
      </w:r>
    </w:p>
    <w:p w14:paraId="715E6D3D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– </w:t>
      </w:r>
      <w:r>
        <w:rPr>
          <w:rFonts w:ascii="Calibri" w:hAnsi="Calibri" w:cs="Calibri"/>
          <w:i/>
          <w:iCs/>
        </w:rPr>
        <w:t xml:space="preserve">Za nami miesiące intensywnych prac prowadzonych przede wszystkim w podziemnej części inwestycji. Na stosunkowo wczesnym etapie budowy nabywców znalazło ponad 60% apartamentów, przy czym aktualna oferta pozostaje atrakcyjna i zróżnicowana. Od początku zależało nam na stworzeniu przemyślanej w każdym wymiarze inwestycji – od architektury i układów mieszkań, przez standard, po części wspólne i otoczenie. Wyniki sprzedaży pokazują, że klienci dostrzegają tę wartość. Jednocześnie harmonogram pozostaje bez zmian. Przekazywanie mieszkań właścicielom planujemy rozpocząć przed końcem 2027 roku – </w:t>
      </w:r>
      <w:r>
        <w:rPr>
          <w:rFonts w:ascii="Calibri" w:hAnsi="Calibri" w:cs="Calibri"/>
        </w:rPr>
        <w:t xml:space="preserve">mówi </w:t>
      </w:r>
      <w:r>
        <w:rPr>
          <w:rFonts w:ascii="Calibri" w:hAnsi="Calibri" w:cs="Calibri"/>
          <w:b/>
          <w:bCs/>
        </w:rPr>
        <w:t>Fryderyk Bojdo, członek zarządu T17 sp. z o.o.</w:t>
      </w:r>
    </w:p>
    <w:p w14:paraId="715E6D3E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T17 jest wspólnym przedsięwzięciem </w:t>
      </w:r>
      <w:proofErr w:type="spellStart"/>
      <w:r>
        <w:rPr>
          <w:rFonts w:ascii="Calibri" w:hAnsi="Calibri" w:cs="Calibri"/>
        </w:rPr>
        <w:t>Uniqum</w:t>
      </w:r>
      <w:proofErr w:type="spellEnd"/>
      <w:r>
        <w:rPr>
          <w:rFonts w:ascii="Calibri" w:hAnsi="Calibri" w:cs="Calibri"/>
        </w:rPr>
        <w:t xml:space="preserve"> i </w:t>
      </w:r>
      <w:proofErr w:type="spellStart"/>
      <w:r>
        <w:rPr>
          <w:rFonts w:ascii="Calibri" w:hAnsi="Calibri" w:cs="Calibri"/>
        </w:rPr>
        <w:t>Internity</w:t>
      </w:r>
      <w:proofErr w:type="spellEnd"/>
      <w:r>
        <w:rPr>
          <w:rFonts w:ascii="Calibri" w:hAnsi="Calibri" w:cs="Calibri"/>
        </w:rPr>
        <w:t xml:space="preserve">, które w ramach projektu połączyły kompetencje deweloperskie z doświadczeniem w projektowaniu i realizacji wnętrz z segmentu </w:t>
      </w:r>
      <w:proofErr w:type="spellStart"/>
      <w:r>
        <w:rPr>
          <w:rFonts w:ascii="Calibri" w:hAnsi="Calibri" w:cs="Calibri"/>
        </w:rPr>
        <w:t>premium</w:t>
      </w:r>
      <w:proofErr w:type="spellEnd"/>
      <w:r>
        <w:rPr>
          <w:rFonts w:ascii="Calibri" w:hAnsi="Calibri" w:cs="Calibri"/>
        </w:rPr>
        <w:t xml:space="preserve"> i luksusowego.</w:t>
      </w:r>
    </w:p>
    <w:p w14:paraId="715E6D3F" w14:textId="77777777" w:rsidR="009026A9" w:rsidRDefault="00AF71E4">
      <w:pPr>
        <w:jc w:val="both"/>
        <w:rPr>
          <w:rFonts w:ascii="Calibri" w:hAnsi="Calibri"/>
        </w:rPr>
      </w:pPr>
      <w:proofErr w:type="spellStart"/>
      <w:r>
        <w:rPr>
          <w:rFonts w:ascii="Calibri" w:hAnsi="Calibri" w:cs="Calibri"/>
          <w:b/>
          <w:bCs/>
        </w:rPr>
        <w:t>FineTech</w:t>
      </w:r>
      <w:proofErr w:type="spellEnd"/>
      <w:r>
        <w:rPr>
          <w:rFonts w:ascii="Calibri" w:hAnsi="Calibri" w:cs="Calibri"/>
          <w:b/>
          <w:bCs/>
        </w:rPr>
        <w:t xml:space="preserve"> Construction nowym generalnym wykonawcą T17</w:t>
      </w:r>
    </w:p>
    <w:p w14:paraId="715E6D40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W ostatnich miesiącach inwestor przeprowadził również zmianę generalnego wykonawcy. Realizację T17 przejęła firma </w:t>
      </w:r>
      <w:proofErr w:type="spellStart"/>
      <w:r>
        <w:rPr>
          <w:rFonts w:ascii="Calibri" w:hAnsi="Calibri" w:cs="Calibri"/>
        </w:rPr>
        <w:t>FineTech</w:t>
      </w:r>
      <w:proofErr w:type="spellEnd"/>
      <w:r>
        <w:rPr>
          <w:rFonts w:ascii="Calibri" w:hAnsi="Calibri" w:cs="Calibri"/>
        </w:rPr>
        <w:t xml:space="preserve"> Construction (FTC). Proces zmiany wykonawcy był prowadzony przy równoległej kontynuacji prac budowlanych, a zakładany termin zakończenia budowy pozostaje aktualny.</w:t>
      </w:r>
    </w:p>
    <w:p w14:paraId="715E6D41" w14:textId="77777777" w:rsidR="009026A9" w:rsidRDefault="00AF71E4">
      <w:pPr>
        <w:jc w:val="both"/>
        <w:rPr>
          <w:rFonts w:ascii="Calibri" w:hAnsi="Calibri"/>
        </w:rPr>
      </w:pPr>
      <w:proofErr w:type="spellStart"/>
      <w:r>
        <w:rPr>
          <w:rFonts w:ascii="Calibri" w:hAnsi="Calibri" w:cs="Calibri"/>
        </w:rPr>
        <w:t>FineTech</w:t>
      </w:r>
      <w:proofErr w:type="spellEnd"/>
      <w:r>
        <w:rPr>
          <w:rFonts w:ascii="Calibri" w:hAnsi="Calibri" w:cs="Calibri"/>
        </w:rPr>
        <w:t xml:space="preserve"> Construction działa na polskim rynku od 2017 roku i ma na koncie ponad 100 zrealizowanych inwestycji. Firma specjalizuje się w realizacji obiektów kubaturowych, w tym projektów mieszkaniowych oraz rewitalizacji. W Łodzi odpowiadała m.in. za realizację budynku NOW z ponad 300 mieszkaniami, rewitalizację dawnej Fabryki Teodora </w:t>
      </w:r>
      <w:proofErr w:type="spellStart"/>
      <w:r>
        <w:rPr>
          <w:rFonts w:ascii="Calibri" w:hAnsi="Calibri" w:cs="Calibri"/>
        </w:rPr>
        <w:t>Meyerhoffa</w:t>
      </w:r>
      <w:proofErr w:type="spellEnd"/>
      <w:r>
        <w:rPr>
          <w:rFonts w:ascii="Calibri" w:hAnsi="Calibri" w:cs="Calibri"/>
        </w:rPr>
        <w:t xml:space="preserve"> w ramach projektu ŁÓDŹ.WORK oraz </w:t>
      </w:r>
      <w:proofErr w:type="spellStart"/>
      <w:r>
        <w:rPr>
          <w:rFonts w:ascii="Calibri" w:hAnsi="Calibri" w:cs="Calibri"/>
        </w:rPr>
        <w:t>Waterlane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Vibe</w:t>
      </w:r>
      <w:proofErr w:type="spellEnd"/>
      <w:r>
        <w:rPr>
          <w:rFonts w:ascii="Calibri" w:hAnsi="Calibri" w:cs="Calibri"/>
        </w:rPr>
        <w:t xml:space="preserve"> przy ul. Żeligowskiego.</w:t>
      </w:r>
    </w:p>
    <w:p w14:paraId="715E6D42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  <w:b/>
          <w:bCs/>
        </w:rPr>
        <w:t>Dostępna oferta apartamentów</w:t>
      </w:r>
    </w:p>
    <w:p w14:paraId="715E6D43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lastRenderedPageBreak/>
        <w:t>W T17 dostępnych pozostaje ponad 20 apartamentów spośród wszystkich zaprojektowanych w inwestycji. Oferta obejmuje lokale o zróżnicowanych metrażach, układach i położeniu w budynku, dzięki czemu klienci nadal mogą wybierać mieszkania odpowiadające różnym potrzebom i stylowi życia.</w:t>
      </w:r>
    </w:p>
    <w:p w14:paraId="715E6D44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Wszyscy mieszkańcy będą mieli dostęp do rozbudowanej infrastruktury wspólnej, która stanowi jeden z kluczowych wyróżników projektu. Obejmuje ona prywatny basen, strefę </w:t>
      </w:r>
      <w:proofErr w:type="spellStart"/>
      <w:r>
        <w:rPr>
          <w:rFonts w:ascii="Calibri" w:hAnsi="Calibri" w:cs="Calibri"/>
        </w:rPr>
        <w:t>wellness</w:t>
      </w:r>
      <w:proofErr w:type="spellEnd"/>
      <w:r>
        <w:rPr>
          <w:rFonts w:ascii="Calibri" w:hAnsi="Calibri" w:cs="Calibri"/>
        </w:rPr>
        <w:t>, studio fitness, salę kinową oraz przestrzeń klubową z biblioteką. Do dyspozycji mieszkańców przewidziano również 100 miejsc postojowych w dwukondygnacyjnym garażu podziemnym.</w:t>
      </w:r>
    </w:p>
    <w:p w14:paraId="715E6D45" w14:textId="6E086D26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– </w:t>
      </w:r>
      <w:r>
        <w:rPr>
          <w:rFonts w:ascii="Calibri" w:hAnsi="Calibri" w:cs="Calibri"/>
          <w:i/>
          <w:iCs/>
        </w:rPr>
        <w:t xml:space="preserve">Rozmowy z klientami T17 potwierdzają, że przy wyborze luksusowego apartamentu coraz większe znaczenie ma nie tylko jego estetyka czy standard wykończenia, ale przede wszystkim funkcjonalność wnętrza i możliwość dopasowania go do indywidualnych potrzeb. To obszar, którego znaczenie od początku podkreślaliśmy przy tworzeniu inwestycji wspólnie z </w:t>
      </w:r>
      <w:proofErr w:type="spellStart"/>
      <w:r>
        <w:rPr>
          <w:rFonts w:ascii="Calibri" w:hAnsi="Calibri" w:cs="Calibri"/>
          <w:i/>
          <w:iCs/>
        </w:rPr>
        <w:t>Uniqum</w:t>
      </w:r>
      <w:proofErr w:type="spellEnd"/>
      <w:r>
        <w:rPr>
          <w:rFonts w:ascii="Calibri" w:hAnsi="Calibri" w:cs="Calibri"/>
          <w:i/>
          <w:iCs/>
        </w:rPr>
        <w:t xml:space="preserve"> i Konior Studio. Projektując mieszkania, myśleliśmy przede wszystkim o tym, jak będzie się w nich żyło na co dzień, jak wykorzystana zostanie przestrzeń, jak odpowie na potrzeby mieszkańców i jaki komfort im zapewni. Tak rozumiemy </w:t>
      </w:r>
      <w:proofErr w:type="spellStart"/>
      <w:r>
        <w:rPr>
          <w:rFonts w:ascii="Calibri" w:hAnsi="Calibri" w:cs="Calibri"/>
          <w:i/>
          <w:iCs/>
        </w:rPr>
        <w:t>wellbeing</w:t>
      </w:r>
      <w:proofErr w:type="spellEnd"/>
      <w:r>
        <w:rPr>
          <w:rFonts w:ascii="Calibri" w:hAnsi="Calibri" w:cs="Calibri"/>
          <w:i/>
          <w:iCs/>
        </w:rPr>
        <w:t xml:space="preserve"> w nieruchomościach </w:t>
      </w:r>
      <w:proofErr w:type="spellStart"/>
      <w:r>
        <w:rPr>
          <w:rFonts w:ascii="Calibri" w:hAnsi="Calibri" w:cs="Calibri"/>
          <w:i/>
          <w:iCs/>
        </w:rPr>
        <w:t>premium</w:t>
      </w:r>
      <w:proofErr w:type="spellEnd"/>
      <w:r>
        <w:rPr>
          <w:rFonts w:ascii="Calibri" w:hAnsi="Calibri" w:cs="Calibri"/>
          <w:i/>
          <w:iCs/>
        </w:rPr>
        <w:t>. Nie jako estetyczną deklarację, ale jako realną jakość życia wynikającą z przemyślanego projektu. Dotychczasowe reakcje klientów pokazują, że ten sposób myślenia o T17 jest przez nich dostrzegany i doceniany</w:t>
      </w:r>
      <w:r>
        <w:rPr>
          <w:rFonts w:ascii="Calibri" w:hAnsi="Calibri" w:cs="Calibri"/>
        </w:rPr>
        <w:t xml:space="preserve"> – mówi </w:t>
      </w:r>
      <w:r w:rsidRPr="00E20C31">
        <w:rPr>
          <w:rFonts w:ascii="Calibri" w:hAnsi="Calibri" w:cs="Calibri"/>
          <w:b/>
          <w:bCs/>
        </w:rPr>
        <w:t xml:space="preserve">Piotr Grupiński, prezes </w:t>
      </w:r>
      <w:proofErr w:type="spellStart"/>
      <w:r w:rsidRPr="00E20C31">
        <w:rPr>
          <w:rFonts w:ascii="Calibri" w:hAnsi="Calibri" w:cs="Calibri"/>
          <w:b/>
          <w:bCs/>
        </w:rPr>
        <w:t>Internity</w:t>
      </w:r>
      <w:proofErr w:type="spellEnd"/>
      <w:r w:rsidRPr="00E20C31">
        <w:rPr>
          <w:rFonts w:ascii="Calibri" w:hAnsi="Calibri" w:cs="Calibri"/>
          <w:b/>
          <w:bCs/>
        </w:rPr>
        <w:t xml:space="preserve"> S.A</w:t>
      </w:r>
      <w:r>
        <w:rPr>
          <w:rFonts w:ascii="Calibri" w:hAnsi="Calibri" w:cs="Calibri"/>
        </w:rPr>
        <w:t>.</w:t>
      </w:r>
    </w:p>
    <w:p w14:paraId="715E6D46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  <w:b/>
          <w:bCs/>
        </w:rPr>
        <w:t>Zielone otoczenie T17</w:t>
      </w:r>
    </w:p>
    <w:p w14:paraId="715E6D47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>T17 powstaje w historycznym otoczeniu łódzkiego Księżego Młyna. Za projekt architektoniczny odpowiada Tomasz Konior wraz z zespołem Konior Studio. Kameralną zabudowę wyróżniają m.in. ponadstandardowa wysokość apartamentów i duże przeszklenia.</w:t>
      </w:r>
    </w:p>
    <w:p w14:paraId="715E6D48" w14:textId="77777777" w:rsidR="009026A9" w:rsidRDefault="00AF71E4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Istotną częścią projektu jest jego zielone otoczenie. We współpracy z Miastem Łódź inwestor planuje zrealizować z własnych środków ogólnodostępny skwer o powierzchni ponad 3 tys. mkw. Na terenie inwestycji zachowany zostanie istniejący szpaler starych drzew, uzupełniony o kilkadziesiąt nowych </w:t>
      </w:r>
      <w:proofErr w:type="spellStart"/>
      <w:r>
        <w:rPr>
          <w:rFonts w:ascii="Calibri" w:hAnsi="Calibri" w:cs="Calibri"/>
        </w:rPr>
        <w:t>nasadzeń</w:t>
      </w:r>
      <w:proofErr w:type="spellEnd"/>
      <w:r>
        <w:rPr>
          <w:rFonts w:ascii="Calibri" w:hAnsi="Calibri" w:cs="Calibri"/>
        </w:rPr>
        <w:t>. Zmienia się również bezpośrednie sąsiedztwo T17. W parku im. Kilińskiego trwa ostatni etap prac związanych z przywróceniem na powierzchnię rzeki Lamus.</w:t>
      </w:r>
    </w:p>
    <w:sectPr w:rsidR="00902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6D59" w14:textId="77777777" w:rsidR="00AF71E4" w:rsidRDefault="00AF71E4">
      <w:pPr>
        <w:spacing w:after="0" w:line="240" w:lineRule="auto"/>
      </w:pPr>
      <w:r>
        <w:separator/>
      </w:r>
    </w:p>
  </w:endnote>
  <w:endnote w:type="continuationSeparator" w:id="0">
    <w:p w14:paraId="715E6D5B" w14:textId="77777777" w:rsidR="00AF71E4" w:rsidRDefault="00AF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4B" w14:textId="77777777" w:rsidR="009026A9" w:rsidRDefault="009026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4C" w14:textId="77777777" w:rsidR="009026A9" w:rsidRDefault="00AF71E4">
    <w:pPr>
      <w:pStyle w:val="paragraph"/>
      <w:spacing w:beforeAutospacing="0" w:after="0" w:afterAutospacing="0"/>
      <w:jc w:val="both"/>
      <w:textAlignment w:val="baseline"/>
      <w:rPr>
        <w:rFonts w:ascii="Calibri" w:hAnsi="Calibri" w:cs="Calibri"/>
        <w:sz w:val="18"/>
        <w:szCs w:val="18"/>
      </w:rPr>
    </w:pPr>
    <w:r>
      <w:rPr>
        <w:rStyle w:val="normaltextrun"/>
        <w:rFonts w:ascii="Calibri" w:eastAsiaTheme="majorEastAsia" w:hAnsi="Calibri" w:cs="Calibri"/>
        <w:b/>
        <w:bCs/>
        <w:sz w:val="18"/>
        <w:szCs w:val="18"/>
      </w:rPr>
      <w:t>Kontakt dla mediów:</w:t>
    </w:r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4D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  <w:sz w:val="18"/>
        <w:szCs w:val="18"/>
      </w:rPr>
    </w:pPr>
    <w:r>
      <w:rPr>
        <w:rStyle w:val="normaltextrun"/>
        <w:rFonts w:ascii="Calibri" w:eastAsiaTheme="majorEastAsia" w:hAnsi="Calibri" w:cs="Calibri"/>
        <w:sz w:val="18"/>
        <w:szCs w:val="18"/>
      </w:rPr>
      <w:t>Piotr Ostrowski</w:t>
    </w:r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4E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  <w:sz w:val="18"/>
        <w:szCs w:val="18"/>
      </w:rPr>
    </w:pPr>
    <w:hyperlink r:id="rId1" w:tgtFrame="_blank">
      <w:r>
        <w:rPr>
          <w:rFonts w:ascii="Calibri" w:eastAsiaTheme="majorEastAsia" w:hAnsi="Calibri" w:cs="Calibri"/>
          <w:color w:val="0563C1"/>
          <w:sz w:val="18"/>
          <w:szCs w:val="18"/>
          <w:u w:val="single"/>
        </w:rPr>
        <w:t>piotr.ostrowski@38pr.pl</w:t>
      </w:r>
    </w:hyperlink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4F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</w:rPr>
    </w:pPr>
    <w:r>
      <w:rPr>
        <w:rStyle w:val="normaltextrun"/>
        <w:rFonts w:ascii="Calibri" w:eastAsiaTheme="majorEastAsia" w:hAnsi="Calibri" w:cs="Calibri"/>
        <w:sz w:val="18"/>
        <w:szCs w:val="18"/>
      </w:rPr>
      <w:t>tel. +48 502 457 511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51" w14:textId="77777777" w:rsidR="009026A9" w:rsidRDefault="00AF71E4">
    <w:pPr>
      <w:pStyle w:val="paragraph"/>
      <w:spacing w:beforeAutospacing="0" w:after="0" w:afterAutospacing="0"/>
      <w:jc w:val="both"/>
      <w:textAlignment w:val="baseline"/>
      <w:rPr>
        <w:rFonts w:ascii="Calibri" w:hAnsi="Calibri" w:cs="Calibri"/>
        <w:sz w:val="18"/>
        <w:szCs w:val="18"/>
      </w:rPr>
    </w:pPr>
    <w:r>
      <w:rPr>
        <w:rStyle w:val="normaltextrun"/>
        <w:rFonts w:ascii="Calibri" w:eastAsiaTheme="majorEastAsia" w:hAnsi="Calibri" w:cs="Calibri"/>
        <w:b/>
        <w:bCs/>
        <w:sz w:val="18"/>
        <w:szCs w:val="18"/>
      </w:rPr>
      <w:t>Kontakt dla mediów:</w:t>
    </w:r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52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  <w:sz w:val="18"/>
        <w:szCs w:val="18"/>
      </w:rPr>
    </w:pPr>
    <w:r>
      <w:rPr>
        <w:rStyle w:val="normaltextrun"/>
        <w:rFonts w:ascii="Calibri" w:eastAsiaTheme="majorEastAsia" w:hAnsi="Calibri" w:cs="Calibri"/>
        <w:sz w:val="18"/>
        <w:szCs w:val="18"/>
      </w:rPr>
      <w:t>Piotr Ostrowski</w:t>
    </w:r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53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  <w:sz w:val="18"/>
        <w:szCs w:val="18"/>
      </w:rPr>
    </w:pPr>
    <w:hyperlink r:id="rId1" w:tgtFrame="_blank">
      <w:r>
        <w:rPr>
          <w:rFonts w:ascii="Calibri" w:eastAsiaTheme="majorEastAsia" w:hAnsi="Calibri" w:cs="Calibri"/>
          <w:color w:val="0563C1"/>
          <w:sz w:val="18"/>
          <w:szCs w:val="18"/>
          <w:u w:val="single"/>
        </w:rPr>
        <w:t>piotr.ostrowski@38pr.pl</w:t>
      </w:r>
    </w:hyperlink>
    <w:r>
      <w:rPr>
        <w:rStyle w:val="eop"/>
        <w:rFonts w:ascii="Calibri" w:eastAsiaTheme="majorEastAsia" w:hAnsi="Calibri" w:cs="Calibri"/>
        <w:sz w:val="18"/>
        <w:szCs w:val="18"/>
      </w:rPr>
      <w:t> </w:t>
    </w:r>
  </w:p>
  <w:p w14:paraId="715E6D54" w14:textId="77777777" w:rsidR="009026A9" w:rsidRDefault="00AF71E4">
    <w:pPr>
      <w:pStyle w:val="paragraph"/>
      <w:spacing w:beforeAutospacing="0" w:after="0" w:afterAutospacing="0"/>
      <w:textAlignment w:val="baseline"/>
      <w:rPr>
        <w:rFonts w:ascii="Calibri" w:hAnsi="Calibri" w:cs="Calibri"/>
      </w:rPr>
    </w:pPr>
    <w:r>
      <w:rPr>
        <w:rStyle w:val="normaltextrun"/>
        <w:rFonts w:ascii="Calibri" w:eastAsiaTheme="majorEastAsia" w:hAnsi="Calibri" w:cs="Calibri"/>
        <w:sz w:val="18"/>
        <w:szCs w:val="18"/>
      </w:rPr>
      <w:t>tel. +48 502 457 511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6D55" w14:textId="77777777" w:rsidR="00AF71E4" w:rsidRDefault="00AF71E4">
      <w:pPr>
        <w:spacing w:after="0" w:line="240" w:lineRule="auto"/>
      </w:pPr>
      <w:r>
        <w:separator/>
      </w:r>
    </w:p>
  </w:footnote>
  <w:footnote w:type="continuationSeparator" w:id="0">
    <w:p w14:paraId="715E6D57" w14:textId="77777777" w:rsidR="00AF71E4" w:rsidRDefault="00AF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49" w14:textId="77777777" w:rsidR="009026A9" w:rsidRDefault="009026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4A" w14:textId="77777777" w:rsidR="009026A9" w:rsidRDefault="00AF71E4">
    <w:pPr>
      <w:pStyle w:val="Nagwek"/>
      <w:jc w:val="center"/>
    </w:pPr>
    <w:r>
      <w:rPr>
        <w:noProof/>
      </w:rPr>
      <w:drawing>
        <wp:inline distT="0" distB="0" distL="0" distR="0" wp14:anchorId="715E6D55" wp14:editId="715E6D56">
          <wp:extent cx="685800" cy="819150"/>
          <wp:effectExtent l="0" t="0" r="0" b="0"/>
          <wp:docPr id="1" name="Obraz 1" descr="Obraz zawierający symbol, Czcionka, logo, godł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Czcionka, logo, godł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6D50" w14:textId="77777777" w:rsidR="009026A9" w:rsidRDefault="00AF71E4">
    <w:pPr>
      <w:pStyle w:val="Nagwek"/>
      <w:jc w:val="center"/>
    </w:pPr>
    <w:r>
      <w:rPr>
        <w:noProof/>
      </w:rPr>
      <w:drawing>
        <wp:inline distT="0" distB="0" distL="0" distR="0" wp14:anchorId="715E6D57" wp14:editId="715E6D58">
          <wp:extent cx="685800" cy="819150"/>
          <wp:effectExtent l="0" t="0" r="0" b="0"/>
          <wp:docPr id="2" name="Obraz 1" descr="Obraz zawierający symbol, Czcionka, logo, godł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symbol, Czcionka, logo, godł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A9"/>
    <w:rsid w:val="009026A9"/>
    <w:rsid w:val="00AF71E4"/>
    <w:rsid w:val="00E20C31"/>
    <w:rsid w:val="00EF051D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6D37"/>
  <w15:docId w15:val="{49248855-65E5-4109-9D58-7DE85E7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F5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F5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F5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F5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5F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F5F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F5F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F5F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F5F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F5FD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F5FD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F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F5FD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F5FDE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F5F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FDE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A6417"/>
  </w:style>
  <w:style w:type="character" w:customStyle="1" w:styleId="StopkaZnak">
    <w:name w:val="Stopka Znak"/>
    <w:basedOn w:val="Domylnaczcionkaakapitu"/>
    <w:link w:val="Stopka"/>
    <w:uiPriority w:val="99"/>
    <w:qFormat/>
    <w:rsid w:val="005A6417"/>
  </w:style>
  <w:style w:type="character" w:customStyle="1" w:styleId="normaltextrun">
    <w:name w:val="normaltextrun"/>
    <w:basedOn w:val="Domylnaczcionkaakapitu"/>
    <w:qFormat/>
    <w:rsid w:val="003B69A3"/>
  </w:style>
  <w:style w:type="character" w:customStyle="1" w:styleId="eop">
    <w:name w:val="eop"/>
    <w:basedOn w:val="Domylnaczcionkaakapitu"/>
    <w:qFormat/>
    <w:rsid w:val="003B69A3"/>
  </w:style>
  <w:style w:type="character" w:styleId="Hipercze">
    <w:name w:val="Hyperlink"/>
    <w:basedOn w:val="Domylnaczcionkaakapitu"/>
    <w:uiPriority w:val="99"/>
    <w:unhideWhenUsed/>
    <w:rsid w:val="009C05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C052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052C"/>
    <w:rPr>
      <w:color w:val="96607D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25D73"/>
    <w:rPr>
      <w:sz w:val="20"/>
      <w:szCs w:val="20"/>
    </w:rPr>
  </w:style>
  <w:style w:type="character" w:customStyle="1" w:styleId="Znakiprzypiswdolnychuser">
    <w:name w:val="Znaki przypisów dolnych (user)"/>
    <w:basedOn w:val="Domylnaczcionkaakapitu"/>
    <w:uiPriority w:val="99"/>
    <w:semiHidden/>
    <w:unhideWhenUsed/>
    <w:qFormat/>
    <w:rsid w:val="00F25D73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Numerwiersza">
    <w:name w:val="line number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46A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46A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46A9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A64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0F5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FD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FD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A641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aragraph">
    <w:name w:val="paragraph"/>
    <w:basedOn w:val="Normalny"/>
    <w:qFormat/>
    <w:rsid w:val="003B69A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uiPriority w:val="99"/>
    <w:semiHidden/>
    <w:qFormat/>
    <w:rsid w:val="0020064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5D73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6A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46A9"/>
    <w:rPr>
      <w:b/>
      <w:bCs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otr.ostrowski@38pr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iotr.ostrowski@38pr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D2BA-31EE-4B8E-AF63-3A6BD42F3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2</Pages>
  <Words>695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Ostrowski</dc:creator>
  <dc:description/>
  <cp:lastModifiedBy>Ostrowski, Piotr</cp:lastModifiedBy>
  <cp:revision>190</cp:revision>
  <dcterms:created xsi:type="dcterms:W3CDTF">2025-11-06T09:07:00Z</dcterms:created>
  <dcterms:modified xsi:type="dcterms:W3CDTF">2026-08-26T11:22:00Z</dcterms:modified>
  <dc:language>pl-PL</dc:language>
</cp:coreProperties>
</file>