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7E82" w14:textId="502EFC6D" w:rsidR="00D763C9" w:rsidRDefault="00C66D98" w:rsidP="00D8477D">
      <w:r w:rsidRPr="00C66D98">
        <w:rPr>
          <w:noProof/>
        </w:rPr>
        <mc:AlternateContent>
          <mc:Choice Requires="wps">
            <w:drawing>
              <wp:anchor distT="0" distB="0" distL="114300" distR="114300" simplePos="0" relativeHeight="251658240" behindDoc="0" locked="0" layoutInCell="1" allowOverlap="1" wp14:anchorId="79F3970F" wp14:editId="48B2DE3A">
                <wp:simplePos x="0" y="0"/>
                <wp:positionH relativeFrom="margin">
                  <wp:align>center</wp:align>
                </wp:positionH>
                <wp:positionV relativeFrom="paragraph">
                  <wp:posOffset>3175</wp:posOffset>
                </wp:positionV>
                <wp:extent cx="659958" cy="330200"/>
                <wp:effectExtent l="0" t="0" r="6985" b="0"/>
                <wp:wrapNone/>
                <wp:docPr id="6" name="Rounded Rectangle">
                  <a:extLst xmlns:a="http://schemas.openxmlformats.org/drawingml/2006/main">
                    <a:ext uri="{FF2B5EF4-FFF2-40B4-BE49-F238E27FC236}">
                      <a16:creationId xmlns:a16="http://schemas.microsoft.com/office/drawing/2014/main" id="{FAD25626-EF60-4A21-BFC4-2A00B0CE03C5}"/>
                    </a:ext>
                  </a:extLst>
                </wp:docPr>
                <wp:cNvGraphicFramePr/>
                <a:graphic xmlns:a="http://schemas.openxmlformats.org/drawingml/2006/main">
                  <a:graphicData uri="http://schemas.microsoft.com/office/word/2010/wordprocessingShape">
                    <wps:wsp>
                      <wps:cNvSpPr/>
                      <wps:spPr>
                        <a:xfrm>
                          <a:off x="0" y="0"/>
                          <a:ext cx="659958" cy="330200"/>
                        </a:xfrm>
                        <a:prstGeom prst="roundRect">
                          <a:avLst>
                            <a:gd name="adj" fmla="val 50000"/>
                          </a:avLst>
                        </a:prstGeom>
                        <a:solidFill>
                          <a:srgbClr val="0195C7"/>
                        </a:solidFill>
                        <a:ln w="12700">
                          <a:miter lim="400000"/>
                        </a:ln>
                      </wps:spPr>
                      <wps:txbx>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wps:txbx>
                      <wps:bodyPr wrap="square" lIns="50800" tIns="50800" rIns="50800" bIns="50800" anchor="ctr">
                        <a:noAutofit/>
                      </wps:bodyPr>
                    </wps:wsp>
                  </a:graphicData>
                </a:graphic>
                <wp14:sizeRelH relativeFrom="margin">
                  <wp14:pctWidth>0</wp14:pctWidth>
                </wp14:sizeRelH>
                <wp14:sizeRelV relativeFrom="margin">
                  <wp14:pctHeight>0</wp14:pctHeight>
                </wp14:sizeRelV>
              </wp:anchor>
            </w:drawing>
          </mc:Choice>
          <mc:Fallback>
            <w:pict>
              <v:roundrect w14:anchorId="79F3970F" id="Rounded Rectangle" o:spid="_x0000_s1026" style="position:absolute;margin-left:0;margin-top:.25pt;width:51.95pt;height: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" fillcolor="#0195c7" stroked="f" strokeweight="1pt">
                <v:stroke miterlimit="4" joinstyle="miter"/>
                <v:textbox inset="4pt,4pt,4pt,4pt">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v:textbox>
                <w10:wrap anchorx="margin"/>
              </v:roundrect>
            </w:pict>
          </mc:Fallback>
        </mc:AlternateContent>
      </w:r>
    </w:p>
    <w:p w14:paraId="75CC24E3" w14:textId="77777777" w:rsidR="00D8477D" w:rsidRPr="00D8477D" w:rsidRDefault="00D8477D" w:rsidP="00D8477D"/>
    <w:p w14:paraId="79B66241" w14:textId="77777777" w:rsidR="0054615E" w:rsidRDefault="0032632B" w:rsidP="00DF2C62">
      <w:pPr>
        <w:spacing w:after="80" w:line="264" w:lineRule="auto"/>
        <w:jc w:val="center"/>
        <w:rPr>
          <w:rFonts w:ascii="Microsoft PhagsPa" w:eastAsia="Microsoft JhengHei UI" w:hAnsi="Microsoft PhagsPa"/>
          <w:b/>
          <w:bCs/>
          <w:color w:val="0195C7"/>
          <w:sz w:val="40"/>
          <w:szCs w:val="40"/>
          <w:lang w:val="pt-PT"/>
        </w:rPr>
      </w:pPr>
      <w:r w:rsidRPr="0032632B">
        <w:rPr>
          <w:rFonts w:ascii="Microsoft PhagsPa" w:eastAsia="Microsoft JhengHei UI" w:hAnsi="Microsoft PhagsPa"/>
          <w:b/>
          <w:bCs/>
          <w:color w:val="0195C7"/>
          <w:sz w:val="40"/>
          <w:szCs w:val="40"/>
          <w:lang w:val="pt-PT"/>
        </w:rPr>
        <w:t xml:space="preserve">Regresso às aulas: </w:t>
      </w:r>
    </w:p>
    <w:p w14:paraId="324B1A98" w14:textId="5091855F" w:rsidR="00C66D98" w:rsidRDefault="0032632B" w:rsidP="00DF2C62">
      <w:pPr>
        <w:spacing w:after="80" w:line="264" w:lineRule="auto"/>
        <w:jc w:val="center"/>
        <w:rPr>
          <w:rFonts w:ascii="Microsoft PhagsPa" w:eastAsia="Microsoft JhengHei UI" w:hAnsi="Microsoft PhagsPa"/>
          <w:b/>
          <w:bCs/>
          <w:color w:val="0195C7"/>
          <w:sz w:val="40"/>
          <w:szCs w:val="40"/>
          <w:lang w:val="pt-PT"/>
        </w:rPr>
      </w:pPr>
      <w:r w:rsidRPr="0032632B">
        <w:rPr>
          <w:rFonts w:ascii="Microsoft PhagsPa" w:eastAsia="Microsoft JhengHei UI" w:hAnsi="Microsoft PhagsPa"/>
          <w:b/>
          <w:bCs/>
          <w:color w:val="0195C7"/>
          <w:sz w:val="40"/>
          <w:szCs w:val="40"/>
          <w:lang w:val="pt-PT"/>
        </w:rPr>
        <w:t>8 despesas a antecipar</w:t>
      </w:r>
    </w:p>
    <w:p w14:paraId="25697B2D" w14:textId="77777777" w:rsidR="00DF7F0D" w:rsidRDefault="00DF7F0D" w:rsidP="00DF7F0D">
      <w:pPr>
        <w:spacing w:after="240" w:line="360" w:lineRule="auto"/>
        <w:ind w:left="357"/>
        <w:jc w:val="both"/>
        <w:rPr>
          <w:rFonts w:ascii="Microsoft PhagsPa" w:eastAsia="Microsoft JhengHei UI" w:hAnsi="Microsoft PhagsPa"/>
          <w:sz w:val="22"/>
          <w:szCs w:val="22"/>
          <w:lang w:val="pt-PT"/>
        </w:rPr>
      </w:pPr>
    </w:p>
    <w:p w14:paraId="475E1D5B" w14:textId="77777777" w:rsidR="0032632B" w:rsidRPr="0032632B" w:rsidRDefault="0032632B" w:rsidP="0032632B">
      <w:pPr>
        <w:spacing w:after="240" w:line="360" w:lineRule="auto"/>
        <w:ind w:left="357"/>
        <w:jc w:val="both"/>
        <w:rPr>
          <w:rFonts w:ascii="Microsoft PhagsPa" w:eastAsia="Microsoft JhengHei UI" w:hAnsi="Microsoft PhagsPa"/>
          <w:sz w:val="22"/>
          <w:szCs w:val="22"/>
          <w:lang w:val="pt-PT"/>
        </w:rPr>
      </w:pPr>
      <w:r w:rsidRPr="0032632B">
        <w:rPr>
          <w:rFonts w:ascii="Microsoft PhagsPa" w:eastAsia="Microsoft JhengHei UI" w:hAnsi="Microsoft PhagsPa"/>
          <w:sz w:val="22"/>
          <w:szCs w:val="22"/>
          <w:lang w:val="pt-PT"/>
        </w:rPr>
        <w:t>O regresso às aulas concentra uma parte relevante das despesas escolares, mas o impacto no orçamento familiar não se esgota em setembro. Ao longo do ano somam-se encargos com refeições, CAF ou ATL, atividades extracurriculares, visitas de estudo e substituição de material, além de compras pontuais de equipamento.</w:t>
      </w:r>
    </w:p>
    <w:p w14:paraId="08FA2070" w14:textId="77777777" w:rsidR="0032632B" w:rsidRPr="0032632B" w:rsidRDefault="0032632B" w:rsidP="0032632B">
      <w:pPr>
        <w:spacing w:after="240" w:line="360" w:lineRule="auto"/>
        <w:ind w:left="357"/>
        <w:jc w:val="both"/>
        <w:rPr>
          <w:rFonts w:ascii="Microsoft PhagsPa" w:eastAsia="Microsoft JhengHei UI" w:hAnsi="Microsoft PhagsPa"/>
          <w:sz w:val="22"/>
          <w:szCs w:val="22"/>
          <w:lang w:val="pt-PT"/>
        </w:rPr>
      </w:pPr>
      <w:r w:rsidRPr="0032632B">
        <w:rPr>
          <w:rFonts w:ascii="Microsoft PhagsPa" w:eastAsia="Microsoft JhengHei UI" w:hAnsi="Microsoft PhagsPa"/>
          <w:sz w:val="22"/>
          <w:szCs w:val="22"/>
          <w:lang w:val="pt-PT"/>
        </w:rPr>
        <w:t>Num cenário de referência para um aluno do ensino público, o custo anual pode aproximar-se dos 1.500 euros quando são incluídos CAF e atividades extracurriculares. Sem estes dois encargos, a estimativa desce para cerca de 570 euros por ano. Os valores variam de acordo com o ciclo de ensino, as necessidades do aluno, os apoios disponíveis e as escolhas de cada família.</w:t>
      </w:r>
    </w:p>
    <w:p w14:paraId="26AA7420" w14:textId="10850177" w:rsidR="002F5B37" w:rsidRDefault="0032632B" w:rsidP="00D763C9">
      <w:pPr>
        <w:spacing w:after="240" w:line="360" w:lineRule="auto"/>
        <w:ind w:left="357"/>
        <w:jc w:val="both"/>
        <w:rPr>
          <w:rFonts w:ascii="Microsoft PhagsPa" w:eastAsia="Microsoft JhengHei UI" w:hAnsi="Microsoft PhagsPa"/>
          <w:sz w:val="22"/>
          <w:szCs w:val="22"/>
          <w:lang w:val="pt-PT"/>
        </w:rPr>
      </w:pPr>
      <w:r w:rsidRPr="0032632B">
        <w:rPr>
          <w:rFonts w:ascii="Microsoft PhagsPa" w:eastAsia="Microsoft JhengHei UI" w:hAnsi="Microsoft PhagsPa"/>
          <w:sz w:val="22"/>
          <w:szCs w:val="22"/>
          <w:lang w:val="pt-PT"/>
        </w:rPr>
        <w:t xml:space="preserve">A pensar na preparação financeira do novo ano letivo, </w:t>
      </w:r>
      <w:r w:rsidR="00D763C9" w:rsidRPr="00D763C9">
        <w:rPr>
          <w:rFonts w:ascii="Microsoft PhagsPa" w:eastAsia="Microsoft JhengHei UI" w:hAnsi="Microsoft PhagsPa"/>
          <w:sz w:val="22"/>
          <w:szCs w:val="22"/>
          <w:lang w:val="pt-PT"/>
        </w:rPr>
        <w:t xml:space="preserve">o </w:t>
      </w:r>
      <w:hyperlink r:id="rId10" w:history="1">
        <w:r w:rsidR="00D763C9" w:rsidRPr="00D763C9">
          <w:rPr>
            <w:rStyle w:val="Hiperligao"/>
            <w:rFonts w:ascii="Microsoft PhagsPa" w:eastAsia="Microsoft JhengHei UI" w:hAnsi="Microsoft PhagsPa"/>
            <w:sz w:val="22"/>
            <w:szCs w:val="22"/>
            <w:lang w:val="pt-PT"/>
          </w:rPr>
          <w:t>Doutor Finanças</w:t>
        </w:r>
      </w:hyperlink>
      <w:r w:rsidR="00D763C9" w:rsidRPr="00D763C9">
        <w:rPr>
          <w:rFonts w:ascii="Microsoft PhagsPa" w:eastAsia="Microsoft JhengHei UI" w:hAnsi="Microsoft PhagsPa"/>
          <w:sz w:val="22"/>
          <w:szCs w:val="22"/>
          <w:lang w:val="pt-PT"/>
        </w:rPr>
        <w:t xml:space="preserve"> </w:t>
      </w:r>
      <w:r w:rsidRPr="0032632B">
        <w:rPr>
          <w:rFonts w:ascii="Microsoft PhagsPa" w:eastAsia="Microsoft JhengHei UI" w:hAnsi="Microsoft PhagsPa"/>
          <w:sz w:val="22"/>
          <w:szCs w:val="22"/>
          <w:lang w:val="pt-PT"/>
        </w:rPr>
        <w:t>reuniu oito despesas e decisões que devem ser consideradas no orçamento escolar.</w:t>
      </w:r>
      <w:r w:rsidR="00CE7139" w:rsidRPr="00CE7139">
        <w:rPr>
          <w:rFonts w:ascii="Microsoft PhagsPa" w:eastAsia="Microsoft JhengHei UI" w:hAnsi="Microsoft PhagsPa"/>
          <w:sz w:val="22"/>
          <w:szCs w:val="22"/>
          <w:lang w:val="pt-PT"/>
        </w:rPr>
        <w:t xml:space="preserve"> </w:t>
      </w:r>
    </w:p>
    <w:p w14:paraId="3D20BE3B" w14:textId="7B2914F5" w:rsidR="00DC411D" w:rsidRPr="0014328B" w:rsidRDefault="00AE25C3" w:rsidP="0014328B">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Calcular o custo do ano letivo antes de definir o orçamento</w:t>
      </w:r>
    </w:p>
    <w:p w14:paraId="1D9B24BE" w14:textId="7F579867" w:rsidR="00D8477D" w:rsidRPr="00D8477D" w:rsidRDefault="00AE25C3" w:rsidP="009F775E">
      <w:pPr>
        <w:spacing w:after="240" w:line="360" w:lineRule="auto"/>
        <w:ind w:left="426"/>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O planeamento deve começar pelo levantamento de todos os encargos previstos para o ano, distinguindo as despesas concentradas no início das aulas das que surgem mensalmente ou de forma pontual. Material escolar, cadernos de atividades, refeições, equipamento desportivo, CAF ou ATL, atividades extracurriculares, visitas de estudo e eventuais equipamentos eletrónicos devem ser considerados.</w:t>
      </w:r>
    </w:p>
    <w:p w14:paraId="5BF07517" w14:textId="1E2404AB" w:rsidR="0014328B" w:rsidRPr="00D763C9" w:rsidRDefault="00AE25C3" w:rsidP="0014328B">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Rever o material antes de comprar</w:t>
      </w:r>
    </w:p>
    <w:p w14:paraId="6E131A33" w14:textId="58A65382" w:rsidR="002F5B37" w:rsidRPr="002F5B37"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 xml:space="preserve">A compra de cadernos, material de escrita e desenho, mochila e outros artigos pode representar cerca de 150 euros numa lista de referência. Antes de avançar com as </w:t>
      </w:r>
      <w:r w:rsidRPr="00AE25C3">
        <w:rPr>
          <w:rFonts w:ascii="Microsoft PhagsPa" w:eastAsia="Microsoft JhengHei UI" w:hAnsi="Microsoft PhagsPa"/>
          <w:sz w:val="22"/>
          <w:szCs w:val="22"/>
          <w:lang w:val="pt-PT"/>
        </w:rPr>
        <w:lastRenderedPageBreak/>
        <w:t>compras, é importante verificar o que ainda pode ser reutilizado de anos anteriores e comparar preços entre lojas e marcas. A diferença pode ser significativa: um caderno A4 de 100 folhas pode custar cerca de 8 euros numa marca de fabricante e aproximadamente 3 euros numa alternativa de marca própria.</w:t>
      </w:r>
    </w:p>
    <w:p w14:paraId="30C668C8" w14:textId="4A6FA744" w:rsidR="00963E08" w:rsidRPr="0014328B" w:rsidRDefault="004C5B3B" w:rsidP="00963E08">
      <w:pPr>
        <w:pStyle w:val="PargrafodaLista"/>
        <w:numPr>
          <w:ilvl w:val="0"/>
          <w:numId w:val="6"/>
        </w:numPr>
        <w:spacing w:after="240" w:line="360" w:lineRule="auto"/>
        <w:jc w:val="both"/>
        <w:rPr>
          <w:rFonts w:ascii="Microsoft PhagsPa" w:eastAsia="Microsoft JhengHei UI" w:hAnsi="Microsoft PhagsPa"/>
          <w:lang w:val="pt-PT"/>
        </w:rPr>
      </w:pPr>
      <w:r w:rsidRPr="004C5B3B">
        <w:rPr>
          <w:rFonts w:ascii="Microsoft PhagsPa" w:eastAsia="Microsoft JhengHei UI" w:hAnsi="Microsoft PhagsPa"/>
          <w:b/>
          <w:bCs/>
          <w:color w:val="0195C7"/>
          <w:lang w:val="pt-PT"/>
        </w:rPr>
        <w:t>Confirmar que materiais escolares ficam fora da gratuitidade</w:t>
      </w:r>
    </w:p>
    <w:p w14:paraId="0D30A36C" w14:textId="77777777" w:rsidR="00AE25C3" w:rsidRPr="00AE25C3"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No ensino público e nas escolas privadas com contrato de associação, os manuais escolares são gratuitos para os alunos do ensino obrigatório, desde que os livros do ano anterior sejam devolvidos em condições de serem reutilizados. Esta gratuitidade não abrange, contudo, os cadernos de atividades.</w:t>
      </w:r>
    </w:p>
    <w:p w14:paraId="32795972" w14:textId="1CE1C200" w:rsidR="0016079C" w:rsidRPr="00D8477D"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O custo destes materiais depende das disciplinas e do ano de escolaridade. Como referência, três cadernos de atividades no 1.º ciclo podem representar cerca de 40 euros. Quando são necessários para várias disciplinas, a despesa pode rondar 90 euros nos 2.º e 3.º ciclos e aproximadamente 65 euros no ensino secundário.</w:t>
      </w:r>
    </w:p>
    <w:p w14:paraId="17D1A321" w14:textId="720A664D" w:rsidR="00753D12" w:rsidRPr="0014328B" w:rsidRDefault="00AE25C3" w:rsidP="00753D12">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Incluir equipamento desportivo e antecipar compras tecnológicas</w:t>
      </w:r>
    </w:p>
    <w:p w14:paraId="66D9E571" w14:textId="77777777" w:rsidR="00AE25C3" w:rsidRPr="00AE25C3"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Quando não é possível reutilizar o equipamento do ano anterior, a Educação Física também deve entrar nas contas. Num cenário com um fato de treino de 20 euros, uma t-shirt de 5 euros e um par de ténis de 25 euros, este encargo representa cerca de 50 euros, embora o valor possa variar significativamente consoante as marcas e as exigências da escola.</w:t>
      </w:r>
    </w:p>
    <w:p w14:paraId="79A3D6FE" w14:textId="5C6BBF43" w:rsidR="00563C07" w:rsidRPr="00563C07"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Computadores, tablets ou calculadoras científicas são despesas de maior dimensão, mas que não se repetem necessariamente todos os anos. Como referência, um computador pode representar cerca de 650 euros e uma calculadora científica aproximadamente 120 euros. A antecipação destas necessidades permite distribuir o esforço financeiro ao longo do tempo.</w:t>
      </w:r>
    </w:p>
    <w:p w14:paraId="7C95BADF" w14:textId="630FCCD4" w:rsidR="00563C07" w:rsidRPr="009E5BCE" w:rsidRDefault="00AE25C3" w:rsidP="00753D12">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Contabilizar refeições e prolongamento do horário escolar</w:t>
      </w:r>
    </w:p>
    <w:p w14:paraId="190AB503" w14:textId="77777777" w:rsidR="00AE25C3" w:rsidRPr="00AE25C3"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lastRenderedPageBreak/>
        <w:t>Quando as refeições são feitas na escola pública, o preço base do almoço está fixado em 1,46 euros. Considerando 180 dias de refeições, este encargo corresponde a cerca de 263 euros por ano, podendo ser inferior quando existe apoio da ação social escolar ou quando o aluno não almoça diariamente na escola.</w:t>
      </w:r>
    </w:p>
    <w:p w14:paraId="2D96498E" w14:textId="01E67133" w:rsidR="00CE7139"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Para as famílias que necessitam de acompanhamento antes ou depois do horário letivo, a CAF ou o ATL podem acrescentar várias centenas de euros ao orçamento. Nos três municípios analisados no guia, a comparticipação mensal máxima da CAF varia entre 17,50 e 97,70 euros. A média, de cerca de 48 euros por mês, corresponde a aproximadamente 480 euros por ano letivo, considerando 10 meses de utilização.</w:t>
      </w:r>
    </w:p>
    <w:p w14:paraId="377D02DC" w14:textId="6CBBEE61" w:rsidR="00BD2929" w:rsidRPr="009E5BCE" w:rsidRDefault="00AE25C3" w:rsidP="00BD2929">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Somar atividades extracurriculares e visitas de estudo</w:t>
      </w:r>
    </w:p>
    <w:p w14:paraId="6E65C76E" w14:textId="77777777" w:rsidR="00AE25C3" w:rsidRPr="00AE25C3"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Desporto, música, línguas ou outras atividades representam outro encargo a considerar. O valor depende da modalidade, da entidade promotora, da frequência e de eventuais custos de inscrição, seguro ou equipamento. Como referência, uma atividade de 40 euros por mês, praticada durante 11 meses, representa 440 euros por ano.</w:t>
      </w:r>
    </w:p>
    <w:p w14:paraId="51E38936" w14:textId="1C483326" w:rsidR="00BD2929" w:rsidRDefault="00AE25C3" w:rsidP="00AE25C3">
      <w:pPr>
        <w:spacing w:line="360" w:lineRule="auto"/>
        <w:ind w:left="357"/>
        <w:jc w:val="both"/>
        <w:rPr>
          <w:rFonts w:ascii="Microsoft PhagsPa" w:eastAsia="Microsoft JhengHei UI" w:hAnsi="Microsoft PhagsPa"/>
          <w:sz w:val="22"/>
          <w:szCs w:val="22"/>
          <w:lang w:val="pt-PT"/>
        </w:rPr>
      </w:pPr>
      <w:r w:rsidRPr="00AE25C3">
        <w:rPr>
          <w:rFonts w:ascii="Microsoft PhagsPa" w:eastAsia="Microsoft JhengHei UI" w:hAnsi="Microsoft PhagsPa"/>
          <w:sz w:val="22"/>
          <w:szCs w:val="22"/>
          <w:lang w:val="pt-PT"/>
        </w:rPr>
        <w:t>As visitas de estudo tendem a ter um peso menor, mas também devem ser incluídas. Para uma estimativa anual, podem considerar-se três visitas com um custo médio de 15 euros cada, incluindo transporte, o que corresponde a 45 euros. Em algumas situações, os municípios comparticipam estas despesas para alunos abrangidos pela ação social escolar.</w:t>
      </w:r>
    </w:p>
    <w:p w14:paraId="2113CDE9" w14:textId="6DE7179C" w:rsidR="00BD2929" w:rsidRPr="009E5BCE" w:rsidRDefault="00AE25C3" w:rsidP="00BD2929">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Procurar apoios e aliviar o esforço mensal</w:t>
      </w:r>
    </w:p>
    <w:p w14:paraId="41FBC612" w14:textId="77777777" w:rsidR="004F504D" w:rsidRPr="004F504D" w:rsidRDefault="004F504D" w:rsidP="004F504D">
      <w:pPr>
        <w:spacing w:line="360" w:lineRule="auto"/>
        <w:ind w:left="357"/>
        <w:jc w:val="both"/>
        <w:rPr>
          <w:rFonts w:ascii="Microsoft PhagsPa" w:eastAsia="Microsoft JhengHei UI" w:hAnsi="Microsoft PhagsPa"/>
          <w:sz w:val="22"/>
          <w:szCs w:val="22"/>
          <w:lang w:val="pt-PT"/>
        </w:rPr>
      </w:pPr>
      <w:r w:rsidRPr="004F504D">
        <w:rPr>
          <w:rFonts w:ascii="Microsoft PhagsPa" w:eastAsia="Microsoft JhengHei UI" w:hAnsi="Microsoft PhagsPa"/>
          <w:sz w:val="22"/>
          <w:szCs w:val="22"/>
          <w:lang w:val="pt-PT"/>
        </w:rPr>
        <w:t>A ação social escolar pode reduzir despesas com refeições, material, visitas de estudo e transporte para famílias com menores rendimentos. Em 2026, estes apoios abrangem agregados com rendimentos até ao 3.º escalão do abono de família, correspondente a 12.435,50 euros.</w:t>
      </w:r>
    </w:p>
    <w:p w14:paraId="5E638B4A" w14:textId="26BE4228" w:rsidR="009F775E" w:rsidRPr="009F775E" w:rsidRDefault="004F504D" w:rsidP="004F504D">
      <w:pPr>
        <w:spacing w:line="360" w:lineRule="auto"/>
        <w:ind w:left="357"/>
        <w:jc w:val="both"/>
        <w:rPr>
          <w:rFonts w:ascii="Microsoft PhagsPa" w:eastAsia="Microsoft JhengHei UI" w:hAnsi="Microsoft PhagsPa"/>
          <w:sz w:val="22"/>
          <w:szCs w:val="22"/>
          <w:lang w:val="pt-PT"/>
        </w:rPr>
      </w:pPr>
      <w:r w:rsidRPr="004F504D">
        <w:rPr>
          <w:rFonts w:ascii="Microsoft PhagsPa" w:eastAsia="Microsoft JhengHei UI" w:hAnsi="Microsoft PhagsPa"/>
          <w:sz w:val="22"/>
          <w:szCs w:val="22"/>
          <w:lang w:val="pt-PT"/>
        </w:rPr>
        <w:t>Algumas despesas de educação podem também ser deduzidas no IRS, em regra em 30% do valor elegível, até ao limite de 800 euros por agregado</w:t>
      </w:r>
      <w:r w:rsidR="00B83AE6">
        <w:rPr>
          <w:rFonts w:ascii="Microsoft PhagsPa" w:eastAsia="Microsoft JhengHei UI" w:hAnsi="Microsoft PhagsPa"/>
          <w:sz w:val="22"/>
          <w:szCs w:val="22"/>
          <w:lang w:val="pt-PT"/>
        </w:rPr>
        <w:t xml:space="preserve">, como propinas, mensalidades, refeições escolares e material </w:t>
      </w:r>
      <w:r w:rsidR="002A3B35">
        <w:rPr>
          <w:rFonts w:ascii="Microsoft PhagsPa" w:eastAsia="Microsoft JhengHei UI" w:hAnsi="Microsoft PhagsPa"/>
          <w:sz w:val="22"/>
          <w:szCs w:val="22"/>
          <w:lang w:val="pt-PT"/>
        </w:rPr>
        <w:t xml:space="preserve">comprado diretamente na papelaria da escola. </w:t>
      </w:r>
      <w:r w:rsidR="00920AE5">
        <w:rPr>
          <w:rFonts w:ascii="Microsoft PhagsPa" w:eastAsia="Microsoft JhengHei UI" w:hAnsi="Microsoft PhagsPa"/>
          <w:sz w:val="22"/>
          <w:szCs w:val="22"/>
          <w:lang w:val="pt-PT"/>
        </w:rPr>
        <w:t xml:space="preserve">Mochilas, </w:t>
      </w:r>
      <w:r w:rsidR="00920AE5">
        <w:rPr>
          <w:rFonts w:ascii="Microsoft PhagsPa" w:eastAsia="Microsoft JhengHei UI" w:hAnsi="Microsoft PhagsPa"/>
          <w:sz w:val="22"/>
          <w:szCs w:val="22"/>
          <w:lang w:val="pt-PT"/>
        </w:rPr>
        <w:lastRenderedPageBreak/>
        <w:t xml:space="preserve">canetas ou cadernos </w:t>
      </w:r>
      <w:r w:rsidR="009E5EF8">
        <w:rPr>
          <w:rFonts w:ascii="Microsoft PhagsPa" w:eastAsia="Microsoft JhengHei UI" w:hAnsi="Microsoft PhagsPa"/>
          <w:sz w:val="22"/>
          <w:szCs w:val="22"/>
          <w:lang w:val="pt-PT"/>
        </w:rPr>
        <w:t>adquiridos</w:t>
      </w:r>
      <w:r w:rsidR="00920AE5">
        <w:rPr>
          <w:rFonts w:ascii="Microsoft PhagsPa" w:eastAsia="Microsoft JhengHei UI" w:hAnsi="Microsoft PhagsPa"/>
          <w:sz w:val="22"/>
          <w:szCs w:val="22"/>
          <w:lang w:val="pt-PT"/>
        </w:rPr>
        <w:t xml:space="preserve"> em supermercados ou </w:t>
      </w:r>
      <w:r w:rsidR="007D314D">
        <w:rPr>
          <w:rFonts w:ascii="Microsoft PhagsPa" w:eastAsia="Microsoft JhengHei UI" w:hAnsi="Microsoft PhagsPa"/>
          <w:sz w:val="22"/>
          <w:szCs w:val="22"/>
          <w:lang w:val="pt-PT"/>
        </w:rPr>
        <w:t xml:space="preserve">papelarias comuns, assim como computadores ou tablets, não entram como despesa de educação. </w:t>
      </w:r>
    </w:p>
    <w:p w14:paraId="1A65A784" w14:textId="2D9D4E71" w:rsidR="00BD2929" w:rsidRPr="009E5BCE" w:rsidRDefault="00AE25C3" w:rsidP="00BD2929">
      <w:pPr>
        <w:pStyle w:val="PargrafodaLista"/>
        <w:numPr>
          <w:ilvl w:val="0"/>
          <w:numId w:val="6"/>
        </w:numPr>
        <w:spacing w:after="240" w:line="360" w:lineRule="auto"/>
        <w:jc w:val="both"/>
        <w:rPr>
          <w:rFonts w:ascii="Microsoft PhagsPa" w:eastAsia="Microsoft JhengHei UI" w:hAnsi="Microsoft PhagsPa"/>
          <w:lang w:val="pt-PT"/>
        </w:rPr>
      </w:pPr>
      <w:r w:rsidRPr="00AE25C3">
        <w:rPr>
          <w:rFonts w:ascii="Microsoft PhagsPa" w:eastAsia="Microsoft JhengHei UI" w:hAnsi="Microsoft PhagsPa"/>
          <w:b/>
          <w:bCs/>
          <w:color w:val="0195C7"/>
          <w:lang w:val="pt-PT"/>
        </w:rPr>
        <w:t>Se houver ensino privado, contabilizar custos além da mensalidade</w:t>
      </w:r>
    </w:p>
    <w:p w14:paraId="3ABF853E" w14:textId="5BB445BD" w:rsidR="007C0994" w:rsidRPr="007C0994" w:rsidRDefault="007C0994" w:rsidP="007C0994">
      <w:pPr>
        <w:spacing w:after="80" w:line="360" w:lineRule="auto"/>
        <w:ind w:left="357"/>
        <w:jc w:val="both"/>
        <w:rPr>
          <w:rFonts w:ascii="Microsoft PhagsPa" w:eastAsia="Microsoft JhengHei UI" w:hAnsi="Microsoft PhagsPa"/>
          <w:sz w:val="22"/>
          <w:szCs w:val="22"/>
          <w:lang w:val="pt-PT"/>
        </w:rPr>
      </w:pPr>
      <w:r w:rsidRPr="007C0994">
        <w:rPr>
          <w:rFonts w:ascii="Microsoft PhagsPa" w:eastAsia="Microsoft JhengHei UI" w:hAnsi="Microsoft PhagsPa"/>
          <w:sz w:val="22"/>
          <w:szCs w:val="22"/>
          <w:lang w:val="pt-PT"/>
        </w:rPr>
        <w:t xml:space="preserve">No ensino privado, a mensalidade é apenas uma das despesas a considerar. Numa amostra das quatro primeiras escolas privadas do ranking de 2025 para o ensino secundário, a mensalidade média é de 609 euros e o almoço representa, em média, 130 euros por mês. A renovação da matrícula ronda </w:t>
      </w:r>
      <w:r w:rsidR="006952A0">
        <w:rPr>
          <w:rFonts w:ascii="Microsoft PhagsPa" w:eastAsia="Microsoft JhengHei UI" w:hAnsi="Microsoft PhagsPa"/>
          <w:sz w:val="22"/>
          <w:szCs w:val="22"/>
          <w:lang w:val="pt-PT"/>
        </w:rPr>
        <w:t xml:space="preserve">os </w:t>
      </w:r>
      <w:r w:rsidRPr="007C0994">
        <w:rPr>
          <w:rFonts w:ascii="Microsoft PhagsPa" w:eastAsia="Microsoft JhengHei UI" w:hAnsi="Microsoft PhagsPa"/>
          <w:sz w:val="22"/>
          <w:szCs w:val="22"/>
          <w:lang w:val="pt-PT"/>
        </w:rPr>
        <w:t>363 euros.</w:t>
      </w:r>
    </w:p>
    <w:p w14:paraId="7D47945B" w14:textId="77777777" w:rsidR="007C0994" w:rsidRPr="007C0994" w:rsidRDefault="007C0994" w:rsidP="007C0994">
      <w:pPr>
        <w:spacing w:after="80" w:line="360" w:lineRule="auto"/>
        <w:ind w:left="357"/>
        <w:jc w:val="both"/>
        <w:rPr>
          <w:rFonts w:ascii="Microsoft PhagsPa" w:eastAsia="Microsoft JhengHei UI" w:hAnsi="Microsoft PhagsPa"/>
          <w:sz w:val="22"/>
          <w:szCs w:val="22"/>
          <w:lang w:val="pt-PT"/>
        </w:rPr>
      </w:pPr>
      <w:r w:rsidRPr="007C0994">
        <w:rPr>
          <w:rFonts w:ascii="Microsoft PhagsPa" w:eastAsia="Microsoft JhengHei UI" w:hAnsi="Microsoft PhagsPa"/>
          <w:sz w:val="22"/>
          <w:szCs w:val="22"/>
          <w:lang w:val="pt-PT"/>
        </w:rPr>
        <w:t>Os manuais escolares também ficam a cargo das famílias. No ensino secundário, manuais e cadernos de atividades podem representar cerca de 270 euros. Acrescem material escolar, equipamento desportivo, atividades extracurriculares, visitas de estudo e, em algumas instituições, uniformes ou prolongamento de horário.</w:t>
      </w:r>
    </w:p>
    <w:p w14:paraId="03B52781" w14:textId="469F8C35" w:rsidR="00BD2929" w:rsidRPr="00BD2929" w:rsidRDefault="007C0994" w:rsidP="007C0994">
      <w:pPr>
        <w:spacing w:after="80" w:line="360" w:lineRule="auto"/>
        <w:ind w:left="357"/>
        <w:jc w:val="both"/>
        <w:rPr>
          <w:rFonts w:ascii="Microsoft PhagsPa" w:eastAsia="Microsoft JhengHei UI" w:hAnsi="Microsoft PhagsPa"/>
          <w:sz w:val="22"/>
          <w:szCs w:val="22"/>
          <w:lang w:val="pt-PT"/>
        </w:rPr>
      </w:pPr>
      <w:r w:rsidRPr="007C0994">
        <w:rPr>
          <w:rFonts w:ascii="Microsoft PhagsPa" w:eastAsia="Microsoft JhengHei UI" w:hAnsi="Microsoft PhagsPa"/>
          <w:sz w:val="22"/>
          <w:szCs w:val="22"/>
          <w:lang w:val="pt-PT"/>
        </w:rPr>
        <w:t>O artigo completo “</w:t>
      </w:r>
      <w:hyperlink r:id="rId11" w:history="1">
        <w:r w:rsidRPr="00B26246">
          <w:rPr>
            <w:rStyle w:val="Hiperligao"/>
            <w:rFonts w:ascii="Microsoft PhagsPa" w:eastAsia="Microsoft JhengHei UI" w:hAnsi="Microsoft PhagsPa"/>
            <w:sz w:val="22"/>
            <w:szCs w:val="22"/>
            <w:lang w:val="pt-PT"/>
          </w:rPr>
          <w:t>Guia para o regresso às aulas: Quanto custa um ano de escola?</w:t>
        </w:r>
      </w:hyperlink>
      <w:r w:rsidRPr="007C0994">
        <w:rPr>
          <w:rFonts w:ascii="Microsoft PhagsPa" w:eastAsia="Microsoft JhengHei UI" w:hAnsi="Microsoft PhagsPa"/>
          <w:sz w:val="22"/>
          <w:szCs w:val="22"/>
          <w:lang w:val="pt-PT"/>
        </w:rPr>
        <w:t>” está disponível no portal do Doutor Finanças, com mais informação sobre as principais despesas, apoios e formas de preparar o orçamento escolar.</w:t>
      </w:r>
    </w:p>
    <w:p w14:paraId="5133A02D" w14:textId="77777777" w:rsidR="00D249E0" w:rsidRDefault="00D249E0" w:rsidP="00324ABF">
      <w:pPr>
        <w:spacing w:after="80" w:line="360" w:lineRule="auto"/>
        <w:ind w:left="357"/>
        <w:jc w:val="both"/>
        <w:rPr>
          <w:rFonts w:ascii="Microsoft PhagsPa" w:eastAsia="Microsoft JhengHei UI" w:hAnsi="Microsoft PhagsPa"/>
          <w:b/>
          <w:bCs/>
          <w:color w:val="0195C7"/>
          <w:sz w:val="18"/>
          <w:szCs w:val="18"/>
          <w:lang w:val="pt-PT"/>
        </w:rPr>
      </w:pPr>
    </w:p>
    <w:p w14:paraId="62776A1C" w14:textId="6CE361E7"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Sobre o Doutor Finanças</w:t>
      </w:r>
    </w:p>
    <w:p w14:paraId="51644796"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O Doutor Finanças é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especializada na área do bem-estar financeiro, que ajuda as pessoas a tomar melhores decisões financeiras sobre crédito habitação, crédito pessoal e seguros. No mercado desde 2014, faz a ligação entre clientes e instituições financeiras, oferecendo análise, negociação e acompanhamento sem custos. O especialista fechou 2025 com um volume de negócios de 24 milhões de euros, num ano em que foi responsável por 748 milhões de euros em crédito habitação e por mais de 14 mil apólices de seguros, tendo ajudado mais de 200 mil pessoas, através da melhoria das suas condições financeiras. </w:t>
      </w:r>
    </w:p>
    <w:p w14:paraId="0F1B1A64"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Além disso, disponibiliza um portal com 16 milhões de visitas, onde são disponibilizados conteúdos para promover uma vida financeira saudável, bem como uma academia de formação especializada responsável por capacitar, em 2024, mais de 20 mil portugueses em finanças pessoais. </w:t>
      </w:r>
    </w:p>
    <w:p w14:paraId="1DD01A17"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O Doutor Finanças conta com uma equipa com mais de 700 colaboradores, dos quais mais de 420 são especialistas focados na rede de lojas espalhadas de norte a sul do país, incluindo ilhas. O Doutor Finanças destaca-se como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de referência, tendo sido reconhecida no </w:t>
      </w:r>
      <w:proofErr w:type="spellStart"/>
      <w:r w:rsidRPr="006C15EC">
        <w:rPr>
          <w:rFonts w:ascii="Microsoft PhagsPa" w:eastAsia="Microsoft JhengHei UI" w:hAnsi="Microsoft PhagsPa"/>
          <w:color w:val="404040" w:themeColor="text1" w:themeTint="BF"/>
          <w:sz w:val="18"/>
          <w:szCs w:val="18"/>
          <w:lang w:val="pt-PT"/>
        </w:rPr>
        <w:t>Technology</w:t>
      </w:r>
      <w:proofErr w:type="spellEnd"/>
      <w:r w:rsidRPr="006C15EC">
        <w:rPr>
          <w:rFonts w:ascii="Microsoft PhagsPa" w:eastAsia="Microsoft JhengHei UI" w:hAnsi="Microsoft PhagsPa"/>
          <w:color w:val="404040" w:themeColor="text1" w:themeTint="BF"/>
          <w:sz w:val="18"/>
          <w:szCs w:val="18"/>
          <w:lang w:val="pt-PT"/>
        </w:rPr>
        <w:t xml:space="preserve"> Fast 50 da </w:t>
      </w:r>
      <w:proofErr w:type="spellStart"/>
      <w:r w:rsidRPr="006C15EC">
        <w:rPr>
          <w:rFonts w:ascii="Microsoft PhagsPa" w:eastAsia="Microsoft JhengHei UI" w:hAnsi="Microsoft PhagsPa"/>
          <w:color w:val="404040" w:themeColor="text1" w:themeTint="BF"/>
          <w:sz w:val="18"/>
          <w:szCs w:val="18"/>
          <w:lang w:val="pt-PT"/>
        </w:rPr>
        <w:t>Deloitte</w:t>
      </w:r>
      <w:proofErr w:type="spellEnd"/>
      <w:r w:rsidRPr="006C15EC">
        <w:rPr>
          <w:rFonts w:ascii="Microsoft PhagsPa" w:eastAsia="Microsoft JhengHei UI" w:hAnsi="Microsoft PhagsPa"/>
          <w:color w:val="404040" w:themeColor="text1" w:themeTint="BF"/>
          <w:sz w:val="18"/>
          <w:szCs w:val="18"/>
          <w:lang w:val="pt-PT"/>
        </w:rPr>
        <w:t xml:space="preserve">, distinguida como Great </w:t>
      </w:r>
      <w:proofErr w:type="spellStart"/>
      <w:r w:rsidRPr="006C15EC">
        <w:rPr>
          <w:rFonts w:ascii="Microsoft PhagsPa" w:eastAsia="Microsoft JhengHei UI" w:hAnsi="Microsoft PhagsPa"/>
          <w:color w:val="404040" w:themeColor="text1" w:themeTint="BF"/>
          <w:sz w:val="18"/>
          <w:szCs w:val="18"/>
          <w:lang w:val="pt-PT"/>
        </w:rPr>
        <w:t>Place</w:t>
      </w:r>
      <w:proofErr w:type="spellEnd"/>
      <w:r w:rsidRPr="006C15EC">
        <w:rPr>
          <w:rFonts w:ascii="Microsoft PhagsPa" w:eastAsia="Microsoft JhengHei UI" w:hAnsi="Microsoft PhagsPa"/>
          <w:color w:val="404040" w:themeColor="text1" w:themeTint="BF"/>
          <w:sz w:val="18"/>
          <w:szCs w:val="18"/>
          <w:lang w:val="pt-PT"/>
        </w:rPr>
        <w:t xml:space="preserve"> to </w:t>
      </w:r>
      <w:proofErr w:type="spellStart"/>
      <w:r w:rsidRPr="006C15EC">
        <w:rPr>
          <w:rFonts w:ascii="Microsoft PhagsPa" w:eastAsia="Microsoft JhengHei UI" w:hAnsi="Microsoft PhagsPa"/>
          <w:color w:val="404040" w:themeColor="text1" w:themeTint="BF"/>
          <w:sz w:val="18"/>
          <w:szCs w:val="18"/>
          <w:lang w:val="pt-PT"/>
        </w:rPr>
        <w:t>Work</w:t>
      </w:r>
      <w:proofErr w:type="spellEnd"/>
      <w:r w:rsidRPr="006C15EC">
        <w:rPr>
          <w:rFonts w:ascii="Microsoft PhagsPa" w:eastAsia="Microsoft JhengHei UI" w:hAnsi="Microsoft PhagsPa"/>
          <w:color w:val="404040" w:themeColor="text1" w:themeTint="BF"/>
          <w:sz w:val="18"/>
          <w:szCs w:val="18"/>
          <w:lang w:val="pt-PT"/>
        </w:rPr>
        <w:t xml:space="preserve"> desde 2021 e com a sua Rede de franchising tendo sido galardoada </w:t>
      </w:r>
      <w:r w:rsidRPr="006C15EC">
        <w:rPr>
          <w:rFonts w:ascii="Microsoft PhagsPa" w:eastAsia="Microsoft JhengHei UI" w:hAnsi="Microsoft PhagsPa"/>
          <w:color w:val="404040" w:themeColor="text1" w:themeTint="BF"/>
          <w:sz w:val="18"/>
          <w:szCs w:val="18"/>
          <w:lang w:val="pt-PT"/>
        </w:rPr>
        <w:lastRenderedPageBreak/>
        <w:t>com o 3º lugar enquanto marca de franchising emergente da Europa, pela Federação Europeia de Franchising.</w:t>
      </w:r>
    </w:p>
    <w:p w14:paraId="64F47BC8" w14:textId="19B7E0DD" w:rsidR="002E2AE9" w:rsidRPr="00515FFA"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É possível aceder aos serviços do Doutor Finanças através do seu portal e das 100 lojas espalhadas por todo o território nacional. Mais informação em: </w:t>
      </w:r>
      <w:hyperlink r:id="rId12" w:history="1">
        <w:r w:rsidRPr="00441286">
          <w:rPr>
            <w:rStyle w:val="Hiperligao"/>
            <w:rFonts w:ascii="Microsoft PhagsPa" w:eastAsia="Microsoft JhengHei UI" w:hAnsi="Microsoft PhagsPa"/>
            <w:sz w:val="18"/>
            <w:szCs w:val="18"/>
            <w:lang w:val="pt-PT"/>
          </w:rPr>
          <w:t>www.doutorfinancas.pt/sobre-doutor-financas/</w:t>
        </w:r>
      </w:hyperlink>
      <w:r>
        <w:rPr>
          <w:rFonts w:ascii="Microsoft PhagsPa" w:eastAsia="Microsoft JhengHei UI" w:hAnsi="Microsoft PhagsPa"/>
          <w:color w:val="404040" w:themeColor="text1" w:themeTint="BF"/>
          <w:sz w:val="18"/>
          <w:szCs w:val="18"/>
          <w:lang w:val="pt-PT"/>
        </w:rPr>
        <w:t xml:space="preserve"> </w:t>
      </w:r>
      <w:r w:rsidR="007A34B5" w:rsidRPr="007A34B5">
        <w:rPr>
          <w:rFonts w:ascii="Microsoft PhagsPa" w:eastAsia="Microsoft JhengHei UI" w:hAnsi="Microsoft PhagsPa"/>
          <w:color w:val="404040" w:themeColor="text1" w:themeTint="BF"/>
          <w:sz w:val="18"/>
          <w:szCs w:val="18"/>
          <w:lang w:val="pt-PT"/>
        </w:rPr>
        <w:t> </w:t>
      </w:r>
    </w:p>
    <w:p w14:paraId="392A25EA" w14:textId="77777777" w:rsidR="00515FFA" w:rsidRDefault="00515FFA" w:rsidP="002E2AE9">
      <w:pPr>
        <w:spacing w:after="80" w:line="360" w:lineRule="auto"/>
        <w:ind w:left="357"/>
        <w:jc w:val="both"/>
        <w:rPr>
          <w:rFonts w:ascii="Microsoft PhagsPa" w:eastAsia="Microsoft JhengHei UI" w:hAnsi="Microsoft PhagsPa"/>
          <w:b/>
          <w:bCs/>
          <w:color w:val="0195C7"/>
          <w:sz w:val="18"/>
          <w:szCs w:val="18"/>
          <w:lang w:val="pt-PT"/>
        </w:rPr>
      </w:pPr>
    </w:p>
    <w:p w14:paraId="3F255ABE" w14:textId="5B0064DC"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Contactos para a Comunicação Social</w:t>
      </w:r>
    </w:p>
    <w:p w14:paraId="1B61C54D" w14:textId="534EF414" w:rsidR="002E2AE9" w:rsidRPr="00A531A2" w:rsidRDefault="002E2AE9" w:rsidP="002E2AE9">
      <w:pPr>
        <w:spacing w:after="40" w:line="360" w:lineRule="auto"/>
        <w:ind w:left="357"/>
        <w:jc w:val="both"/>
        <w:rPr>
          <w:rFonts w:ascii="Microsoft PhagsPa" w:eastAsia="Microsoft JhengHei UI" w:hAnsi="Microsoft PhagsPa"/>
          <w:color w:val="404040" w:themeColor="text1" w:themeTint="BF"/>
          <w:sz w:val="18"/>
          <w:szCs w:val="18"/>
          <w:u w:val="single"/>
          <w:lang w:val="it-IT"/>
        </w:rPr>
      </w:pPr>
      <w:r w:rsidRPr="00A531A2">
        <w:rPr>
          <w:rFonts w:ascii="Microsoft PhagsPa" w:eastAsia="Microsoft JhengHei UI" w:hAnsi="Microsoft PhagsPa"/>
          <w:color w:val="404040" w:themeColor="text1" w:themeTint="BF"/>
          <w:sz w:val="18"/>
          <w:szCs w:val="18"/>
          <w:u w:val="single"/>
          <w:lang w:val="it-IT"/>
        </w:rPr>
        <w:t>Lift Consulting</w:t>
      </w:r>
    </w:p>
    <w:p w14:paraId="31C726FB" w14:textId="3484D0C9" w:rsidR="002E2AE9" w:rsidRDefault="000C7ECF"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Pr>
          <w:rFonts w:ascii="Microsoft PhagsPa" w:eastAsia="Microsoft JhengHei UI" w:hAnsi="Microsoft PhagsPa"/>
          <w:color w:val="404040" w:themeColor="text1" w:themeTint="BF"/>
          <w:sz w:val="18"/>
          <w:szCs w:val="18"/>
          <w:lang w:val="it-IT"/>
        </w:rPr>
        <w:t>Raquel Rogeiro</w:t>
      </w:r>
      <w:r w:rsidR="002E2AE9" w:rsidRPr="000C7ECF">
        <w:rPr>
          <w:rFonts w:ascii="Microsoft PhagsPa" w:eastAsia="Microsoft JhengHei UI" w:hAnsi="Microsoft PhagsPa"/>
          <w:color w:val="404040" w:themeColor="text1" w:themeTint="BF"/>
          <w:sz w:val="18"/>
          <w:szCs w:val="18"/>
          <w:lang w:val="it-IT"/>
        </w:rPr>
        <w:t xml:space="preserve"> | </w:t>
      </w:r>
      <w:hyperlink r:id="rId13" w:history="1">
        <w:r>
          <w:rPr>
            <w:rStyle w:val="Hiperligao"/>
            <w:rFonts w:ascii="Microsoft PhagsPa" w:eastAsia="Microsoft JhengHei UI" w:hAnsi="Microsoft PhagsPa"/>
            <w:color w:val="404040" w:themeColor="text1" w:themeTint="BF"/>
            <w:sz w:val="18"/>
            <w:szCs w:val="18"/>
            <w:lang w:val="it-IT"/>
          </w:rPr>
          <w:t>raquel.rogeiro@lift.com.pt</w:t>
        </w:r>
      </w:hyperlink>
      <w:r w:rsidR="002E2AE9" w:rsidRPr="000C7ECF">
        <w:rPr>
          <w:rFonts w:ascii="Microsoft PhagsPa" w:eastAsia="Microsoft JhengHei UI" w:hAnsi="Microsoft PhagsPa"/>
          <w:color w:val="404040" w:themeColor="text1" w:themeTint="BF"/>
          <w:sz w:val="18"/>
          <w:szCs w:val="18"/>
          <w:lang w:val="it-IT"/>
        </w:rPr>
        <w:t xml:space="preserve"> | </w:t>
      </w:r>
      <w:r w:rsidRPr="000C7ECF">
        <w:rPr>
          <w:rFonts w:ascii="Microsoft PhagsPa" w:eastAsia="Microsoft JhengHei UI" w:hAnsi="Microsoft PhagsPa"/>
          <w:color w:val="404040" w:themeColor="text1" w:themeTint="BF"/>
          <w:sz w:val="18"/>
          <w:szCs w:val="18"/>
          <w:lang w:val="it-IT"/>
        </w:rPr>
        <w:t>910 7</w:t>
      </w:r>
      <w:r w:rsidR="00BA2A9F">
        <w:rPr>
          <w:rFonts w:ascii="Microsoft PhagsPa" w:eastAsia="Microsoft JhengHei UI" w:hAnsi="Microsoft PhagsPa"/>
          <w:color w:val="404040" w:themeColor="text1" w:themeTint="BF"/>
          <w:sz w:val="18"/>
          <w:szCs w:val="18"/>
          <w:lang w:val="it-IT"/>
        </w:rPr>
        <w:t>6</w:t>
      </w:r>
      <w:r w:rsidRPr="000C7ECF">
        <w:rPr>
          <w:rFonts w:ascii="Microsoft PhagsPa" w:eastAsia="Microsoft JhengHei UI" w:hAnsi="Microsoft PhagsPa"/>
          <w:color w:val="404040" w:themeColor="text1" w:themeTint="BF"/>
          <w:sz w:val="18"/>
          <w:szCs w:val="18"/>
          <w:lang w:val="it-IT"/>
        </w:rPr>
        <w:t>7</w:t>
      </w:r>
      <w:r w:rsidR="006C15EC">
        <w:rPr>
          <w:rFonts w:ascii="Microsoft PhagsPa" w:eastAsia="Microsoft JhengHei UI" w:hAnsi="Microsoft PhagsPa"/>
          <w:color w:val="404040" w:themeColor="text1" w:themeTint="BF"/>
          <w:sz w:val="18"/>
          <w:szCs w:val="18"/>
          <w:lang w:val="it-IT"/>
        </w:rPr>
        <w:t> </w:t>
      </w:r>
      <w:r w:rsidRPr="000C7ECF">
        <w:rPr>
          <w:rFonts w:ascii="Microsoft PhagsPa" w:eastAsia="Microsoft JhengHei UI" w:hAnsi="Microsoft PhagsPa"/>
          <w:color w:val="404040" w:themeColor="text1" w:themeTint="BF"/>
          <w:sz w:val="18"/>
          <w:szCs w:val="18"/>
          <w:lang w:val="it-IT"/>
        </w:rPr>
        <w:t>719</w:t>
      </w:r>
    </w:p>
    <w:p w14:paraId="51B0FEB4" w14:textId="664A85EF" w:rsidR="006C15EC" w:rsidRPr="000C7ECF" w:rsidRDefault="006C15EC"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sidRPr="00431E95">
        <w:rPr>
          <w:rFonts w:ascii="Microsoft PhagsPa" w:eastAsia="Microsoft JhengHei UI" w:hAnsi="Microsoft PhagsPa"/>
          <w:color w:val="404040" w:themeColor="text1" w:themeTint="BF"/>
          <w:sz w:val="18"/>
          <w:szCs w:val="18"/>
          <w:lang w:val="it-IT"/>
        </w:rPr>
        <w:t xml:space="preserve">Miguel Carrilho | </w:t>
      </w:r>
      <w:hyperlink r:id="rId14">
        <w:r w:rsidRPr="00431E95">
          <w:rPr>
            <w:rFonts w:ascii="Microsoft PhagsPa" w:eastAsia="Microsoft JhengHei UI" w:hAnsi="Microsoft PhagsPa"/>
            <w:color w:val="404040" w:themeColor="text1" w:themeTint="BF"/>
            <w:sz w:val="18"/>
            <w:szCs w:val="18"/>
            <w:u w:val="single"/>
            <w:lang w:val="it-IT"/>
          </w:rPr>
          <w:t>miguel.carrilho@lift.com.pt</w:t>
        </w:r>
      </w:hyperlink>
      <w:r w:rsidRPr="00431E95">
        <w:rPr>
          <w:rFonts w:ascii="Microsoft PhagsPa" w:eastAsia="Microsoft JhengHei UI" w:hAnsi="Microsoft PhagsPa"/>
          <w:color w:val="404040" w:themeColor="text1" w:themeTint="BF"/>
          <w:sz w:val="18"/>
          <w:szCs w:val="18"/>
          <w:lang w:val="it-IT"/>
        </w:rPr>
        <w:t xml:space="preserve"> | 967 777</w:t>
      </w:r>
      <w:r>
        <w:rPr>
          <w:rFonts w:ascii="Microsoft PhagsPa" w:eastAsia="Microsoft JhengHei UI" w:hAnsi="Microsoft PhagsPa"/>
          <w:color w:val="404040" w:themeColor="text1" w:themeTint="BF"/>
          <w:sz w:val="18"/>
          <w:szCs w:val="18"/>
          <w:lang w:val="it-IT"/>
        </w:rPr>
        <w:t> </w:t>
      </w:r>
      <w:r w:rsidRPr="00431E95">
        <w:rPr>
          <w:rFonts w:ascii="Microsoft PhagsPa" w:eastAsia="Microsoft JhengHei UI" w:hAnsi="Microsoft PhagsPa"/>
          <w:color w:val="404040" w:themeColor="text1" w:themeTint="BF"/>
          <w:sz w:val="18"/>
          <w:szCs w:val="18"/>
          <w:lang w:val="it-IT"/>
        </w:rPr>
        <w:t>714</w:t>
      </w:r>
    </w:p>
    <w:sectPr w:rsidR="006C15EC" w:rsidRPr="000C7ECF" w:rsidSect="00C66D98">
      <w:headerReference w:type="default" r:id="rId15"/>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80EC" w14:textId="77777777" w:rsidR="00487B55" w:rsidRDefault="00487B55" w:rsidP="00C66D98">
      <w:pPr>
        <w:spacing w:after="0" w:line="240" w:lineRule="auto"/>
      </w:pPr>
      <w:r>
        <w:separator/>
      </w:r>
    </w:p>
  </w:endnote>
  <w:endnote w:type="continuationSeparator" w:id="0">
    <w:p w14:paraId="518DBAAB" w14:textId="77777777" w:rsidR="00487B55" w:rsidRDefault="00487B55" w:rsidP="00C66D98">
      <w:pPr>
        <w:spacing w:after="0" w:line="240" w:lineRule="auto"/>
      </w:pPr>
      <w:r>
        <w:continuationSeparator/>
      </w:r>
    </w:p>
  </w:endnote>
  <w:endnote w:type="continuationNotice" w:id="1">
    <w:p w14:paraId="2169AF22" w14:textId="77777777" w:rsidR="00487B55" w:rsidRDefault="00487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crosoft PhagsPa">
    <w:panose1 w:val="020B0502040204020203"/>
    <w:charset w:val="00"/>
    <w:family w:val="swiss"/>
    <w:pitch w:val="variable"/>
    <w:sig w:usb0="00000003" w:usb1="00000000" w:usb2="08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Neue Medium">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BC4C" w14:textId="77777777" w:rsidR="00487B55" w:rsidRDefault="00487B55" w:rsidP="00C66D98">
      <w:pPr>
        <w:spacing w:after="0" w:line="240" w:lineRule="auto"/>
      </w:pPr>
      <w:r>
        <w:separator/>
      </w:r>
    </w:p>
  </w:footnote>
  <w:footnote w:type="continuationSeparator" w:id="0">
    <w:p w14:paraId="7FC19339" w14:textId="77777777" w:rsidR="00487B55" w:rsidRDefault="00487B55" w:rsidP="00C66D98">
      <w:pPr>
        <w:spacing w:after="0" w:line="240" w:lineRule="auto"/>
      </w:pPr>
      <w:r>
        <w:continuationSeparator/>
      </w:r>
    </w:p>
  </w:footnote>
  <w:footnote w:type="continuationNotice" w:id="1">
    <w:p w14:paraId="07E5E1B5" w14:textId="77777777" w:rsidR="00487B55" w:rsidRDefault="00487B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F6EF" w14:textId="5EFE3FFB" w:rsidR="00C66D98" w:rsidRDefault="00C66D98">
    <w:pPr>
      <w:pStyle w:val="Cabealho"/>
    </w:pPr>
    <w:r w:rsidRPr="00C66D98">
      <w:rPr>
        <w:noProof/>
      </w:rPr>
      <w:drawing>
        <wp:anchor distT="0" distB="0" distL="114300" distR="114300" simplePos="0" relativeHeight="251658240" behindDoc="0" locked="0" layoutInCell="1" allowOverlap="1" wp14:anchorId="57C2237E" wp14:editId="33C1D526">
          <wp:simplePos x="0" y="0"/>
          <wp:positionH relativeFrom="margin">
            <wp:posOffset>1539240</wp:posOffset>
          </wp:positionH>
          <wp:positionV relativeFrom="margin">
            <wp:posOffset>-692150</wp:posOffset>
          </wp:positionV>
          <wp:extent cx="2533650" cy="426395"/>
          <wp:effectExtent l="0" t="0" r="0" b="0"/>
          <wp:wrapSquare wrapText="bothSides"/>
          <wp:docPr id="2137444502" name="Imagem 1" descr="A literacia financeira e o Natal">
            <a:extLst xmlns:a="http://schemas.openxmlformats.org/drawingml/2006/main">
              <a:ext uri="{FF2B5EF4-FFF2-40B4-BE49-F238E27FC236}">
                <a16:creationId xmlns:a16="http://schemas.microsoft.com/office/drawing/2014/main" id="{2A993924-F056-401D-8892-E72570DBE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teracia financeira e o N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426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8DB"/>
    <w:multiLevelType w:val="hybridMultilevel"/>
    <w:tmpl w:val="791452F6"/>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1" w15:restartNumberingAfterBreak="0">
    <w:nsid w:val="2C421273"/>
    <w:multiLevelType w:val="hybridMultilevel"/>
    <w:tmpl w:val="E0BAD354"/>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2" w15:restartNumberingAfterBreak="0">
    <w:nsid w:val="39261C3C"/>
    <w:multiLevelType w:val="hybridMultilevel"/>
    <w:tmpl w:val="A488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E47C7"/>
    <w:multiLevelType w:val="hybridMultilevel"/>
    <w:tmpl w:val="194AA61E"/>
    <w:lvl w:ilvl="0" w:tplc="27DA4E2A">
      <w:start w:val="2"/>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4" w15:restartNumberingAfterBreak="0">
    <w:nsid w:val="451A2B9F"/>
    <w:multiLevelType w:val="hybridMultilevel"/>
    <w:tmpl w:val="3DF8B9CC"/>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5" w15:restartNumberingAfterBreak="0">
    <w:nsid w:val="638D6583"/>
    <w:multiLevelType w:val="hybridMultilevel"/>
    <w:tmpl w:val="22AEF286"/>
    <w:lvl w:ilvl="0" w:tplc="3B9ACC60">
      <w:start w:val="1"/>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6" w15:restartNumberingAfterBreak="0">
    <w:nsid w:val="7A4B5284"/>
    <w:multiLevelType w:val="hybridMultilevel"/>
    <w:tmpl w:val="4DC4E0F6"/>
    <w:lvl w:ilvl="0" w:tplc="DF348CD6">
      <w:start w:val="1"/>
      <w:numFmt w:val="decimal"/>
      <w:lvlText w:val="%1."/>
      <w:lvlJc w:val="left"/>
      <w:pPr>
        <w:ind w:left="1077" w:hanging="360"/>
      </w:pPr>
      <w:rPr>
        <w:b/>
        <w:bCs/>
        <w:color w:val="auto"/>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26793471">
    <w:abstractNumId w:val="4"/>
  </w:num>
  <w:num w:numId="2" w16cid:durableId="1865438093">
    <w:abstractNumId w:val="3"/>
  </w:num>
  <w:num w:numId="3" w16cid:durableId="1951815488">
    <w:abstractNumId w:val="0"/>
  </w:num>
  <w:num w:numId="4" w16cid:durableId="2106729745">
    <w:abstractNumId w:val="1"/>
  </w:num>
  <w:num w:numId="5" w16cid:durableId="2134403467">
    <w:abstractNumId w:val="2"/>
  </w:num>
  <w:num w:numId="6" w16cid:durableId="554707807">
    <w:abstractNumId w:val="5"/>
  </w:num>
  <w:num w:numId="7" w16cid:durableId="749619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98"/>
    <w:rsid w:val="00010AFB"/>
    <w:rsid w:val="00017325"/>
    <w:rsid w:val="0002312C"/>
    <w:rsid w:val="00031CB7"/>
    <w:rsid w:val="00043DEE"/>
    <w:rsid w:val="0004437F"/>
    <w:rsid w:val="000531D0"/>
    <w:rsid w:val="00060D9E"/>
    <w:rsid w:val="0006465F"/>
    <w:rsid w:val="00086044"/>
    <w:rsid w:val="00095A6A"/>
    <w:rsid w:val="000A4085"/>
    <w:rsid w:val="000A59A6"/>
    <w:rsid w:val="000A5A0C"/>
    <w:rsid w:val="000A68B8"/>
    <w:rsid w:val="000A7849"/>
    <w:rsid w:val="000B0D46"/>
    <w:rsid w:val="000C694C"/>
    <w:rsid w:val="000C7ECF"/>
    <w:rsid w:val="000D2987"/>
    <w:rsid w:val="000D4E8F"/>
    <w:rsid w:val="000D742C"/>
    <w:rsid w:val="000E12D5"/>
    <w:rsid w:val="000E20FC"/>
    <w:rsid w:val="000E41C8"/>
    <w:rsid w:val="000E4C70"/>
    <w:rsid w:val="000E624C"/>
    <w:rsid w:val="000E7219"/>
    <w:rsid w:val="000F3ED9"/>
    <w:rsid w:val="001070F5"/>
    <w:rsid w:val="00114644"/>
    <w:rsid w:val="001216BE"/>
    <w:rsid w:val="001357E2"/>
    <w:rsid w:val="00136AD9"/>
    <w:rsid w:val="00142A7E"/>
    <w:rsid w:val="0014328B"/>
    <w:rsid w:val="001453FC"/>
    <w:rsid w:val="001515C0"/>
    <w:rsid w:val="0016079C"/>
    <w:rsid w:val="00164EEF"/>
    <w:rsid w:val="00167F99"/>
    <w:rsid w:val="001743CA"/>
    <w:rsid w:val="00181368"/>
    <w:rsid w:val="00191765"/>
    <w:rsid w:val="00197A08"/>
    <w:rsid w:val="001B0608"/>
    <w:rsid w:val="001B1959"/>
    <w:rsid w:val="001C178B"/>
    <w:rsid w:val="001D05B2"/>
    <w:rsid w:val="001D4D11"/>
    <w:rsid w:val="001E470F"/>
    <w:rsid w:val="001E5755"/>
    <w:rsid w:val="001F00C3"/>
    <w:rsid w:val="001F4850"/>
    <w:rsid w:val="00204714"/>
    <w:rsid w:val="00204D8A"/>
    <w:rsid w:val="00206819"/>
    <w:rsid w:val="00213F07"/>
    <w:rsid w:val="00223D29"/>
    <w:rsid w:val="002369C9"/>
    <w:rsid w:val="00237917"/>
    <w:rsid w:val="002409D6"/>
    <w:rsid w:val="00242820"/>
    <w:rsid w:val="00252C4C"/>
    <w:rsid w:val="00252EE3"/>
    <w:rsid w:val="00253205"/>
    <w:rsid w:val="00253D78"/>
    <w:rsid w:val="002578B7"/>
    <w:rsid w:val="002604F3"/>
    <w:rsid w:val="002609C8"/>
    <w:rsid w:val="0026433B"/>
    <w:rsid w:val="00265DD5"/>
    <w:rsid w:val="00266EC6"/>
    <w:rsid w:val="00272414"/>
    <w:rsid w:val="0027704B"/>
    <w:rsid w:val="00277140"/>
    <w:rsid w:val="00283D1F"/>
    <w:rsid w:val="002A3868"/>
    <w:rsid w:val="002A3B35"/>
    <w:rsid w:val="002A7646"/>
    <w:rsid w:val="002B0CFA"/>
    <w:rsid w:val="002B2ADF"/>
    <w:rsid w:val="002B640E"/>
    <w:rsid w:val="002C22E2"/>
    <w:rsid w:val="002D1622"/>
    <w:rsid w:val="002E085F"/>
    <w:rsid w:val="002E25CB"/>
    <w:rsid w:val="002E2AE9"/>
    <w:rsid w:val="002E6F33"/>
    <w:rsid w:val="002F2A66"/>
    <w:rsid w:val="002F41B9"/>
    <w:rsid w:val="002F5B37"/>
    <w:rsid w:val="00300428"/>
    <w:rsid w:val="00311104"/>
    <w:rsid w:val="003148FB"/>
    <w:rsid w:val="00315528"/>
    <w:rsid w:val="00315D29"/>
    <w:rsid w:val="00324ABF"/>
    <w:rsid w:val="00325784"/>
    <w:rsid w:val="0032632B"/>
    <w:rsid w:val="00340399"/>
    <w:rsid w:val="0035189D"/>
    <w:rsid w:val="00351B85"/>
    <w:rsid w:val="00353516"/>
    <w:rsid w:val="00372F09"/>
    <w:rsid w:val="003742FB"/>
    <w:rsid w:val="00374AE2"/>
    <w:rsid w:val="00384525"/>
    <w:rsid w:val="00397839"/>
    <w:rsid w:val="003A7090"/>
    <w:rsid w:val="003A7D4E"/>
    <w:rsid w:val="003D660F"/>
    <w:rsid w:val="003D6703"/>
    <w:rsid w:val="00403760"/>
    <w:rsid w:val="0041781D"/>
    <w:rsid w:val="00421334"/>
    <w:rsid w:val="004217C1"/>
    <w:rsid w:val="00421C3B"/>
    <w:rsid w:val="0043131C"/>
    <w:rsid w:val="00433EF2"/>
    <w:rsid w:val="00436267"/>
    <w:rsid w:val="004418B8"/>
    <w:rsid w:val="004515EC"/>
    <w:rsid w:val="00460952"/>
    <w:rsid w:val="00462550"/>
    <w:rsid w:val="004653AD"/>
    <w:rsid w:val="00474392"/>
    <w:rsid w:val="00476D5F"/>
    <w:rsid w:val="00482E5B"/>
    <w:rsid w:val="00483228"/>
    <w:rsid w:val="00484D21"/>
    <w:rsid w:val="004874D9"/>
    <w:rsid w:val="00487602"/>
    <w:rsid w:val="00487B55"/>
    <w:rsid w:val="00494467"/>
    <w:rsid w:val="004975D5"/>
    <w:rsid w:val="004A5082"/>
    <w:rsid w:val="004A5C04"/>
    <w:rsid w:val="004A6A81"/>
    <w:rsid w:val="004C118C"/>
    <w:rsid w:val="004C1CB3"/>
    <w:rsid w:val="004C5B3B"/>
    <w:rsid w:val="004C7B01"/>
    <w:rsid w:val="004D0BE6"/>
    <w:rsid w:val="004D536C"/>
    <w:rsid w:val="004F0D35"/>
    <w:rsid w:val="004F504D"/>
    <w:rsid w:val="004F734A"/>
    <w:rsid w:val="005005D1"/>
    <w:rsid w:val="0050204C"/>
    <w:rsid w:val="00503193"/>
    <w:rsid w:val="00503860"/>
    <w:rsid w:val="00505031"/>
    <w:rsid w:val="00511B8B"/>
    <w:rsid w:val="00515FFA"/>
    <w:rsid w:val="00516187"/>
    <w:rsid w:val="00522026"/>
    <w:rsid w:val="005340ED"/>
    <w:rsid w:val="0054615E"/>
    <w:rsid w:val="005507E2"/>
    <w:rsid w:val="00552B06"/>
    <w:rsid w:val="00556762"/>
    <w:rsid w:val="00562928"/>
    <w:rsid w:val="00563C07"/>
    <w:rsid w:val="00565985"/>
    <w:rsid w:val="00571A22"/>
    <w:rsid w:val="005736BC"/>
    <w:rsid w:val="00573C31"/>
    <w:rsid w:val="00582F63"/>
    <w:rsid w:val="00584C33"/>
    <w:rsid w:val="00596DCA"/>
    <w:rsid w:val="005A207A"/>
    <w:rsid w:val="005A23E8"/>
    <w:rsid w:val="005B24CC"/>
    <w:rsid w:val="005B411F"/>
    <w:rsid w:val="005B53FD"/>
    <w:rsid w:val="005C5F97"/>
    <w:rsid w:val="005D3FA2"/>
    <w:rsid w:val="005D6232"/>
    <w:rsid w:val="005E0A39"/>
    <w:rsid w:val="005E1620"/>
    <w:rsid w:val="005E6B84"/>
    <w:rsid w:val="005E7D36"/>
    <w:rsid w:val="005F1969"/>
    <w:rsid w:val="005F3CAC"/>
    <w:rsid w:val="0060008D"/>
    <w:rsid w:val="006027A6"/>
    <w:rsid w:val="00604061"/>
    <w:rsid w:val="00604CC5"/>
    <w:rsid w:val="00604FBF"/>
    <w:rsid w:val="006071CD"/>
    <w:rsid w:val="006205D4"/>
    <w:rsid w:val="0062151B"/>
    <w:rsid w:val="0062417D"/>
    <w:rsid w:val="00624D4D"/>
    <w:rsid w:val="00644589"/>
    <w:rsid w:val="0065504C"/>
    <w:rsid w:val="00661D04"/>
    <w:rsid w:val="0066446E"/>
    <w:rsid w:val="0066510D"/>
    <w:rsid w:val="006652DD"/>
    <w:rsid w:val="00665317"/>
    <w:rsid w:val="00680CF3"/>
    <w:rsid w:val="00683658"/>
    <w:rsid w:val="00693D51"/>
    <w:rsid w:val="006952A0"/>
    <w:rsid w:val="006B4A56"/>
    <w:rsid w:val="006C15EC"/>
    <w:rsid w:val="006C7917"/>
    <w:rsid w:val="006D1CDF"/>
    <w:rsid w:val="006D3423"/>
    <w:rsid w:val="006D36DF"/>
    <w:rsid w:val="006D7A94"/>
    <w:rsid w:val="006E3977"/>
    <w:rsid w:val="006E60C8"/>
    <w:rsid w:val="006F1E1D"/>
    <w:rsid w:val="006F3F49"/>
    <w:rsid w:val="006F545E"/>
    <w:rsid w:val="006F5B52"/>
    <w:rsid w:val="007027E3"/>
    <w:rsid w:val="00703B14"/>
    <w:rsid w:val="007045BE"/>
    <w:rsid w:val="007048C4"/>
    <w:rsid w:val="007074D5"/>
    <w:rsid w:val="00707512"/>
    <w:rsid w:val="007128BD"/>
    <w:rsid w:val="007169AC"/>
    <w:rsid w:val="007212C0"/>
    <w:rsid w:val="0072186A"/>
    <w:rsid w:val="0072476B"/>
    <w:rsid w:val="0074277E"/>
    <w:rsid w:val="0074517C"/>
    <w:rsid w:val="007468C5"/>
    <w:rsid w:val="00747EB8"/>
    <w:rsid w:val="00753465"/>
    <w:rsid w:val="00753D12"/>
    <w:rsid w:val="0075670E"/>
    <w:rsid w:val="0076285B"/>
    <w:rsid w:val="00762E3B"/>
    <w:rsid w:val="00767FB4"/>
    <w:rsid w:val="007702BB"/>
    <w:rsid w:val="007736FB"/>
    <w:rsid w:val="00773731"/>
    <w:rsid w:val="00774029"/>
    <w:rsid w:val="0077699C"/>
    <w:rsid w:val="00783EEA"/>
    <w:rsid w:val="00784980"/>
    <w:rsid w:val="0078765F"/>
    <w:rsid w:val="0079107E"/>
    <w:rsid w:val="00794452"/>
    <w:rsid w:val="007A34B5"/>
    <w:rsid w:val="007A5B95"/>
    <w:rsid w:val="007B0B06"/>
    <w:rsid w:val="007B5DF7"/>
    <w:rsid w:val="007B6FE5"/>
    <w:rsid w:val="007B758E"/>
    <w:rsid w:val="007C0994"/>
    <w:rsid w:val="007C4886"/>
    <w:rsid w:val="007C51E8"/>
    <w:rsid w:val="007C6948"/>
    <w:rsid w:val="007D210D"/>
    <w:rsid w:val="007D314D"/>
    <w:rsid w:val="007D4EB0"/>
    <w:rsid w:val="007D657F"/>
    <w:rsid w:val="007E020A"/>
    <w:rsid w:val="007F3D7A"/>
    <w:rsid w:val="00800B99"/>
    <w:rsid w:val="00806829"/>
    <w:rsid w:val="00812124"/>
    <w:rsid w:val="008177CC"/>
    <w:rsid w:val="0082358B"/>
    <w:rsid w:val="00823DAD"/>
    <w:rsid w:val="00833259"/>
    <w:rsid w:val="00835AA5"/>
    <w:rsid w:val="008457AB"/>
    <w:rsid w:val="00852DED"/>
    <w:rsid w:val="0087011D"/>
    <w:rsid w:val="0089011A"/>
    <w:rsid w:val="00891B4F"/>
    <w:rsid w:val="00895134"/>
    <w:rsid w:val="00895CCE"/>
    <w:rsid w:val="00897252"/>
    <w:rsid w:val="008A0E85"/>
    <w:rsid w:val="008A33CC"/>
    <w:rsid w:val="008B2AB4"/>
    <w:rsid w:val="008C133C"/>
    <w:rsid w:val="008C3082"/>
    <w:rsid w:val="008C5DA5"/>
    <w:rsid w:val="008C7A1E"/>
    <w:rsid w:val="008D2408"/>
    <w:rsid w:val="008D2EEC"/>
    <w:rsid w:val="008D4276"/>
    <w:rsid w:val="008E14B9"/>
    <w:rsid w:val="008E3FCD"/>
    <w:rsid w:val="008E4696"/>
    <w:rsid w:val="008E5192"/>
    <w:rsid w:val="008F09DF"/>
    <w:rsid w:val="00920AE5"/>
    <w:rsid w:val="00924320"/>
    <w:rsid w:val="00932E02"/>
    <w:rsid w:val="00937B11"/>
    <w:rsid w:val="00947EB9"/>
    <w:rsid w:val="00952F8A"/>
    <w:rsid w:val="0095622C"/>
    <w:rsid w:val="00963E08"/>
    <w:rsid w:val="00964065"/>
    <w:rsid w:val="00966435"/>
    <w:rsid w:val="00972F86"/>
    <w:rsid w:val="00973023"/>
    <w:rsid w:val="00974F8E"/>
    <w:rsid w:val="00981783"/>
    <w:rsid w:val="00993C32"/>
    <w:rsid w:val="009966A6"/>
    <w:rsid w:val="009A3FA1"/>
    <w:rsid w:val="009A47DF"/>
    <w:rsid w:val="009A7149"/>
    <w:rsid w:val="009A72AC"/>
    <w:rsid w:val="009B4C7A"/>
    <w:rsid w:val="009C3717"/>
    <w:rsid w:val="009D6183"/>
    <w:rsid w:val="009D72BC"/>
    <w:rsid w:val="009E22F4"/>
    <w:rsid w:val="009E3AED"/>
    <w:rsid w:val="009E5BCE"/>
    <w:rsid w:val="009E5EF8"/>
    <w:rsid w:val="009F32D0"/>
    <w:rsid w:val="009F775E"/>
    <w:rsid w:val="00A16095"/>
    <w:rsid w:val="00A20171"/>
    <w:rsid w:val="00A22268"/>
    <w:rsid w:val="00A23A23"/>
    <w:rsid w:val="00A3583E"/>
    <w:rsid w:val="00A40B49"/>
    <w:rsid w:val="00A531A2"/>
    <w:rsid w:val="00A6044A"/>
    <w:rsid w:val="00A63696"/>
    <w:rsid w:val="00A64476"/>
    <w:rsid w:val="00A652AC"/>
    <w:rsid w:val="00A70B90"/>
    <w:rsid w:val="00A77994"/>
    <w:rsid w:val="00AA39A8"/>
    <w:rsid w:val="00AA5E8F"/>
    <w:rsid w:val="00AA6DF7"/>
    <w:rsid w:val="00AB0A58"/>
    <w:rsid w:val="00AB1C1C"/>
    <w:rsid w:val="00AB1FD5"/>
    <w:rsid w:val="00AC5251"/>
    <w:rsid w:val="00AC77C3"/>
    <w:rsid w:val="00AD19A9"/>
    <w:rsid w:val="00AD257E"/>
    <w:rsid w:val="00AD4D97"/>
    <w:rsid w:val="00AE1927"/>
    <w:rsid w:val="00AE25C3"/>
    <w:rsid w:val="00AE28CB"/>
    <w:rsid w:val="00AE59B2"/>
    <w:rsid w:val="00AE6017"/>
    <w:rsid w:val="00AF4896"/>
    <w:rsid w:val="00AF514D"/>
    <w:rsid w:val="00B03A99"/>
    <w:rsid w:val="00B12158"/>
    <w:rsid w:val="00B12D1D"/>
    <w:rsid w:val="00B24746"/>
    <w:rsid w:val="00B26246"/>
    <w:rsid w:val="00B41256"/>
    <w:rsid w:val="00B44458"/>
    <w:rsid w:val="00B478C7"/>
    <w:rsid w:val="00B47F37"/>
    <w:rsid w:val="00B50013"/>
    <w:rsid w:val="00B5170A"/>
    <w:rsid w:val="00B529AF"/>
    <w:rsid w:val="00B5527D"/>
    <w:rsid w:val="00B5611B"/>
    <w:rsid w:val="00B609C8"/>
    <w:rsid w:val="00B61588"/>
    <w:rsid w:val="00B63732"/>
    <w:rsid w:val="00B72A12"/>
    <w:rsid w:val="00B83AE6"/>
    <w:rsid w:val="00B85983"/>
    <w:rsid w:val="00B92F0E"/>
    <w:rsid w:val="00BA2A9F"/>
    <w:rsid w:val="00BA2C48"/>
    <w:rsid w:val="00BA5E61"/>
    <w:rsid w:val="00BB108B"/>
    <w:rsid w:val="00BB1E26"/>
    <w:rsid w:val="00BB37D9"/>
    <w:rsid w:val="00BB5B91"/>
    <w:rsid w:val="00BB66CA"/>
    <w:rsid w:val="00BB7D1E"/>
    <w:rsid w:val="00BC2E0E"/>
    <w:rsid w:val="00BC5E92"/>
    <w:rsid w:val="00BD2929"/>
    <w:rsid w:val="00BD64F2"/>
    <w:rsid w:val="00BF077A"/>
    <w:rsid w:val="00BF3B1E"/>
    <w:rsid w:val="00BF3D92"/>
    <w:rsid w:val="00C04DE0"/>
    <w:rsid w:val="00C06CF8"/>
    <w:rsid w:val="00C07C7E"/>
    <w:rsid w:val="00C12E03"/>
    <w:rsid w:val="00C132D1"/>
    <w:rsid w:val="00C17F35"/>
    <w:rsid w:val="00C318DD"/>
    <w:rsid w:val="00C3702C"/>
    <w:rsid w:val="00C40B4B"/>
    <w:rsid w:val="00C4528E"/>
    <w:rsid w:val="00C4738F"/>
    <w:rsid w:val="00C518B1"/>
    <w:rsid w:val="00C622A2"/>
    <w:rsid w:val="00C6442A"/>
    <w:rsid w:val="00C66D98"/>
    <w:rsid w:val="00C679E7"/>
    <w:rsid w:val="00C7045D"/>
    <w:rsid w:val="00C75C27"/>
    <w:rsid w:val="00C765AA"/>
    <w:rsid w:val="00C77C9A"/>
    <w:rsid w:val="00C81D47"/>
    <w:rsid w:val="00C856C4"/>
    <w:rsid w:val="00C90031"/>
    <w:rsid w:val="00CA33BA"/>
    <w:rsid w:val="00CA720B"/>
    <w:rsid w:val="00CB0C8E"/>
    <w:rsid w:val="00CB2701"/>
    <w:rsid w:val="00CB7000"/>
    <w:rsid w:val="00CB74E6"/>
    <w:rsid w:val="00CC01DA"/>
    <w:rsid w:val="00CC2489"/>
    <w:rsid w:val="00CC68CE"/>
    <w:rsid w:val="00CC736E"/>
    <w:rsid w:val="00CD28A0"/>
    <w:rsid w:val="00CD66B4"/>
    <w:rsid w:val="00CE1AE6"/>
    <w:rsid w:val="00CE20E1"/>
    <w:rsid w:val="00CE4C43"/>
    <w:rsid w:val="00CE7139"/>
    <w:rsid w:val="00CF2273"/>
    <w:rsid w:val="00CF2F47"/>
    <w:rsid w:val="00CF3071"/>
    <w:rsid w:val="00D04723"/>
    <w:rsid w:val="00D05085"/>
    <w:rsid w:val="00D119E9"/>
    <w:rsid w:val="00D11EAC"/>
    <w:rsid w:val="00D249E0"/>
    <w:rsid w:val="00D24B71"/>
    <w:rsid w:val="00D315A2"/>
    <w:rsid w:val="00D31C30"/>
    <w:rsid w:val="00D32456"/>
    <w:rsid w:val="00D4022A"/>
    <w:rsid w:val="00D44DA5"/>
    <w:rsid w:val="00D528BB"/>
    <w:rsid w:val="00D5397C"/>
    <w:rsid w:val="00D53B5F"/>
    <w:rsid w:val="00D57F7F"/>
    <w:rsid w:val="00D62DC2"/>
    <w:rsid w:val="00D62F19"/>
    <w:rsid w:val="00D637E4"/>
    <w:rsid w:val="00D64D63"/>
    <w:rsid w:val="00D66834"/>
    <w:rsid w:val="00D672A9"/>
    <w:rsid w:val="00D763C9"/>
    <w:rsid w:val="00D829D2"/>
    <w:rsid w:val="00D830A8"/>
    <w:rsid w:val="00D83DE4"/>
    <w:rsid w:val="00D8477D"/>
    <w:rsid w:val="00D862C6"/>
    <w:rsid w:val="00D90F62"/>
    <w:rsid w:val="00D925D4"/>
    <w:rsid w:val="00D93163"/>
    <w:rsid w:val="00D96512"/>
    <w:rsid w:val="00DA2817"/>
    <w:rsid w:val="00DA5D53"/>
    <w:rsid w:val="00DB4B88"/>
    <w:rsid w:val="00DC1E25"/>
    <w:rsid w:val="00DC411D"/>
    <w:rsid w:val="00DC6F58"/>
    <w:rsid w:val="00DE5311"/>
    <w:rsid w:val="00DE5D0A"/>
    <w:rsid w:val="00DF2C62"/>
    <w:rsid w:val="00DF2F77"/>
    <w:rsid w:val="00DF4C6D"/>
    <w:rsid w:val="00DF7F0D"/>
    <w:rsid w:val="00E04C41"/>
    <w:rsid w:val="00E1007D"/>
    <w:rsid w:val="00E113D1"/>
    <w:rsid w:val="00E128FE"/>
    <w:rsid w:val="00E22859"/>
    <w:rsid w:val="00E342E8"/>
    <w:rsid w:val="00E4188E"/>
    <w:rsid w:val="00E50F6E"/>
    <w:rsid w:val="00E529AF"/>
    <w:rsid w:val="00E54077"/>
    <w:rsid w:val="00E607C2"/>
    <w:rsid w:val="00E64287"/>
    <w:rsid w:val="00E64BA5"/>
    <w:rsid w:val="00E72ED6"/>
    <w:rsid w:val="00E7785C"/>
    <w:rsid w:val="00E80988"/>
    <w:rsid w:val="00E838A8"/>
    <w:rsid w:val="00E8477D"/>
    <w:rsid w:val="00E87234"/>
    <w:rsid w:val="00E92401"/>
    <w:rsid w:val="00E96B49"/>
    <w:rsid w:val="00E96D9F"/>
    <w:rsid w:val="00EA004A"/>
    <w:rsid w:val="00EB3FC1"/>
    <w:rsid w:val="00EB49A5"/>
    <w:rsid w:val="00EC4B86"/>
    <w:rsid w:val="00ED71B8"/>
    <w:rsid w:val="00ED7689"/>
    <w:rsid w:val="00EE40E1"/>
    <w:rsid w:val="00EF0BD2"/>
    <w:rsid w:val="00EF6B41"/>
    <w:rsid w:val="00EF6B86"/>
    <w:rsid w:val="00EF7010"/>
    <w:rsid w:val="00F0724A"/>
    <w:rsid w:val="00F12584"/>
    <w:rsid w:val="00F14C37"/>
    <w:rsid w:val="00F17236"/>
    <w:rsid w:val="00F20DF1"/>
    <w:rsid w:val="00F2418E"/>
    <w:rsid w:val="00F25DA8"/>
    <w:rsid w:val="00F2610C"/>
    <w:rsid w:val="00F30379"/>
    <w:rsid w:val="00F30A35"/>
    <w:rsid w:val="00F31184"/>
    <w:rsid w:val="00F42CBD"/>
    <w:rsid w:val="00F5109A"/>
    <w:rsid w:val="00F56605"/>
    <w:rsid w:val="00F70505"/>
    <w:rsid w:val="00F753E7"/>
    <w:rsid w:val="00F756DD"/>
    <w:rsid w:val="00F761EC"/>
    <w:rsid w:val="00F85956"/>
    <w:rsid w:val="00F90F80"/>
    <w:rsid w:val="00F91C66"/>
    <w:rsid w:val="00F97CE6"/>
    <w:rsid w:val="00FA09B6"/>
    <w:rsid w:val="00FB1F8A"/>
    <w:rsid w:val="00FB483D"/>
    <w:rsid w:val="00FB7EF0"/>
    <w:rsid w:val="00FC2EE8"/>
    <w:rsid w:val="00FC3E6E"/>
    <w:rsid w:val="00FC5F7E"/>
    <w:rsid w:val="00FD1DC4"/>
    <w:rsid w:val="00FE21AA"/>
    <w:rsid w:val="00FE3DBB"/>
    <w:rsid w:val="00FF6A59"/>
    <w:rsid w:val="09E986F7"/>
    <w:rsid w:val="0B1E0542"/>
    <w:rsid w:val="0E6BE7CB"/>
    <w:rsid w:val="13FF7AA2"/>
    <w:rsid w:val="1B5360F2"/>
    <w:rsid w:val="29EA24D1"/>
    <w:rsid w:val="31FC2296"/>
    <w:rsid w:val="398E15C3"/>
    <w:rsid w:val="401E83D4"/>
    <w:rsid w:val="4D5C705F"/>
    <w:rsid w:val="4EF39A82"/>
    <w:rsid w:val="5A5AE191"/>
    <w:rsid w:val="5B3E8ED1"/>
    <w:rsid w:val="5D9B3778"/>
    <w:rsid w:val="62FD3D05"/>
    <w:rsid w:val="657C43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7616"/>
  <w15:chartTrackingRefBased/>
  <w15:docId w15:val="{E5051C47-7E2B-4385-B578-37DC6D13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6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C6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C66D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C66D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C66D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C66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66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66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66D9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66D98"/>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C66D98"/>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C66D98"/>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C66D98"/>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C66D98"/>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C66D9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66D9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66D9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66D98"/>
    <w:rPr>
      <w:rFonts w:eastAsiaTheme="majorEastAsia" w:cstheme="majorBidi"/>
      <w:color w:val="272727" w:themeColor="text1" w:themeTint="D8"/>
    </w:rPr>
  </w:style>
  <w:style w:type="paragraph" w:styleId="Ttulo">
    <w:name w:val="Title"/>
    <w:basedOn w:val="Normal"/>
    <w:next w:val="Normal"/>
    <w:link w:val="TtuloCarter"/>
    <w:uiPriority w:val="10"/>
    <w:qFormat/>
    <w:rsid w:val="00C6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66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66D9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66D9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66D9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66D98"/>
    <w:rPr>
      <w:i/>
      <w:iCs/>
      <w:color w:val="404040" w:themeColor="text1" w:themeTint="BF"/>
    </w:rPr>
  </w:style>
  <w:style w:type="paragraph" w:styleId="PargrafodaLista">
    <w:name w:val="List Paragraph"/>
    <w:basedOn w:val="Normal"/>
    <w:uiPriority w:val="34"/>
    <w:qFormat/>
    <w:rsid w:val="00C66D98"/>
    <w:pPr>
      <w:ind w:left="720"/>
      <w:contextualSpacing/>
    </w:pPr>
  </w:style>
  <w:style w:type="character" w:styleId="nfaseIntensa">
    <w:name w:val="Intense Emphasis"/>
    <w:basedOn w:val="Tipodeletrapredefinidodopargrafo"/>
    <w:uiPriority w:val="21"/>
    <w:qFormat/>
    <w:rsid w:val="00C66D98"/>
    <w:rPr>
      <w:i/>
      <w:iCs/>
      <w:color w:val="0F4761" w:themeColor="accent1" w:themeShade="BF"/>
    </w:rPr>
  </w:style>
  <w:style w:type="paragraph" w:styleId="CitaoIntensa">
    <w:name w:val="Intense Quote"/>
    <w:basedOn w:val="Normal"/>
    <w:next w:val="Normal"/>
    <w:link w:val="CitaoIntensaCarter"/>
    <w:uiPriority w:val="30"/>
    <w:qFormat/>
    <w:rsid w:val="00C6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C66D98"/>
    <w:rPr>
      <w:i/>
      <w:iCs/>
      <w:color w:val="0F4761" w:themeColor="accent1" w:themeShade="BF"/>
    </w:rPr>
  </w:style>
  <w:style w:type="character" w:styleId="RefernciaIntensa">
    <w:name w:val="Intense Reference"/>
    <w:basedOn w:val="Tipodeletrapredefinidodopargrafo"/>
    <w:uiPriority w:val="32"/>
    <w:qFormat/>
    <w:rsid w:val="00C66D98"/>
    <w:rPr>
      <w:b/>
      <w:bCs/>
      <w:smallCaps/>
      <w:color w:val="0F4761" w:themeColor="accent1" w:themeShade="BF"/>
      <w:spacing w:val="5"/>
    </w:rPr>
  </w:style>
  <w:style w:type="paragraph" w:styleId="Cabealho">
    <w:name w:val="header"/>
    <w:basedOn w:val="Normal"/>
    <w:link w:val="CabealhoCarter"/>
    <w:uiPriority w:val="99"/>
    <w:unhideWhenUsed/>
    <w:rsid w:val="00C66D98"/>
    <w:pPr>
      <w:tabs>
        <w:tab w:val="center" w:pos="4419"/>
        <w:tab w:val="right" w:pos="8838"/>
      </w:tabs>
      <w:spacing w:after="0" w:line="240" w:lineRule="auto"/>
    </w:pPr>
  </w:style>
  <w:style w:type="character" w:customStyle="1" w:styleId="CabealhoCarter">
    <w:name w:val="Cabeçalho Caráter"/>
    <w:basedOn w:val="Tipodeletrapredefinidodopargrafo"/>
    <w:link w:val="Cabealho"/>
    <w:uiPriority w:val="99"/>
    <w:rsid w:val="00C66D98"/>
  </w:style>
  <w:style w:type="paragraph" w:styleId="Rodap">
    <w:name w:val="footer"/>
    <w:basedOn w:val="Normal"/>
    <w:link w:val="RodapCarter"/>
    <w:uiPriority w:val="99"/>
    <w:unhideWhenUsed/>
    <w:rsid w:val="00C66D98"/>
    <w:pPr>
      <w:tabs>
        <w:tab w:val="center" w:pos="4419"/>
        <w:tab w:val="right" w:pos="8838"/>
      </w:tabs>
      <w:spacing w:after="0" w:line="240" w:lineRule="auto"/>
    </w:pPr>
  </w:style>
  <w:style w:type="character" w:customStyle="1" w:styleId="RodapCarter">
    <w:name w:val="Rodapé Caráter"/>
    <w:basedOn w:val="Tipodeletrapredefinidodopargrafo"/>
    <w:link w:val="Rodap"/>
    <w:uiPriority w:val="99"/>
    <w:rsid w:val="00C66D98"/>
  </w:style>
  <w:style w:type="character" w:styleId="Hiperligao">
    <w:name w:val="Hyperlink"/>
    <w:basedOn w:val="Tipodeletrapredefinidodopargrafo"/>
    <w:uiPriority w:val="99"/>
    <w:unhideWhenUsed/>
    <w:rsid w:val="002E2AE9"/>
    <w:rPr>
      <w:color w:val="467886" w:themeColor="hyperlink"/>
      <w:u w:val="single"/>
    </w:rPr>
  </w:style>
  <w:style w:type="character" w:styleId="MenoNoResolvida">
    <w:name w:val="Unresolved Mention"/>
    <w:basedOn w:val="Tipodeletrapredefinidodopargrafo"/>
    <w:uiPriority w:val="99"/>
    <w:semiHidden/>
    <w:unhideWhenUsed/>
    <w:rsid w:val="002E2AE9"/>
    <w:rPr>
      <w:color w:val="605E5C"/>
      <w:shd w:val="clear" w:color="auto" w:fill="E1DFDD"/>
    </w:rPr>
  </w:style>
  <w:style w:type="character" w:styleId="Refdecomentrio">
    <w:name w:val="annotation reference"/>
    <w:basedOn w:val="Tipodeletrapredefinidodopargrafo"/>
    <w:uiPriority w:val="99"/>
    <w:semiHidden/>
    <w:unhideWhenUsed/>
    <w:rsid w:val="002E2AE9"/>
    <w:rPr>
      <w:sz w:val="16"/>
      <w:szCs w:val="16"/>
    </w:rPr>
  </w:style>
  <w:style w:type="paragraph" w:styleId="Textodecomentrio">
    <w:name w:val="annotation text"/>
    <w:basedOn w:val="Normal"/>
    <w:link w:val="TextodecomentrioCarter"/>
    <w:uiPriority w:val="99"/>
    <w:unhideWhenUsed/>
    <w:rsid w:val="002E2AE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2E2AE9"/>
    <w:rPr>
      <w:sz w:val="20"/>
      <w:szCs w:val="20"/>
    </w:rPr>
  </w:style>
  <w:style w:type="paragraph" w:styleId="Assuntodecomentrio">
    <w:name w:val="annotation subject"/>
    <w:basedOn w:val="Textodecomentrio"/>
    <w:next w:val="Textodecomentrio"/>
    <w:link w:val="AssuntodecomentrioCarter"/>
    <w:uiPriority w:val="99"/>
    <w:semiHidden/>
    <w:unhideWhenUsed/>
    <w:rsid w:val="002E2AE9"/>
    <w:rPr>
      <w:b/>
      <w:bCs/>
    </w:rPr>
  </w:style>
  <w:style w:type="character" w:customStyle="1" w:styleId="AssuntodecomentrioCarter">
    <w:name w:val="Assunto de comentário Caráter"/>
    <w:basedOn w:val="TextodecomentrioCarter"/>
    <w:link w:val="Assuntodecomentrio"/>
    <w:uiPriority w:val="99"/>
    <w:semiHidden/>
    <w:rsid w:val="002E2AE9"/>
    <w:rPr>
      <w:b/>
      <w:bCs/>
      <w:sz w:val="20"/>
      <w:szCs w:val="20"/>
    </w:rPr>
  </w:style>
  <w:style w:type="paragraph" w:styleId="Reviso">
    <w:name w:val="Revision"/>
    <w:hidden/>
    <w:uiPriority w:val="99"/>
    <w:semiHidden/>
    <w:rsid w:val="00167F99"/>
    <w:pPr>
      <w:spacing w:after="0" w:line="240" w:lineRule="auto"/>
    </w:pPr>
  </w:style>
  <w:style w:type="character" w:styleId="Hiperligaovisitada">
    <w:name w:val="FollowedHyperlink"/>
    <w:basedOn w:val="Tipodeletrapredefinidodopargrafo"/>
    <w:uiPriority w:val="99"/>
    <w:semiHidden/>
    <w:unhideWhenUsed/>
    <w:rsid w:val="006445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quel.rogeiro@lift.com.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utorfinancas.pt/sobre-doutor-financ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utorfinancas.pt/financas-pessoais/guia-para-o-regresso-as-aulas-quanto-custa-um-ano-de-escol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outorfinancas.p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guel.carrilho@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E2CC265F5C2334985E4B3FC6F05D8EC" ma:contentTypeVersion="11" ma:contentTypeDescription="Criar um novo documento." ma:contentTypeScope="" ma:versionID="3e0c0f55a9c5d0c1b4c732b1ee1ee6dc">
  <xsd:schema xmlns:xsd="http://www.w3.org/2001/XMLSchema" xmlns:xs="http://www.w3.org/2001/XMLSchema" xmlns:p="http://schemas.microsoft.com/office/2006/metadata/properties" xmlns:ns2="5b430281-fad7-436a-b902-e011d6f73fb0" xmlns:ns3="758c6338-9cc2-440b-9e2c-ab0d12a0ff25" targetNamespace="http://schemas.microsoft.com/office/2006/metadata/properties" ma:root="true" ma:fieldsID="266be52e6d20fefa9b2cb8ff3e2c2dc4" ns2:_="" ns3:_="">
    <xsd:import namespace="5b430281-fad7-436a-b902-e011d6f73fb0"/>
    <xsd:import namespace="758c6338-9cc2-440b-9e2c-ab0d12a0f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30281-fad7-436a-b902-e011d6f73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c6338-9cc2-440b-9e2c-ab0d12a0ff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e6d457-6d3e-4a1d-bab7-9564f40c69ee}" ma:internalName="TaxCatchAll" ma:showField="CatchAllData" ma:web="758c6338-9cc2-440b-9e2c-ab0d12a0f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430281-fad7-436a-b902-e011d6f73fb0">
      <Terms xmlns="http://schemas.microsoft.com/office/infopath/2007/PartnerControls"/>
    </lcf76f155ced4ddcb4097134ff3c332f>
    <TaxCatchAll xmlns="758c6338-9cc2-440b-9e2c-ab0d12a0ff25" xsi:nil="true"/>
  </documentManagement>
</p:properties>
</file>

<file path=customXml/itemProps1.xml><?xml version="1.0" encoding="utf-8"?>
<ds:datastoreItem xmlns:ds="http://schemas.openxmlformats.org/officeDocument/2006/customXml" ds:itemID="{2CAE7453-388D-4124-A3CD-9E70FB915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30281-fad7-436a-b902-e011d6f73fb0"/>
    <ds:schemaRef ds:uri="758c6338-9cc2-440b-9e2c-ab0d12a0f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B4A6B-0C42-4D8E-97A6-8E18AB38C41A}">
  <ds:schemaRefs>
    <ds:schemaRef ds:uri="http://schemas.microsoft.com/sharepoint/v3/contenttype/forms"/>
  </ds:schemaRefs>
</ds:datastoreItem>
</file>

<file path=customXml/itemProps3.xml><?xml version="1.0" encoding="utf-8"?>
<ds:datastoreItem xmlns:ds="http://schemas.openxmlformats.org/officeDocument/2006/customXml" ds:itemID="{F57C5965-E003-404F-A887-C3ED02F3D5D5}">
  <ds:schemaRefs>
    <ds:schemaRef ds:uri="http://schemas.microsoft.com/office/2006/metadata/properties"/>
    <ds:schemaRef ds:uri="http://schemas.microsoft.com/office/infopath/2007/PartnerControls"/>
    <ds:schemaRef ds:uri="5b430281-fad7-436a-b902-e011d6f73fb0"/>
    <ds:schemaRef ds:uri="758c6338-9cc2-440b-9e2c-ab0d12a0ff25"/>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5</Pages>
  <Words>1333</Words>
  <Characters>7204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Duarte</dc:creator>
  <cp:keywords/>
  <dc:description/>
  <cp:lastModifiedBy>Raquel Rogeiro</cp:lastModifiedBy>
  <cp:revision>192</cp:revision>
  <cp:lastPrinted>2025-11-12T10:24:00Z</cp:lastPrinted>
  <dcterms:created xsi:type="dcterms:W3CDTF">2026-02-24T16:32:00Z</dcterms:created>
  <dcterms:modified xsi:type="dcterms:W3CDTF">2026-08-25T08:44:00Z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0x010100CE2CC265F5C2334985E4B3FC6F05D8EC</vt:lpwstr>
  </property>
  <property fmtid="{D5CDD505-2E9C-101B-9397-08002B2CF9AE}" pid="3" name="MediaServiceImageTags">
    <vt:lpwstr/>
  </property>
</Properties>
</file>