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3EA67" w14:textId="77777777" w:rsidR="00856270" w:rsidRPr="0091693D" w:rsidRDefault="00D07814" w:rsidP="00856270">
      <w:pPr>
        <w:rPr>
          <w:rFonts w:ascii="Calibri" w:hAnsi="Calibri" w:cs="Calibri"/>
          <w:sz w:val="16"/>
          <w:szCs w:val="16"/>
        </w:rPr>
      </w:pPr>
      <w:r w:rsidRPr="0091693D">
        <w:rPr>
          <w:rFonts w:ascii="Calibri" w:hAnsi="Calibri" w:cs="Calibri"/>
          <w:i/>
          <w:iCs/>
          <w:sz w:val="16"/>
          <w:szCs w:val="16"/>
        </w:rPr>
        <w:t xml:space="preserve">Informacja prasowa </w:t>
      </w:r>
      <w:r w:rsidRPr="0091693D">
        <w:rPr>
          <w:rFonts w:ascii="Calibri" w:hAnsi="Calibri" w:cs="Calibri"/>
          <w:sz w:val="16"/>
          <w:szCs w:val="16"/>
        </w:rPr>
        <w:t xml:space="preserve">      </w:t>
      </w:r>
    </w:p>
    <w:p w14:paraId="1EB20F70" w14:textId="1E894A6D" w:rsidR="00D07814" w:rsidRPr="0091693D" w:rsidRDefault="00D07814" w:rsidP="00D07814">
      <w:pPr>
        <w:jc w:val="center"/>
        <w:rPr>
          <w:rFonts w:ascii="Calibri" w:hAnsi="Calibri" w:cs="Calibri"/>
          <w:sz w:val="20"/>
          <w:szCs w:val="20"/>
        </w:rPr>
      </w:pPr>
      <w:r w:rsidRPr="0091693D">
        <w:rPr>
          <w:rFonts w:ascii="Calibri" w:hAnsi="Calibri" w:cs="Calibri"/>
          <w:sz w:val="16"/>
          <w:szCs w:val="16"/>
        </w:rPr>
        <w:t xml:space="preserve">                                                                                                                                                                                       </w:t>
      </w:r>
      <w:r w:rsidR="00856270" w:rsidRPr="0091693D">
        <w:rPr>
          <w:rFonts w:ascii="Calibri" w:hAnsi="Calibri" w:cs="Calibri"/>
          <w:sz w:val="16"/>
          <w:szCs w:val="16"/>
        </w:rPr>
        <w:t xml:space="preserve"> </w:t>
      </w:r>
      <w:r w:rsidR="0091693D" w:rsidRPr="00145D71">
        <w:rPr>
          <w:rFonts w:ascii="Calibri" w:hAnsi="Calibri" w:cs="Calibri"/>
          <w:sz w:val="20"/>
          <w:szCs w:val="20"/>
        </w:rPr>
        <w:t>2</w:t>
      </w:r>
      <w:r w:rsidR="00145D71" w:rsidRPr="00145D71">
        <w:rPr>
          <w:rFonts w:ascii="Calibri" w:hAnsi="Calibri" w:cs="Calibri"/>
          <w:sz w:val="20"/>
          <w:szCs w:val="20"/>
        </w:rPr>
        <w:t>5</w:t>
      </w:r>
      <w:r w:rsidR="00856270" w:rsidRPr="00145D71">
        <w:rPr>
          <w:rFonts w:ascii="Calibri" w:hAnsi="Calibri" w:cs="Calibri"/>
          <w:sz w:val="20"/>
          <w:szCs w:val="20"/>
        </w:rPr>
        <w:t>.</w:t>
      </w:r>
      <w:r w:rsidR="009D1D73" w:rsidRPr="00145D71">
        <w:rPr>
          <w:rFonts w:ascii="Calibri" w:hAnsi="Calibri" w:cs="Calibri"/>
          <w:sz w:val="20"/>
          <w:szCs w:val="20"/>
        </w:rPr>
        <w:t>08</w:t>
      </w:r>
      <w:r w:rsidRPr="00145D71">
        <w:rPr>
          <w:rFonts w:ascii="Calibri" w:hAnsi="Calibri" w:cs="Calibri"/>
          <w:sz w:val="20"/>
          <w:szCs w:val="20"/>
        </w:rPr>
        <w:t>.202</w:t>
      </w:r>
      <w:r w:rsidR="00856270" w:rsidRPr="00145D71">
        <w:rPr>
          <w:rFonts w:ascii="Calibri" w:hAnsi="Calibri" w:cs="Calibri"/>
          <w:sz w:val="20"/>
          <w:szCs w:val="20"/>
        </w:rPr>
        <w:t>6 r.</w:t>
      </w:r>
    </w:p>
    <w:p w14:paraId="6CD0DD1C" w14:textId="77777777" w:rsidR="0091693D" w:rsidRPr="0091693D" w:rsidRDefault="0091693D" w:rsidP="0091693D">
      <w:pPr>
        <w:pStyle w:val="Nagwek1"/>
        <w:rPr>
          <w:rFonts w:ascii="Calibri" w:hAnsi="Calibri" w:cs="Calibri"/>
          <w:color w:val="000000"/>
        </w:rPr>
      </w:pPr>
      <w:r w:rsidRPr="0091693D">
        <w:rPr>
          <w:rFonts w:ascii="Calibri" w:hAnsi="Calibri" w:cs="Calibri"/>
          <w:color w:val="000000"/>
        </w:rPr>
        <w:t xml:space="preserve">Od </w:t>
      </w:r>
      <w:proofErr w:type="spellStart"/>
      <w:r w:rsidRPr="0091693D">
        <w:rPr>
          <w:rFonts w:ascii="Calibri" w:hAnsi="Calibri" w:cs="Calibri"/>
          <w:color w:val="000000"/>
        </w:rPr>
        <w:t>nearshoringu</w:t>
      </w:r>
      <w:proofErr w:type="spellEnd"/>
      <w:r w:rsidRPr="0091693D">
        <w:rPr>
          <w:rFonts w:ascii="Calibri" w:hAnsi="Calibri" w:cs="Calibri"/>
          <w:color w:val="000000"/>
        </w:rPr>
        <w:t xml:space="preserve"> do </w:t>
      </w:r>
      <w:proofErr w:type="spellStart"/>
      <w:r w:rsidRPr="0091693D">
        <w:rPr>
          <w:rFonts w:ascii="Calibri" w:hAnsi="Calibri" w:cs="Calibri"/>
          <w:color w:val="000000"/>
        </w:rPr>
        <w:t>techshoringu</w:t>
      </w:r>
      <w:proofErr w:type="spellEnd"/>
      <w:r w:rsidRPr="0091693D">
        <w:rPr>
          <w:rFonts w:ascii="Calibri" w:hAnsi="Calibri" w:cs="Calibri"/>
          <w:color w:val="000000"/>
        </w:rPr>
        <w:t>. Cyfrowa infrastruktura coraz częściej decyduje o inwestycjach z Azji w Polsce</w:t>
      </w:r>
    </w:p>
    <w:p w14:paraId="23BF6E57" w14:textId="77777777" w:rsidR="0091693D" w:rsidRPr="0091693D" w:rsidRDefault="0091693D" w:rsidP="0091693D">
      <w:pPr>
        <w:pStyle w:val="isselectedend"/>
        <w:rPr>
          <w:rFonts w:ascii="Calibri" w:hAnsi="Calibri" w:cs="Calibri"/>
          <w:color w:val="000000"/>
        </w:rPr>
      </w:pPr>
      <w:r w:rsidRPr="0091693D">
        <w:rPr>
          <w:rStyle w:val="Pogrubienie"/>
          <w:rFonts w:ascii="Calibri" w:hAnsi="Calibri" w:cs="Calibri"/>
          <w:color w:val="000000"/>
        </w:rPr>
        <w:t xml:space="preserve">Polska przyciąga inwestorów już nie tylko kosztami, położeniem i zapleczem magazynowym. Coraz częściej o wyborze lokalizacji przez firmy z Azji decyduje gotowość obiektów do automatyzacji, integracji systemów i zarządzania operacjami w czasie rzeczywistym. Rynek wchodzi tym samym w nowy etap: od </w:t>
      </w:r>
      <w:proofErr w:type="spellStart"/>
      <w:r w:rsidRPr="0091693D">
        <w:rPr>
          <w:rStyle w:val="Pogrubienie"/>
          <w:rFonts w:ascii="Calibri" w:hAnsi="Calibri" w:cs="Calibri"/>
          <w:color w:val="000000"/>
        </w:rPr>
        <w:t>nearshoringu</w:t>
      </w:r>
      <w:proofErr w:type="spellEnd"/>
      <w:r w:rsidRPr="0091693D">
        <w:rPr>
          <w:rStyle w:val="Pogrubienie"/>
          <w:rFonts w:ascii="Calibri" w:hAnsi="Calibri" w:cs="Calibri"/>
          <w:color w:val="000000"/>
        </w:rPr>
        <w:t xml:space="preserve"> opartego głównie na lokalizacji i kosztach do </w:t>
      </w:r>
      <w:proofErr w:type="spellStart"/>
      <w:r w:rsidRPr="0091693D">
        <w:rPr>
          <w:rStyle w:val="Pogrubienie"/>
          <w:rFonts w:ascii="Calibri" w:hAnsi="Calibri" w:cs="Calibri"/>
          <w:color w:val="000000"/>
        </w:rPr>
        <w:t>techshoringu</w:t>
      </w:r>
      <w:proofErr w:type="spellEnd"/>
      <w:r w:rsidRPr="0091693D">
        <w:rPr>
          <w:rStyle w:val="Pogrubienie"/>
          <w:rFonts w:ascii="Calibri" w:hAnsi="Calibri" w:cs="Calibri"/>
          <w:color w:val="000000"/>
        </w:rPr>
        <w:t>, w którym przewagę buduje cyfrowa infrastruktura.</w:t>
      </w:r>
    </w:p>
    <w:p w14:paraId="01F8BA21" w14:textId="77777777" w:rsidR="0091693D" w:rsidRPr="0091693D" w:rsidRDefault="0091693D" w:rsidP="0091693D">
      <w:pPr>
        <w:pStyle w:val="isselectedend"/>
        <w:rPr>
          <w:rFonts w:ascii="Calibri" w:hAnsi="Calibri" w:cs="Calibri"/>
          <w:color w:val="000000"/>
        </w:rPr>
      </w:pPr>
      <w:r w:rsidRPr="0091693D">
        <w:rPr>
          <w:rFonts w:ascii="Calibri" w:hAnsi="Calibri" w:cs="Calibri"/>
          <w:color w:val="000000"/>
        </w:rPr>
        <w:t xml:space="preserve">Europa pozostaje jednym z najważniejszych kierunków dla globalnych inwestorów, mimo spowolnienia na rynku bezpośrednich inwestycji zagranicznych. Z raportu EY </w:t>
      </w:r>
      <w:proofErr w:type="spellStart"/>
      <w:r w:rsidRPr="0091693D">
        <w:rPr>
          <w:rFonts w:ascii="Calibri" w:hAnsi="Calibri" w:cs="Calibri"/>
          <w:color w:val="000000"/>
        </w:rPr>
        <w:t>European</w:t>
      </w:r>
      <w:proofErr w:type="spellEnd"/>
      <w:r w:rsidRPr="0091693D">
        <w:rPr>
          <w:rFonts w:ascii="Calibri" w:hAnsi="Calibri" w:cs="Calibri"/>
          <w:color w:val="000000"/>
        </w:rPr>
        <w:t xml:space="preserve"> </w:t>
      </w:r>
      <w:proofErr w:type="spellStart"/>
      <w:r w:rsidRPr="0091693D">
        <w:rPr>
          <w:rFonts w:ascii="Calibri" w:hAnsi="Calibri" w:cs="Calibri"/>
          <w:color w:val="000000"/>
        </w:rPr>
        <w:t>Attractiveness</w:t>
      </w:r>
      <w:proofErr w:type="spellEnd"/>
      <w:r w:rsidRPr="0091693D">
        <w:rPr>
          <w:rFonts w:ascii="Calibri" w:hAnsi="Calibri" w:cs="Calibri"/>
          <w:color w:val="000000"/>
        </w:rPr>
        <w:t xml:space="preserve"> </w:t>
      </w:r>
      <w:proofErr w:type="spellStart"/>
      <w:r w:rsidRPr="0091693D">
        <w:rPr>
          <w:rFonts w:ascii="Calibri" w:hAnsi="Calibri" w:cs="Calibri"/>
          <w:color w:val="000000"/>
        </w:rPr>
        <w:t>Survey</w:t>
      </w:r>
      <w:proofErr w:type="spellEnd"/>
      <w:r w:rsidRPr="0091693D">
        <w:rPr>
          <w:rFonts w:ascii="Calibri" w:hAnsi="Calibri" w:cs="Calibri"/>
          <w:color w:val="000000"/>
        </w:rPr>
        <w:t xml:space="preserve"> 2026 wynika, że liczba projektów inwestycyjnych w Europie spadła w ubiegłym roku o 7 proc., podczas gdy Polska odnotowała wzrost o 10 proc. Jednocześnie najszybciej rośnie liczba inwestycji związanych z technologiami, sztuczną inteligencją i zaawansowaną produkcją.</w:t>
      </w:r>
    </w:p>
    <w:p w14:paraId="3E093225" w14:textId="77777777" w:rsidR="0091693D" w:rsidRPr="0091693D" w:rsidRDefault="0091693D" w:rsidP="0091693D">
      <w:pPr>
        <w:pStyle w:val="isselectedend"/>
        <w:rPr>
          <w:rFonts w:ascii="Calibri" w:hAnsi="Calibri" w:cs="Calibri"/>
          <w:color w:val="000000"/>
        </w:rPr>
      </w:pPr>
      <w:r w:rsidRPr="0091693D">
        <w:rPr>
          <w:rStyle w:val="Uwydatnienie"/>
          <w:rFonts w:ascii="Calibri" w:hAnsi="Calibri" w:cs="Calibri"/>
          <w:color w:val="000000"/>
        </w:rPr>
        <w:t>„Jeszcze kilka lat temu inwestorzy pytali przede wszystkim o wysokość hali czy liczbę doków, a rozmowy koncentrowały się na lokalizacji i kosztach najmu. Dziś równie często pojawiają się pytania o dostępność mocy energetycznych, gotowość obiektu do automatyzacji, integrację systemów czy możliwość skalowania operacji. Polska konkuruje już nie tylko magazynami, gdzie za chwilę możemy być świadkami luki podażowej, ale całym środowiskiem prowadzenia biznesu”</w:t>
      </w:r>
      <w:r w:rsidRPr="0091693D">
        <w:rPr>
          <w:rStyle w:val="apple-converted-space"/>
          <w:rFonts w:ascii="Calibri" w:hAnsi="Calibri" w:cs="Calibri"/>
          <w:color w:val="000000"/>
        </w:rPr>
        <w:t> </w:t>
      </w:r>
      <w:r w:rsidRPr="0091693D">
        <w:rPr>
          <w:rFonts w:ascii="Calibri" w:hAnsi="Calibri" w:cs="Calibri"/>
          <w:color w:val="000000"/>
        </w:rPr>
        <w:t>– mówi</w:t>
      </w:r>
      <w:r w:rsidRPr="0091693D">
        <w:rPr>
          <w:rStyle w:val="apple-converted-space"/>
          <w:rFonts w:ascii="Calibri" w:hAnsi="Calibri" w:cs="Calibri"/>
          <w:color w:val="000000"/>
        </w:rPr>
        <w:t> </w:t>
      </w:r>
      <w:r w:rsidRPr="0091693D">
        <w:rPr>
          <w:rStyle w:val="Pogrubienie"/>
          <w:rFonts w:ascii="Calibri" w:hAnsi="Calibri" w:cs="Calibri"/>
          <w:color w:val="000000"/>
        </w:rPr>
        <w:t>Igor Roguski, partner w firmie doradczej SQM Advisory.</w:t>
      </w:r>
    </w:p>
    <w:p w14:paraId="01D58B17" w14:textId="77777777" w:rsidR="0091693D" w:rsidRPr="0091693D" w:rsidRDefault="0091693D" w:rsidP="0091693D">
      <w:pPr>
        <w:pStyle w:val="isselectedend"/>
        <w:rPr>
          <w:rFonts w:ascii="Calibri" w:hAnsi="Calibri" w:cs="Calibri"/>
          <w:color w:val="000000"/>
        </w:rPr>
      </w:pPr>
      <w:r w:rsidRPr="0091693D">
        <w:rPr>
          <w:rFonts w:ascii="Calibri" w:hAnsi="Calibri" w:cs="Calibri"/>
          <w:color w:val="000000"/>
        </w:rPr>
        <w:t>Ta zmiana dobrze pokazuje, jak ewoluują oczekiwania wobec nieruchomości komercyjnych. Według badania JLL „Czy polskie magazyny się starzeją?” największy wpływ na rozwój nowoczesnych obiektów magazynowych w ciągu najbliższych pięciu lat będą miały inteligentne technologie (62 proc.) oraz automatyzacja i robotyzacja procesów (54 proc.). O przewadze konkurencyjnej coraz rzadziej decyduje więc sam budynek. Coraz większe znaczenie ma to, czy można go zintegrować z systemami bezpieczeństwa, logistyki, zarządzania energią czy kontroli dostępu oraz czy pozwala analizować dane i automatyzować procesy w czasie rzeczywistym.</w:t>
      </w:r>
    </w:p>
    <w:p w14:paraId="7845AD12" w14:textId="77777777" w:rsidR="0091693D" w:rsidRPr="0091693D" w:rsidRDefault="0091693D" w:rsidP="0091693D">
      <w:pPr>
        <w:pStyle w:val="isselectedend"/>
        <w:rPr>
          <w:rFonts w:ascii="Calibri" w:hAnsi="Calibri" w:cs="Calibri"/>
          <w:color w:val="000000"/>
        </w:rPr>
      </w:pPr>
      <w:r w:rsidRPr="0091693D">
        <w:rPr>
          <w:rFonts w:ascii="Calibri" w:hAnsi="Calibri" w:cs="Calibri"/>
          <w:color w:val="000000"/>
        </w:rPr>
        <w:t>Zmianę tę obserwują również doradcy rynku nieruchomości. Z badania KPMG „German CEE Business Outlook 2026” wynika, że ponad połowa niemieckich przedsiębiorstw planujących rozwój działalności w Europie Środkowo-Wschodniej wskazuje Polskę jako preferowaną lokalizację inwestycji. Jednocześnie przedsiębiorcy coraz częściej zwracają uwagę nie tylko na koszty czy położenie, ale również na dostępność infrastruktury energetycznej, potencjał automatyzacji i możliwości dalszego rozwoju działalności.</w:t>
      </w:r>
    </w:p>
    <w:p w14:paraId="240D82D4" w14:textId="77777777" w:rsidR="0091693D" w:rsidRPr="0091693D" w:rsidRDefault="0091693D" w:rsidP="0091693D">
      <w:pPr>
        <w:pStyle w:val="isselectedend"/>
        <w:rPr>
          <w:rFonts w:ascii="Calibri" w:hAnsi="Calibri" w:cs="Calibri"/>
          <w:color w:val="000000"/>
        </w:rPr>
      </w:pPr>
      <w:r w:rsidRPr="0091693D">
        <w:rPr>
          <w:rFonts w:ascii="Calibri" w:hAnsi="Calibri" w:cs="Calibri"/>
          <w:color w:val="000000"/>
        </w:rPr>
        <w:lastRenderedPageBreak/>
        <w:t>Jednym z obszarów, w których tę zmianę widać szczególnie wyraźnie, jest logistyka. Blue Bolt wdraża rozwiązania do cyfrowego zarządzania dostępem również w obiektach logistycznych, gdzie technologia może wspierać m.in. obsługę ruchu kurierów, pracowników i podwykonawców. Procesy, które wcześniej wymagały manualnej obsługi, mogą być dzięki temu przenoszone do środowiska cyfrowego i integrowane z innymi systemami funkcjonującymi w obiekcie. Pokazuje to szerszą zmianę w podejściu do nieruchomości logistycznych – cyfrowa infrastruktura coraz częściej jest uwzględniana już na etapie projektowania i przygotowania operacji, a nie dopiero po uruchomieniu budynku.</w:t>
      </w:r>
    </w:p>
    <w:p w14:paraId="3560D004" w14:textId="77777777" w:rsidR="0091693D" w:rsidRPr="0091693D" w:rsidRDefault="0091693D" w:rsidP="0091693D">
      <w:pPr>
        <w:pStyle w:val="isselectedend"/>
        <w:rPr>
          <w:rFonts w:ascii="Calibri" w:hAnsi="Calibri" w:cs="Calibri"/>
          <w:color w:val="000000"/>
        </w:rPr>
      </w:pPr>
      <w:r w:rsidRPr="0091693D">
        <w:rPr>
          <w:rFonts w:ascii="Calibri" w:hAnsi="Calibri" w:cs="Calibri"/>
          <w:color w:val="000000"/>
        </w:rPr>
        <w:t xml:space="preserve">Cyfryzacja obiektów logistycznych przestaje być projektem technologicznym realizowanym po zakończeniu inwestycji. Coraz częściej jest planowana jako część całego środowiska operacyjnego, ponieważ wpływa nie tylko na sprawność codziennych procesów, ale również na możliwość dalszego rozwoju i skalowania biznesu. Technologie </w:t>
      </w:r>
      <w:proofErr w:type="spellStart"/>
      <w:r w:rsidRPr="0091693D">
        <w:rPr>
          <w:rFonts w:ascii="Calibri" w:hAnsi="Calibri" w:cs="Calibri"/>
          <w:color w:val="000000"/>
        </w:rPr>
        <w:t>proptech</w:t>
      </w:r>
      <w:proofErr w:type="spellEnd"/>
      <w:r w:rsidRPr="0091693D">
        <w:rPr>
          <w:rFonts w:ascii="Calibri" w:hAnsi="Calibri" w:cs="Calibri"/>
          <w:color w:val="000000"/>
        </w:rPr>
        <w:t xml:space="preserve"> przestają być tym samym jedynie elementem wyposażenia budynku, a stają się częścią infrastruktury wykorzystywanej przez przedsiębiorstwa.</w:t>
      </w:r>
    </w:p>
    <w:p w14:paraId="5E18EA7D" w14:textId="77777777" w:rsidR="0091693D" w:rsidRPr="0091693D" w:rsidRDefault="0091693D" w:rsidP="0091693D">
      <w:pPr>
        <w:pStyle w:val="isselectedend"/>
        <w:rPr>
          <w:rFonts w:ascii="Calibri" w:hAnsi="Calibri" w:cs="Calibri"/>
          <w:color w:val="000000"/>
        </w:rPr>
      </w:pPr>
      <w:r w:rsidRPr="0091693D">
        <w:rPr>
          <w:rStyle w:val="Uwydatnienie"/>
          <w:rFonts w:ascii="Calibri" w:hAnsi="Calibri" w:cs="Calibri"/>
          <w:color w:val="000000"/>
        </w:rPr>
        <w:t xml:space="preserve">„Magazyn przestaje być wyłącznie miejscem składowania towarów. Staje się elementem cyfrowego środowiska operacyjnego przedsiębiorstwa. Inwestorzy, w tym firmy azjatyckie, coraz częściej oczekują standardu, który można wdrożyć zarówno w nowym obiekcie, jak i zintegrować z istniejącą infrastrukturą w różnych krajach. Największą wartość daje dziś nie liczba systemów, ale ich integracja. Dla firm prowadzących działalność w wielu krajach </w:t>
      </w:r>
      <w:proofErr w:type="spellStart"/>
      <w:r w:rsidRPr="0091693D">
        <w:rPr>
          <w:rStyle w:val="Uwydatnienie"/>
          <w:rFonts w:ascii="Calibri" w:hAnsi="Calibri" w:cs="Calibri"/>
          <w:color w:val="000000"/>
        </w:rPr>
        <w:t>proptech</w:t>
      </w:r>
      <w:proofErr w:type="spellEnd"/>
      <w:r w:rsidRPr="0091693D">
        <w:rPr>
          <w:rStyle w:val="Uwydatnienie"/>
          <w:rFonts w:ascii="Calibri" w:hAnsi="Calibri" w:cs="Calibri"/>
          <w:color w:val="000000"/>
        </w:rPr>
        <w:t xml:space="preserve"> staje się elementem infrastruktury operacyjnej, a nie dodatkiem do budynku”</w:t>
      </w:r>
      <w:r w:rsidRPr="0091693D">
        <w:rPr>
          <w:rStyle w:val="apple-converted-space"/>
          <w:rFonts w:ascii="Calibri" w:hAnsi="Calibri" w:cs="Calibri"/>
          <w:color w:val="000000"/>
        </w:rPr>
        <w:t> </w:t>
      </w:r>
      <w:r w:rsidRPr="0091693D">
        <w:rPr>
          <w:rFonts w:ascii="Calibri" w:hAnsi="Calibri" w:cs="Calibri"/>
          <w:color w:val="000000"/>
        </w:rPr>
        <w:t>– dodaje</w:t>
      </w:r>
      <w:r w:rsidRPr="0091693D">
        <w:rPr>
          <w:rStyle w:val="apple-converted-space"/>
          <w:rFonts w:ascii="Calibri" w:hAnsi="Calibri" w:cs="Calibri"/>
          <w:color w:val="000000"/>
        </w:rPr>
        <w:t> </w:t>
      </w:r>
      <w:r w:rsidRPr="0091693D">
        <w:rPr>
          <w:rStyle w:val="Pogrubienie"/>
          <w:rFonts w:ascii="Calibri" w:hAnsi="Calibri" w:cs="Calibri"/>
          <w:color w:val="000000"/>
        </w:rPr>
        <w:t xml:space="preserve">Maciej Grabowski, założyciel Blue Bolt, polskiej firmy z branży </w:t>
      </w:r>
      <w:proofErr w:type="spellStart"/>
      <w:r w:rsidRPr="0091693D">
        <w:rPr>
          <w:rStyle w:val="Pogrubienie"/>
          <w:rFonts w:ascii="Calibri" w:hAnsi="Calibri" w:cs="Calibri"/>
          <w:color w:val="000000"/>
        </w:rPr>
        <w:t>proptech</w:t>
      </w:r>
      <w:proofErr w:type="spellEnd"/>
      <w:r w:rsidRPr="0091693D">
        <w:rPr>
          <w:rStyle w:val="Pogrubienie"/>
          <w:rFonts w:ascii="Calibri" w:hAnsi="Calibri" w:cs="Calibri"/>
          <w:color w:val="000000"/>
        </w:rPr>
        <w:t>.</w:t>
      </w:r>
    </w:p>
    <w:p w14:paraId="7CE8B0B9" w14:textId="77777777" w:rsidR="0091693D" w:rsidRPr="0091693D" w:rsidRDefault="0091693D" w:rsidP="0091693D">
      <w:pPr>
        <w:pStyle w:val="NormalnyWeb"/>
        <w:rPr>
          <w:rFonts w:ascii="Calibri" w:hAnsi="Calibri" w:cs="Calibri"/>
          <w:color w:val="000000"/>
        </w:rPr>
      </w:pPr>
      <w:r w:rsidRPr="0091693D">
        <w:rPr>
          <w:rFonts w:ascii="Calibri" w:hAnsi="Calibri" w:cs="Calibri"/>
          <w:color w:val="000000"/>
        </w:rPr>
        <w:t>W najbliższych latach przewaga inwestycyjna nie będzie już wynikać wyłącznie z lokalizacji czy kosztów operacyjnych, ale z poziomu cyfryzacji całego ekosystemu logistycznego. Kraje i rynki, które nie zbudują spójnej infrastruktury danych i zarządzania w czasie rzeczywistym, będą stopniowo tracić konkurencyjność w walce o najbardziej zaawansowane inwestycje z obszarów e-commerce, produkcji i nowych technologii. Polska ma dziś jeszcze pewne przewagi, jak choćby koszty czy dostępność pracowników w wybranych regionach, jednak kluczowe będzie to, czy uda się je przekuć w trwały standard rynkowy.</w:t>
      </w:r>
    </w:p>
    <w:p w14:paraId="547ADA25" w14:textId="3E32A1A3" w:rsidR="00B25E54" w:rsidRPr="0091693D" w:rsidRDefault="00B25E54" w:rsidP="00115AC9">
      <w:pPr>
        <w:jc w:val="both"/>
        <w:rPr>
          <w:rFonts w:ascii="Calibri" w:hAnsi="Calibri" w:cs="Calibri"/>
        </w:rPr>
      </w:pPr>
      <w:r w:rsidRPr="0091693D">
        <w:rPr>
          <w:rFonts w:ascii="Calibri" w:hAnsi="Calibri" w:cs="Calibri"/>
        </w:rPr>
        <w:t>---------------------------------------</w:t>
      </w:r>
      <w:r w:rsidRPr="0091693D">
        <w:rPr>
          <w:rFonts w:ascii="Calibri" w:hAnsi="Calibri" w:cs="Calibri"/>
        </w:rPr>
        <w:tab/>
      </w:r>
    </w:p>
    <w:p w14:paraId="74252B3B" w14:textId="77777777" w:rsidR="00B25E54" w:rsidRPr="0091693D" w:rsidRDefault="00B25E54" w:rsidP="00115AC9">
      <w:pPr>
        <w:jc w:val="both"/>
        <w:rPr>
          <w:rFonts w:ascii="Calibri" w:hAnsi="Calibri" w:cs="Calibri"/>
        </w:rPr>
      </w:pPr>
    </w:p>
    <w:p w14:paraId="3C932480" w14:textId="77777777" w:rsidR="00856270" w:rsidRPr="0091693D" w:rsidRDefault="00856270" w:rsidP="000F2BE8">
      <w:pPr>
        <w:jc w:val="both"/>
        <w:rPr>
          <w:rFonts w:ascii="Calibri" w:hAnsi="Calibri" w:cs="Calibri"/>
          <w:b/>
          <w:bCs/>
          <w:sz w:val="18"/>
          <w:szCs w:val="18"/>
        </w:rPr>
      </w:pPr>
      <w:r w:rsidRPr="0091693D">
        <w:rPr>
          <w:rFonts w:ascii="Calibri" w:hAnsi="Calibri" w:cs="Calibri"/>
          <w:b/>
          <w:bCs/>
          <w:sz w:val="18"/>
          <w:szCs w:val="18"/>
        </w:rPr>
        <w:t xml:space="preserve">Kontakt dla mediów: </w:t>
      </w:r>
    </w:p>
    <w:p w14:paraId="0310A1C0" w14:textId="73EC0EC6" w:rsidR="007D0BE7" w:rsidRPr="0091693D" w:rsidRDefault="00856270" w:rsidP="000F2BE8">
      <w:pPr>
        <w:jc w:val="both"/>
        <w:rPr>
          <w:rFonts w:ascii="Calibri" w:hAnsi="Calibri" w:cs="Calibri"/>
          <w:sz w:val="18"/>
          <w:szCs w:val="18"/>
        </w:rPr>
      </w:pPr>
      <w:r w:rsidRPr="0091693D">
        <w:rPr>
          <w:rFonts w:ascii="Calibri" w:hAnsi="Calibri" w:cs="Calibri"/>
          <w:sz w:val="18"/>
          <w:szCs w:val="18"/>
        </w:rPr>
        <w:t>Patrycja Rabińska, t: 504006016, e: patrycja.rabinska@marielhaan.com</w:t>
      </w:r>
    </w:p>
    <w:sectPr w:rsidR="007D0BE7" w:rsidRPr="0091693D" w:rsidSect="008F64AA">
      <w:headerReference w:type="default" r:id="rId8"/>
      <w:footerReference w:type="default" r:id="rId9"/>
      <w:pgSz w:w="11906" w:h="16838"/>
      <w:pgMar w:top="127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27B49" w14:textId="77777777" w:rsidR="00DF2A4E" w:rsidRDefault="00DF2A4E" w:rsidP="00C452A6">
      <w:pPr>
        <w:spacing w:after="0" w:line="240" w:lineRule="auto"/>
      </w:pPr>
      <w:r>
        <w:separator/>
      </w:r>
    </w:p>
  </w:endnote>
  <w:endnote w:type="continuationSeparator" w:id="0">
    <w:p w14:paraId="32DB86C9" w14:textId="77777777" w:rsidR="00DF2A4E" w:rsidRDefault="00DF2A4E" w:rsidP="00C45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A951A" w14:textId="77777777" w:rsidR="00C452A6" w:rsidRPr="00D52C6D" w:rsidRDefault="00C452A6" w:rsidP="000F2BE8">
    <w:pPr>
      <w:pStyle w:val="Stopka"/>
      <w:jc w:val="center"/>
      <w:rPr>
        <w:rFonts w:ascii="Calibri Light" w:hAnsi="Calibri Light" w:cs="Calibri Light"/>
        <w:color w:val="FAB200"/>
        <w:sz w:val="20"/>
        <w:szCs w:val="20"/>
        <w:lang w:val="en-US"/>
      </w:rPr>
    </w:pPr>
    <w:r w:rsidRPr="00D52C6D">
      <w:rPr>
        <w:rFonts w:ascii="Calibri Light" w:hAnsi="Calibri Light" w:cs="Calibri Light"/>
        <w:color w:val="FAB200"/>
        <w:sz w:val="20"/>
        <w:szCs w:val="20"/>
        <w:lang w:val="en-US"/>
      </w:rPr>
      <w:t xml:space="preserve">Mariel &amp; Haan Communications </w:t>
    </w:r>
    <w:r w:rsidRPr="00D52C6D">
      <w:rPr>
        <w:rFonts w:ascii="Calibri Light" w:hAnsi="Calibri Light" w:cs="Calibri Light"/>
        <w:color w:val="919193"/>
        <w:sz w:val="20"/>
        <w:szCs w:val="20"/>
        <w:lang w:val="en-US"/>
        <w14:textFill>
          <w14:solidFill>
            <w14:srgbClr w14:val="919193">
              <w14:lumMod w14:val="75000"/>
            </w14:srgbClr>
          </w14:solidFill>
        </w14:textFill>
      </w:rPr>
      <w:t>|</w:t>
    </w:r>
    <w:hyperlink r:id="rId1" w:history="1">
      <w:r w:rsidRPr="00D52C6D">
        <w:rPr>
          <w:rStyle w:val="Hipercze"/>
          <w:rFonts w:ascii="Calibri Light" w:hAnsi="Calibri Light" w:cs="Calibri Light"/>
          <w:color w:val="919193"/>
          <w:sz w:val="20"/>
          <w:szCs w:val="20"/>
          <w:lang w:val="en-US"/>
        </w:rPr>
        <w:t>www.marielhaan.com</w:t>
      </w:r>
    </w:hyperlink>
    <w:r w:rsidRPr="00D52C6D">
      <w:rPr>
        <w:rFonts w:ascii="Calibri Light" w:hAnsi="Calibri Light" w:cs="Calibri Light"/>
        <w:color w:val="919193"/>
        <w:sz w:val="20"/>
        <w:szCs w:val="20"/>
        <w:lang w:val="en-US"/>
        <w14:textFill>
          <w14:solidFill>
            <w14:srgbClr w14:val="919193">
              <w14:lumMod w14:val="75000"/>
            </w14:srgbClr>
          </w14:solidFill>
        </w14:textFill>
      </w:rPr>
      <w:t xml:space="preserve"> | </w:t>
    </w:r>
    <w:r w:rsidRPr="00D52C6D">
      <w:rPr>
        <w:rFonts w:ascii="Calibri Light" w:eastAsia="Times New Roman" w:hAnsi="Calibri Light" w:cs="Calibri Light"/>
        <w:color w:val="919193"/>
        <w:sz w:val="20"/>
        <w:szCs w:val="20"/>
        <w:shd w:val="clear" w:color="auto" w:fill="FFFFFF"/>
        <w:lang w:val="en-US" w:eastAsia="pl-PL"/>
      </w:rPr>
      <w:t>+48 504 006 016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628F7" w14:textId="77777777" w:rsidR="00DF2A4E" w:rsidRDefault="00DF2A4E" w:rsidP="00C452A6">
      <w:pPr>
        <w:spacing w:after="0" w:line="240" w:lineRule="auto"/>
      </w:pPr>
      <w:r>
        <w:separator/>
      </w:r>
    </w:p>
  </w:footnote>
  <w:footnote w:type="continuationSeparator" w:id="0">
    <w:p w14:paraId="13FEEB79" w14:textId="77777777" w:rsidR="00DF2A4E" w:rsidRDefault="00DF2A4E" w:rsidP="00C452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80630" w14:textId="3BB29614" w:rsidR="00C452A6" w:rsidRDefault="00C452A6">
    <w:pPr>
      <w:pStyle w:val="Nagwek"/>
    </w:pPr>
    <w:r>
      <w:rPr>
        <w:noProof/>
      </w:rPr>
      <w:drawing>
        <wp:anchor distT="0" distB="0" distL="114300" distR="114300" simplePos="0" relativeHeight="251659264" behindDoc="0" locked="0" layoutInCell="1" allowOverlap="1" wp14:anchorId="4D344951" wp14:editId="5FCA4F10">
          <wp:simplePos x="0" y="0"/>
          <wp:positionH relativeFrom="margin">
            <wp:posOffset>3764280</wp:posOffset>
          </wp:positionH>
          <wp:positionV relativeFrom="margin">
            <wp:posOffset>-664210</wp:posOffset>
          </wp:positionV>
          <wp:extent cx="1765300" cy="441325"/>
          <wp:effectExtent l="0" t="0" r="0" b="0"/>
          <wp:wrapSquare wrapText="bothSides"/>
          <wp:docPr id="660917960" name="Obraz 660917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1765300" cy="4413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0F12FF3"/>
    <w:multiLevelType w:val="multilevel"/>
    <w:tmpl w:val="5EF0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A4A1B"/>
    <w:multiLevelType w:val="multilevel"/>
    <w:tmpl w:val="6F905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3F2A17"/>
    <w:multiLevelType w:val="hybridMultilevel"/>
    <w:tmpl w:val="C608B5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F126239"/>
    <w:multiLevelType w:val="multilevel"/>
    <w:tmpl w:val="EC0E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4D74D5"/>
    <w:multiLevelType w:val="multilevel"/>
    <w:tmpl w:val="D42E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394E6F"/>
    <w:multiLevelType w:val="multilevel"/>
    <w:tmpl w:val="8DB8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E83062"/>
    <w:multiLevelType w:val="multilevel"/>
    <w:tmpl w:val="A798D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2880757">
    <w:abstractNumId w:val="0"/>
  </w:num>
  <w:num w:numId="2" w16cid:durableId="1920944468">
    <w:abstractNumId w:val="1"/>
  </w:num>
  <w:num w:numId="3" w16cid:durableId="1592425771">
    <w:abstractNumId w:val="2"/>
  </w:num>
  <w:num w:numId="4" w16cid:durableId="545989057">
    <w:abstractNumId w:val="3"/>
  </w:num>
  <w:num w:numId="5" w16cid:durableId="710418786">
    <w:abstractNumId w:val="4"/>
  </w:num>
  <w:num w:numId="6" w16cid:durableId="834803033">
    <w:abstractNumId w:val="7"/>
  </w:num>
  <w:num w:numId="7" w16cid:durableId="46731048">
    <w:abstractNumId w:val="9"/>
  </w:num>
  <w:num w:numId="8" w16cid:durableId="297564897">
    <w:abstractNumId w:val="10"/>
  </w:num>
  <w:num w:numId="9" w16cid:durableId="1456555629">
    <w:abstractNumId w:val="6"/>
  </w:num>
  <w:num w:numId="10" w16cid:durableId="2099207639">
    <w:abstractNumId w:val="11"/>
  </w:num>
  <w:num w:numId="11" w16cid:durableId="1287159109">
    <w:abstractNumId w:val="8"/>
  </w:num>
  <w:num w:numId="12" w16cid:durableId="2985827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B86"/>
    <w:rsid w:val="0002520B"/>
    <w:rsid w:val="00046EF8"/>
    <w:rsid w:val="00052014"/>
    <w:rsid w:val="00052ED5"/>
    <w:rsid w:val="00061A3F"/>
    <w:rsid w:val="0006714E"/>
    <w:rsid w:val="00076445"/>
    <w:rsid w:val="00080BCB"/>
    <w:rsid w:val="00081374"/>
    <w:rsid w:val="000A17FB"/>
    <w:rsid w:val="000A22C5"/>
    <w:rsid w:val="000B2895"/>
    <w:rsid w:val="000C7C8A"/>
    <w:rsid w:val="000D0DB1"/>
    <w:rsid w:val="000F2BE8"/>
    <w:rsid w:val="000F6A27"/>
    <w:rsid w:val="00101F64"/>
    <w:rsid w:val="00115AC9"/>
    <w:rsid w:val="00145D71"/>
    <w:rsid w:val="00170CEE"/>
    <w:rsid w:val="001A0C45"/>
    <w:rsid w:val="001A2B86"/>
    <w:rsid w:val="001C4B60"/>
    <w:rsid w:val="001C7DBC"/>
    <w:rsid w:val="001D05E9"/>
    <w:rsid w:val="001E71A8"/>
    <w:rsid w:val="001F64AB"/>
    <w:rsid w:val="002178CA"/>
    <w:rsid w:val="002304EE"/>
    <w:rsid w:val="00271DAB"/>
    <w:rsid w:val="00284BE0"/>
    <w:rsid w:val="00290246"/>
    <w:rsid w:val="0029065C"/>
    <w:rsid w:val="002A275B"/>
    <w:rsid w:val="002B20DA"/>
    <w:rsid w:val="002C0A76"/>
    <w:rsid w:val="002C2029"/>
    <w:rsid w:val="002C4A1D"/>
    <w:rsid w:val="002E776C"/>
    <w:rsid w:val="00332314"/>
    <w:rsid w:val="0033530C"/>
    <w:rsid w:val="00342B78"/>
    <w:rsid w:val="00344C99"/>
    <w:rsid w:val="003550F1"/>
    <w:rsid w:val="003663C4"/>
    <w:rsid w:val="0037290D"/>
    <w:rsid w:val="003761F2"/>
    <w:rsid w:val="003C5036"/>
    <w:rsid w:val="003C73D9"/>
    <w:rsid w:val="003D0F34"/>
    <w:rsid w:val="003D56DA"/>
    <w:rsid w:val="003E171C"/>
    <w:rsid w:val="003F51B3"/>
    <w:rsid w:val="003F636F"/>
    <w:rsid w:val="00400ED5"/>
    <w:rsid w:val="00423D66"/>
    <w:rsid w:val="004319FF"/>
    <w:rsid w:val="00442035"/>
    <w:rsid w:val="00462A8A"/>
    <w:rsid w:val="00466704"/>
    <w:rsid w:val="00472627"/>
    <w:rsid w:val="00485768"/>
    <w:rsid w:val="00497755"/>
    <w:rsid w:val="004B37D6"/>
    <w:rsid w:val="00525B99"/>
    <w:rsid w:val="00526C1F"/>
    <w:rsid w:val="005352AF"/>
    <w:rsid w:val="00540BA0"/>
    <w:rsid w:val="00545D20"/>
    <w:rsid w:val="00575C5A"/>
    <w:rsid w:val="00582CF4"/>
    <w:rsid w:val="005A14A2"/>
    <w:rsid w:val="005B59C1"/>
    <w:rsid w:val="005C020E"/>
    <w:rsid w:val="005E2D1A"/>
    <w:rsid w:val="00612135"/>
    <w:rsid w:val="00630946"/>
    <w:rsid w:val="0064465E"/>
    <w:rsid w:val="006510E5"/>
    <w:rsid w:val="0065408A"/>
    <w:rsid w:val="00654CB2"/>
    <w:rsid w:val="00672681"/>
    <w:rsid w:val="00687D07"/>
    <w:rsid w:val="006A00CD"/>
    <w:rsid w:val="006E03DF"/>
    <w:rsid w:val="00714DC0"/>
    <w:rsid w:val="00724E2E"/>
    <w:rsid w:val="00746C28"/>
    <w:rsid w:val="00757495"/>
    <w:rsid w:val="00783FF3"/>
    <w:rsid w:val="007876F8"/>
    <w:rsid w:val="007A7C93"/>
    <w:rsid w:val="007D0BE7"/>
    <w:rsid w:val="007D1FF6"/>
    <w:rsid w:val="007D4C32"/>
    <w:rsid w:val="007E0D7C"/>
    <w:rsid w:val="00817C9A"/>
    <w:rsid w:val="008249E5"/>
    <w:rsid w:val="00824B02"/>
    <w:rsid w:val="0082501A"/>
    <w:rsid w:val="00835679"/>
    <w:rsid w:val="00847ABF"/>
    <w:rsid w:val="00856270"/>
    <w:rsid w:val="00860460"/>
    <w:rsid w:val="008670E3"/>
    <w:rsid w:val="00871725"/>
    <w:rsid w:val="008C08A5"/>
    <w:rsid w:val="008D4679"/>
    <w:rsid w:val="008E635B"/>
    <w:rsid w:val="008F64AA"/>
    <w:rsid w:val="008F7962"/>
    <w:rsid w:val="00902FD5"/>
    <w:rsid w:val="0090741D"/>
    <w:rsid w:val="00907EED"/>
    <w:rsid w:val="00911FF1"/>
    <w:rsid w:val="00915503"/>
    <w:rsid w:val="0091693D"/>
    <w:rsid w:val="00930924"/>
    <w:rsid w:val="00931D11"/>
    <w:rsid w:val="009506C6"/>
    <w:rsid w:val="00951AE4"/>
    <w:rsid w:val="009556FC"/>
    <w:rsid w:val="009837DE"/>
    <w:rsid w:val="009A1445"/>
    <w:rsid w:val="009D1D73"/>
    <w:rsid w:val="009D605D"/>
    <w:rsid w:val="009E5A94"/>
    <w:rsid w:val="00A124AF"/>
    <w:rsid w:val="00A1522C"/>
    <w:rsid w:val="00A3244E"/>
    <w:rsid w:val="00A45563"/>
    <w:rsid w:val="00A4676B"/>
    <w:rsid w:val="00A566CB"/>
    <w:rsid w:val="00A6136A"/>
    <w:rsid w:val="00A64DA4"/>
    <w:rsid w:val="00A7350D"/>
    <w:rsid w:val="00AA2C03"/>
    <w:rsid w:val="00AA3429"/>
    <w:rsid w:val="00AA616C"/>
    <w:rsid w:val="00AD6D57"/>
    <w:rsid w:val="00AE06DA"/>
    <w:rsid w:val="00B047D0"/>
    <w:rsid w:val="00B25E54"/>
    <w:rsid w:val="00B30373"/>
    <w:rsid w:val="00B379B2"/>
    <w:rsid w:val="00B47B40"/>
    <w:rsid w:val="00B514BE"/>
    <w:rsid w:val="00B518B8"/>
    <w:rsid w:val="00B56ED0"/>
    <w:rsid w:val="00B815AB"/>
    <w:rsid w:val="00B956A6"/>
    <w:rsid w:val="00BA5EE2"/>
    <w:rsid w:val="00BC56AB"/>
    <w:rsid w:val="00BD442C"/>
    <w:rsid w:val="00BE1341"/>
    <w:rsid w:val="00BE442F"/>
    <w:rsid w:val="00C001FE"/>
    <w:rsid w:val="00C16080"/>
    <w:rsid w:val="00C3288B"/>
    <w:rsid w:val="00C43D2E"/>
    <w:rsid w:val="00C452A6"/>
    <w:rsid w:val="00C4778E"/>
    <w:rsid w:val="00C6112D"/>
    <w:rsid w:val="00C81277"/>
    <w:rsid w:val="00C861F1"/>
    <w:rsid w:val="00C95A1A"/>
    <w:rsid w:val="00CA6686"/>
    <w:rsid w:val="00CC72C0"/>
    <w:rsid w:val="00CD3632"/>
    <w:rsid w:val="00CE3B5F"/>
    <w:rsid w:val="00CE523F"/>
    <w:rsid w:val="00D07814"/>
    <w:rsid w:val="00D45E51"/>
    <w:rsid w:val="00D606C7"/>
    <w:rsid w:val="00D804D3"/>
    <w:rsid w:val="00D85D7A"/>
    <w:rsid w:val="00D9481D"/>
    <w:rsid w:val="00DB7060"/>
    <w:rsid w:val="00DD6A03"/>
    <w:rsid w:val="00DE44D3"/>
    <w:rsid w:val="00DF1889"/>
    <w:rsid w:val="00DF2A4E"/>
    <w:rsid w:val="00E105FA"/>
    <w:rsid w:val="00E214D6"/>
    <w:rsid w:val="00E23F8E"/>
    <w:rsid w:val="00E245A4"/>
    <w:rsid w:val="00E47FF3"/>
    <w:rsid w:val="00E528B9"/>
    <w:rsid w:val="00E71270"/>
    <w:rsid w:val="00E76BB0"/>
    <w:rsid w:val="00E8298A"/>
    <w:rsid w:val="00EA3E19"/>
    <w:rsid w:val="00EB656D"/>
    <w:rsid w:val="00ED23EE"/>
    <w:rsid w:val="00EE0C5F"/>
    <w:rsid w:val="00EF00AB"/>
    <w:rsid w:val="00F34D53"/>
    <w:rsid w:val="00F42667"/>
    <w:rsid w:val="00F436A0"/>
    <w:rsid w:val="00F61319"/>
    <w:rsid w:val="00F63487"/>
    <w:rsid w:val="00F761DE"/>
    <w:rsid w:val="00FA0A25"/>
    <w:rsid w:val="00FA101A"/>
    <w:rsid w:val="00FA2976"/>
    <w:rsid w:val="00FA7C7C"/>
    <w:rsid w:val="00FC07E8"/>
    <w:rsid w:val="00FC72ED"/>
    <w:rsid w:val="00FF0593"/>
    <w:rsid w:val="0415F775"/>
    <w:rsid w:val="0E490E68"/>
    <w:rsid w:val="20FC4003"/>
    <w:rsid w:val="3745836E"/>
    <w:rsid w:val="4941A898"/>
    <w:rsid w:val="51D20873"/>
    <w:rsid w:val="54263331"/>
    <w:rsid w:val="5F326D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57B567"/>
  <w15:chartTrackingRefBased/>
  <w15:docId w15:val="{5EC763A1-734C-4F70-BB5C-C8D67B714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A2B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1A2B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1A2B8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1A2B8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1A2B8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1A2B8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A2B8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A2B8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A2B8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A2B8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1A2B8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1A2B8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A2B8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A2B8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A2B8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A2B8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A2B8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A2B86"/>
    <w:rPr>
      <w:rFonts w:eastAsiaTheme="majorEastAsia" w:cstheme="majorBidi"/>
      <w:color w:val="272727" w:themeColor="text1" w:themeTint="D8"/>
    </w:rPr>
  </w:style>
  <w:style w:type="paragraph" w:styleId="Tytu">
    <w:name w:val="Title"/>
    <w:basedOn w:val="Normalny"/>
    <w:next w:val="Normalny"/>
    <w:link w:val="TytuZnak"/>
    <w:uiPriority w:val="10"/>
    <w:qFormat/>
    <w:rsid w:val="001A2B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A2B8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A2B8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A2B8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A2B86"/>
    <w:pPr>
      <w:spacing w:before="160"/>
      <w:jc w:val="center"/>
    </w:pPr>
    <w:rPr>
      <w:i/>
      <w:iCs/>
      <w:color w:val="404040" w:themeColor="text1" w:themeTint="BF"/>
    </w:rPr>
  </w:style>
  <w:style w:type="character" w:customStyle="1" w:styleId="CytatZnak">
    <w:name w:val="Cytat Znak"/>
    <w:basedOn w:val="Domylnaczcionkaakapitu"/>
    <w:link w:val="Cytat"/>
    <w:uiPriority w:val="29"/>
    <w:rsid w:val="001A2B86"/>
    <w:rPr>
      <w:i/>
      <w:iCs/>
      <w:color w:val="404040" w:themeColor="text1" w:themeTint="BF"/>
    </w:rPr>
  </w:style>
  <w:style w:type="paragraph" w:styleId="Akapitzlist">
    <w:name w:val="List Paragraph"/>
    <w:basedOn w:val="Normalny"/>
    <w:uiPriority w:val="34"/>
    <w:qFormat/>
    <w:rsid w:val="001A2B86"/>
    <w:pPr>
      <w:ind w:left="720"/>
      <w:contextualSpacing/>
    </w:pPr>
  </w:style>
  <w:style w:type="character" w:styleId="Wyrnienieintensywne">
    <w:name w:val="Intense Emphasis"/>
    <w:basedOn w:val="Domylnaczcionkaakapitu"/>
    <w:uiPriority w:val="21"/>
    <w:qFormat/>
    <w:rsid w:val="001A2B86"/>
    <w:rPr>
      <w:i/>
      <w:iCs/>
      <w:color w:val="2F5496" w:themeColor="accent1" w:themeShade="BF"/>
    </w:rPr>
  </w:style>
  <w:style w:type="paragraph" w:styleId="Cytatintensywny">
    <w:name w:val="Intense Quote"/>
    <w:basedOn w:val="Normalny"/>
    <w:next w:val="Normalny"/>
    <w:link w:val="CytatintensywnyZnak"/>
    <w:uiPriority w:val="30"/>
    <w:qFormat/>
    <w:rsid w:val="001A2B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A2B86"/>
    <w:rPr>
      <w:i/>
      <w:iCs/>
      <w:color w:val="2F5496" w:themeColor="accent1" w:themeShade="BF"/>
    </w:rPr>
  </w:style>
  <w:style w:type="character" w:styleId="Odwoanieintensywne">
    <w:name w:val="Intense Reference"/>
    <w:basedOn w:val="Domylnaczcionkaakapitu"/>
    <w:uiPriority w:val="32"/>
    <w:qFormat/>
    <w:rsid w:val="001A2B86"/>
    <w:rPr>
      <w:b/>
      <w:bCs/>
      <w:smallCaps/>
      <w:color w:val="2F5496" w:themeColor="accent1" w:themeShade="BF"/>
      <w:spacing w:val="5"/>
    </w:rPr>
  </w:style>
  <w:style w:type="paragraph" w:styleId="NormalnyWeb">
    <w:name w:val="Normal (Web)"/>
    <w:basedOn w:val="Normalny"/>
    <w:uiPriority w:val="99"/>
    <w:semiHidden/>
    <w:unhideWhenUsed/>
    <w:rsid w:val="00B047D0"/>
    <w:rPr>
      <w:rFonts w:ascii="Times New Roman" w:hAnsi="Times New Roman" w:cs="Times New Roman"/>
      <w:sz w:val="24"/>
      <w:szCs w:val="24"/>
    </w:rPr>
  </w:style>
  <w:style w:type="paragraph" w:styleId="Nagwek">
    <w:name w:val="header"/>
    <w:basedOn w:val="Normalny"/>
    <w:link w:val="NagwekZnak"/>
    <w:uiPriority w:val="99"/>
    <w:unhideWhenUsed/>
    <w:rsid w:val="00C452A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452A6"/>
  </w:style>
  <w:style w:type="paragraph" w:styleId="Stopka">
    <w:name w:val="footer"/>
    <w:basedOn w:val="Normalny"/>
    <w:link w:val="StopkaZnak"/>
    <w:uiPriority w:val="99"/>
    <w:unhideWhenUsed/>
    <w:rsid w:val="00C452A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452A6"/>
  </w:style>
  <w:style w:type="character" w:styleId="Hipercze">
    <w:name w:val="Hyperlink"/>
    <w:basedOn w:val="Domylnaczcionkaakapitu"/>
    <w:uiPriority w:val="99"/>
    <w:unhideWhenUsed/>
    <w:rsid w:val="00C452A6"/>
    <w:rPr>
      <w:color w:val="0000FF"/>
      <w:u w:val="single"/>
    </w:rPr>
  </w:style>
  <w:style w:type="paragraph" w:styleId="Poprawka">
    <w:name w:val="Revision"/>
    <w:hidden/>
    <w:uiPriority w:val="99"/>
    <w:semiHidden/>
    <w:rsid w:val="00BE1341"/>
    <w:pPr>
      <w:spacing w:after="0" w:line="240" w:lineRule="auto"/>
    </w:pPr>
  </w:style>
  <w:style w:type="character" w:styleId="Odwoaniedokomentarza">
    <w:name w:val="annotation reference"/>
    <w:basedOn w:val="Domylnaczcionkaakapitu"/>
    <w:uiPriority w:val="99"/>
    <w:semiHidden/>
    <w:unhideWhenUsed/>
    <w:rsid w:val="00C6112D"/>
    <w:rPr>
      <w:sz w:val="16"/>
      <w:szCs w:val="16"/>
    </w:rPr>
  </w:style>
  <w:style w:type="paragraph" w:styleId="Tekstkomentarza">
    <w:name w:val="annotation text"/>
    <w:basedOn w:val="Normalny"/>
    <w:link w:val="TekstkomentarzaZnak"/>
    <w:uiPriority w:val="99"/>
    <w:unhideWhenUsed/>
    <w:rsid w:val="00C6112D"/>
    <w:pPr>
      <w:spacing w:line="240" w:lineRule="auto"/>
    </w:pPr>
    <w:rPr>
      <w:sz w:val="20"/>
      <w:szCs w:val="20"/>
    </w:rPr>
  </w:style>
  <w:style w:type="character" w:customStyle="1" w:styleId="TekstkomentarzaZnak">
    <w:name w:val="Tekst komentarza Znak"/>
    <w:basedOn w:val="Domylnaczcionkaakapitu"/>
    <w:link w:val="Tekstkomentarza"/>
    <w:uiPriority w:val="99"/>
    <w:rsid w:val="00C6112D"/>
    <w:rPr>
      <w:sz w:val="20"/>
      <w:szCs w:val="20"/>
    </w:rPr>
  </w:style>
  <w:style w:type="paragraph" w:styleId="Tematkomentarza">
    <w:name w:val="annotation subject"/>
    <w:basedOn w:val="Tekstkomentarza"/>
    <w:next w:val="Tekstkomentarza"/>
    <w:link w:val="TematkomentarzaZnak"/>
    <w:uiPriority w:val="99"/>
    <w:semiHidden/>
    <w:unhideWhenUsed/>
    <w:rsid w:val="00C6112D"/>
    <w:rPr>
      <w:b/>
      <w:bCs/>
    </w:rPr>
  </w:style>
  <w:style w:type="character" w:customStyle="1" w:styleId="TematkomentarzaZnak">
    <w:name w:val="Temat komentarza Znak"/>
    <w:basedOn w:val="TekstkomentarzaZnak"/>
    <w:link w:val="Tematkomentarza"/>
    <w:uiPriority w:val="99"/>
    <w:semiHidden/>
    <w:rsid w:val="00C6112D"/>
    <w:rPr>
      <w:b/>
      <w:bCs/>
      <w:sz w:val="20"/>
      <w:szCs w:val="20"/>
    </w:rPr>
  </w:style>
  <w:style w:type="character" w:styleId="Nierozpoznanawzmianka">
    <w:name w:val="Unresolved Mention"/>
    <w:basedOn w:val="Domylnaczcionkaakapitu"/>
    <w:uiPriority w:val="99"/>
    <w:semiHidden/>
    <w:unhideWhenUsed/>
    <w:rsid w:val="00115AC9"/>
    <w:rPr>
      <w:color w:val="605E5C"/>
      <w:shd w:val="clear" w:color="auto" w:fill="E1DFDD"/>
    </w:rPr>
  </w:style>
  <w:style w:type="paragraph" w:styleId="Tekstprzypisudolnego">
    <w:name w:val="footnote text"/>
    <w:basedOn w:val="Normalny"/>
    <w:link w:val="TekstprzypisudolnegoZnak"/>
    <w:uiPriority w:val="99"/>
    <w:semiHidden/>
    <w:unhideWhenUsed/>
    <w:rsid w:val="00D804D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804D3"/>
    <w:rPr>
      <w:sz w:val="20"/>
      <w:szCs w:val="20"/>
    </w:rPr>
  </w:style>
  <w:style w:type="character" w:styleId="Odwoanieprzypisudolnego">
    <w:name w:val="footnote reference"/>
    <w:basedOn w:val="Domylnaczcionkaakapitu"/>
    <w:uiPriority w:val="99"/>
    <w:semiHidden/>
    <w:unhideWhenUsed/>
    <w:rsid w:val="00D804D3"/>
    <w:rPr>
      <w:vertAlign w:val="superscript"/>
    </w:rPr>
  </w:style>
  <w:style w:type="paragraph" w:customStyle="1" w:styleId="isselectedend">
    <w:name w:val="isselectedend"/>
    <w:basedOn w:val="Normalny"/>
    <w:rsid w:val="0091693D"/>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91693D"/>
    <w:rPr>
      <w:b/>
      <w:bCs/>
    </w:rPr>
  </w:style>
  <w:style w:type="character" w:styleId="Uwydatnienie">
    <w:name w:val="Emphasis"/>
    <w:basedOn w:val="Domylnaczcionkaakapitu"/>
    <w:uiPriority w:val="20"/>
    <w:qFormat/>
    <w:rsid w:val="0091693D"/>
    <w:rPr>
      <w:i/>
      <w:iCs/>
    </w:rPr>
  </w:style>
  <w:style w:type="character" w:customStyle="1" w:styleId="apple-converted-space">
    <w:name w:val="apple-converted-space"/>
    <w:basedOn w:val="Domylnaczcionkaakapitu"/>
    <w:rsid w:val="00916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231729">
      <w:bodyDiv w:val="1"/>
      <w:marLeft w:val="0"/>
      <w:marRight w:val="0"/>
      <w:marTop w:val="0"/>
      <w:marBottom w:val="0"/>
      <w:divBdr>
        <w:top w:val="none" w:sz="0" w:space="0" w:color="auto"/>
        <w:left w:val="none" w:sz="0" w:space="0" w:color="auto"/>
        <w:bottom w:val="none" w:sz="0" w:space="0" w:color="auto"/>
        <w:right w:val="none" w:sz="0" w:space="0" w:color="auto"/>
      </w:divBdr>
      <w:divsChild>
        <w:div w:id="414089109">
          <w:marLeft w:val="0"/>
          <w:marRight w:val="0"/>
          <w:marTop w:val="0"/>
          <w:marBottom w:val="0"/>
          <w:divBdr>
            <w:top w:val="none" w:sz="0" w:space="0" w:color="auto"/>
            <w:left w:val="none" w:sz="0" w:space="0" w:color="auto"/>
            <w:bottom w:val="none" w:sz="0" w:space="0" w:color="auto"/>
            <w:right w:val="none" w:sz="0" w:space="0" w:color="auto"/>
          </w:divBdr>
        </w:div>
        <w:div w:id="342705986">
          <w:marLeft w:val="0"/>
          <w:marRight w:val="0"/>
          <w:marTop w:val="0"/>
          <w:marBottom w:val="0"/>
          <w:divBdr>
            <w:top w:val="none" w:sz="0" w:space="0" w:color="auto"/>
            <w:left w:val="none" w:sz="0" w:space="0" w:color="auto"/>
            <w:bottom w:val="none" w:sz="0" w:space="0" w:color="auto"/>
            <w:right w:val="none" w:sz="0" w:space="0" w:color="auto"/>
          </w:divBdr>
        </w:div>
        <w:div w:id="1453399097">
          <w:marLeft w:val="0"/>
          <w:marRight w:val="0"/>
          <w:marTop w:val="0"/>
          <w:marBottom w:val="0"/>
          <w:divBdr>
            <w:top w:val="none" w:sz="0" w:space="0" w:color="auto"/>
            <w:left w:val="none" w:sz="0" w:space="0" w:color="auto"/>
            <w:bottom w:val="none" w:sz="0" w:space="0" w:color="auto"/>
            <w:right w:val="none" w:sz="0" w:space="0" w:color="auto"/>
          </w:divBdr>
        </w:div>
        <w:div w:id="1446584114">
          <w:marLeft w:val="0"/>
          <w:marRight w:val="0"/>
          <w:marTop w:val="0"/>
          <w:marBottom w:val="0"/>
          <w:divBdr>
            <w:top w:val="none" w:sz="0" w:space="0" w:color="auto"/>
            <w:left w:val="none" w:sz="0" w:space="0" w:color="auto"/>
            <w:bottom w:val="none" w:sz="0" w:space="0" w:color="auto"/>
            <w:right w:val="none" w:sz="0" w:space="0" w:color="auto"/>
          </w:divBdr>
        </w:div>
        <w:div w:id="1547789797">
          <w:marLeft w:val="0"/>
          <w:marRight w:val="0"/>
          <w:marTop w:val="0"/>
          <w:marBottom w:val="0"/>
          <w:divBdr>
            <w:top w:val="none" w:sz="0" w:space="0" w:color="auto"/>
            <w:left w:val="none" w:sz="0" w:space="0" w:color="auto"/>
            <w:bottom w:val="none" w:sz="0" w:space="0" w:color="auto"/>
            <w:right w:val="none" w:sz="0" w:space="0" w:color="auto"/>
          </w:divBdr>
        </w:div>
        <w:div w:id="801339799">
          <w:marLeft w:val="0"/>
          <w:marRight w:val="0"/>
          <w:marTop w:val="0"/>
          <w:marBottom w:val="0"/>
          <w:divBdr>
            <w:top w:val="none" w:sz="0" w:space="0" w:color="auto"/>
            <w:left w:val="none" w:sz="0" w:space="0" w:color="auto"/>
            <w:bottom w:val="none" w:sz="0" w:space="0" w:color="auto"/>
            <w:right w:val="none" w:sz="0" w:space="0" w:color="auto"/>
          </w:divBdr>
        </w:div>
        <w:div w:id="950942942">
          <w:marLeft w:val="0"/>
          <w:marRight w:val="0"/>
          <w:marTop w:val="0"/>
          <w:marBottom w:val="0"/>
          <w:divBdr>
            <w:top w:val="none" w:sz="0" w:space="0" w:color="auto"/>
            <w:left w:val="none" w:sz="0" w:space="0" w:color="auto"/>
            <w:bottom w:val="none" w:sz="0" w:space="0" w:color="auto"/>
            <w:right w:val="none" w:sz="0" w:space="0" w:color="auto"/>
          </w:divBdr>
        </w:div>
      </w:divsChild>
    </w:div>
    <w:div w:id="525946624">
      <w:bodyDiv w:val="1"/>
      <w:marLeft w:val="0"/>
      <w:marRight w:val="0"/>
      <w:marTop w:val="0"/>
      <w:marBottom w:val="0"/>
      <w:divBdr>
        <w:top w:val="none" w:sz="0" w:space="0" w:color="auto"/>
        <w:left w:val="none" w:sz="0" w:space="0" w:color="auto"/>
        <w:bottom w:val="none" w:sz="0" w:space="0" w:color="auto"/>
        <w:right w:val="none" w:sz="0" w:space="0" w:color="auto"/>
      </w:divBdr>
      <w:divsChild>
        <w:div w:id="1357346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535747">
      <w:bodyDiv w:val="1"/>
      <w:marLeft w:val="0"/>
      <w:marRight w:val="0"/>
      <w:marTop w:val="0"/>
      <w:marBottom w:val="0"/>
      <w:divBdr>
        <w:top w:val="none" w:sz="0" w:space="0" w:color="auto"/>
        <w:left w:val="none" w:sz="0" w:space="0" w:color="auto"/>
        <w:bottom w:val="none" w:sz="0" w:space="0" w:color="auto"/>
        <w:right w:val="none" w:sz="0" w:space="0" w:color="auto"/>
      </w:divBdr>
    </w:div>
    <w:div w:id="634260630">
      <w:bodyDiv w:val="1"/>
      <w:marLeft w:val="0"/>
      <w:marRight w:val="0"/>
      <w:marTop w:val="0"/>
      <w:marBottom w:val="0"/>
      <w:divBdr>
        <w:top w:val="none" w:sz="0" w:space="0" w:color="auto"/>
        <w:left w:val="none" w:sz="0" w:space="0" w:color="auto"/>
        <w:bottom w:val="none" w:sz="0" w:space="0" w:color="auto"/>
        <w:right w:val="none" w:sz="0" w:space="0" w:color="auto"/>
      </w:divBdr>
    </w:div>
    <w:div w:id="819466213">
      <w:bodyDiv w:val="1"/>
      <w:marLeft w:val="0"/>
      <w:marRight w:val="0"/>
      <w:marTop w:val="0"/>
      <w:marBottom w:val="0"/>
      <w:divBdr>
        <w:top w:val="none" w:sz="0" w:space="0" w:color="auto"/>
        <w:left w:val="none" w:sz="0" w:space="0" w:color="auto"/>
        <w:bottom w:val="none" w:sz="0" w:space="0" w:color="auto"/>
        <w:right w:val="none" w:sz="0" w:space="0" w:color="auto"/>
      </w:divBdr>
    </w:div>
    <w:div w:id="836724053">
      <w:bodyDiv w:val="1"/>
      <w:marLeft w:val="0"/>
      <w:marRight w:val="0"/>
      <w:marTop w:val="0"/>
      <w:marBottom w:val="0"/>
      <w:divBdr>
        <w:top w:val="none" w:sz="0" w:space="0" w:color="auto"/>
        <w:left w:val="none" w:sz="0" w:space="0" w:color="auto"/>
        <w:bottom w:val="none" w:sz="0" w:space="0" w:color="auto"/>
        <w:right w:val="none" w:sz="0" w:space="0" w:color="auto"/>
      </w:divBdr>
      <w:divsChild>
        <w:div w:id="776556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7345290">
      <w:bodyDiv w:val="1"/>
      <w:marLeft w:val="0"/>
      <w:marRight w:val="0"/>
      <w:marTop w:val="0"/>
      <w:marBottom w:val="0"/>
      <w:divBdr>
        <w:top w:val="none" w:sz="0" w:space="0" w:color="auto"/>
        <w:left w:val="none" w:sz="0" w:space="0" w:color="auto"/>
        <w:bottom w:val="none" w:sz="0" w:space="0" w:color="auto"/>
        <w:right w:val="none" w:sz="0" w:space="0" w:color="auto"/>
      </w:divBdr>
    </w:div>
    <w:div w:id="1210796731">
      <w:bodyDiv w:val="1"/>
      <w:marLeft w:val="0"/>
      <w:marRight w:val="0"/>
      <w:marTop w:val="0"/>
      <w:marBottom w:val="0"/>
      <w:divBdr>
        <w:top w:val="none" w:sz="0" w:space="0" w:color="auto"/>
        <w:left w:val="none" w:sz="0" w:space="0" w:color="auto"/>
        <w:bottom w:val="none" w:sz="0" w:space="0" w:color="auto"/>
        <w:right w:val="none" w:sz="0" w:space="0" w:color="auto"/>
      </w:divBdr>
    </w:div>
    <w:div w:id="1263029190">
      <w:bodyDiv w:val="1"/>
      <w:marLeft w:val="0"/>
      <w:marRight w:val="0"/>
      <w:marTop w:val="0"/>
      <w:marBottom w:val="0"/>
      <w:divBdr>
        <w:top w:val="none" w:sz="0" w:space="0" w:color="auto"/>
        <w:left w:val="none" w:sz="0" w:space="0" w:color="auto"/>
        <w:bottom w:val="none" w:sz="0" w:space="0" w:color="auto"/>
        <w:right w:val="none" w:sz="0" w:space="0" w:color="auto"/>
      </w:divBdr>
    </w:div>
    <w:div w:id="1381787311">
      <w:bodyDiv w:val="1"/>
      <w:marLeft w:val="0"/>
      <w:marRight w:val="0"/>
      <w:marTop w:val="0"/>
      <w:marBottom w:val="0"/>
      <w:divBdr>
        <w:top w:val="none" w:sz="0" w:space="0" w:color="auto"/>
        <w:left w:val="none" w:sz="0" w:space="0" w:color="auto"/>
        <w:bottom w:val="none" w:sz="0" w:space="0" w:color="auto"/>
        <w:right w:val="none" w:sz="0" w:space="0" w:color="auto"/>
      </w:divBdr>
    </w:div>
    <w:div w:id="1455713776">
      <w:bodyDiv w:val="1"/>
      <w:marLeft w:val="0"/>
      <w:marRight w:val="0"/>
      <w:marTop w:val="0"/>
      <w:marBottom w:val="0"/>
      <w:divBdr>
        <w:top w:val="none" w:sz="0" w:space="0" w:color="auto"/>
        <w:left w:val="none" w:sz="0" w:space="0" w:color="auto"/>
        <w:bottom w:val="none" w:sz="0" w:space="0" w:color="auto"/>
        <w:right w:val="none" w:sz="0" w:space="0" w:color="auto"/>
      </w:divBdr>
    </w:div>
    <w:div w:id="1481077002">
      <w:bodyDiv w:val="1"/>
      <w:marLeft w:val="0"/>
      <w:marRight w:val="0"/>
      <w:marTop w:val="0"/>
      <w:marBottom w:val="0"/>
      <w:divBdr>
        <w:top w:val="none" w:sz="0" w:space="0" w:color="auto"/>
        <w:left w:val="none" w:sz="0" w:space="0" w:color="auto"/>
        <w:bottom w:val="none" w:sz="0" w:space="0" w:color="auto"/>
        <w:right w:val="none" w:sz="0" w:space="0" w:color="auto"/>
      </w:divBdr>
    </w:div>
    <w:div w:id="1538348632">
      <w:bodyDiv w:val="1"/>
      <w:marLeft w:val="0"/>
      <w:marRight w:val="0"/>
      <w:marTop w:val="0"/>
      <w:marBottom w:val="0"/>
      <w:divBdr>
        <w:top w:val="none" w:sz="0" w:space="0" w:color="auto"/>
        <w:left w:val="none" w:sz="0" w:space="0" w:color="auto"/>
        <w:bottom w:val="none" w:sz="0" w:space="0" w:color="auto"/>
        <w:right w:val="none" w:sz="0" w:space="0" w:color="auto"/>
      </w:divBdr>
      <w:divsChild>
        <w:div w:id="984701038">
          <w:blockQuote w:val="1"/>
          <w:marLeft w:val="720"/>
          <w:marRight w:val="720"/>
          <w:marTop w:val="100"/>
          <w:marBottom w:val="100"/>
          <w:divBdr>
            <w:top w:val="none" w:sz="0" w:space="0" w:color="auto"/>
            <w:left w:val="none" w:sz="0" w:space="0" w:color="auto"/>
            <w:bottom w:val="none" w:sz="0" w:space="0" w:color="auto"/>
            <w:right w:val="none" w:sz="0" w:space="0" w:color="auto"/>
          </w:divBdr>
        </w:div>
        <w:div w:id="361898911">
          <w:blockQuote w:val="1"/>
          <w:marLeft w:val="720"/>
          <w:marRight w:val="720"/>
          <w:marTop w:val="100"/>
          <w:marBottom w:val="100"/>
          <w:divBdr>
            <w:top w:val="none" w:sz="0" w:space="0" w:color="auto"/>
            <w:left w:val="none" w:sz="0" w:space="0" w:color="auto"/>
            <w:bottom w:val="none" w:sz="0" w:space="0" w:color="auto"/>
            <w:right w:val="none" w:sz="0" w:space="0" w:color="auto"/>
          </w:divBdr>
        </w:div>
        <w:div w:id="633021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18996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6337743">
      <w:bodyDiv w:val="1"/>
      <w:marLeft w:val="0"/>
      <w:marRight w:val="0"/>
      <w:marTop w:val="0"/>
      <w:marBottom w:val="0"/>
      <w:divBdr>
        <w:top w:val="none" w:sz="0" w:space="0" w:color="auto"/>
        <w:left w:val="none" w:sz="0" w:space="0" w:color="auto"/>
        <w:bottom w:val="none" w:sz="0" w:space="0" w:color="auto"/>
        <w:right w:val="none" w:sz="0" w:space="0" w:color="auto"/>
      </w:divBdr>
    </w:div>
    <w:div w:id="1738745501">
      <w:bodyDiv w:val="1"/>
      <w:marLeft w:val="0"/>
      <w:marRight w:val="0"/>
      <w:marTop w:val="0"/>
      <w:marBottom w:val="0"/>
      <w:divBdr>
        <w:top w:val="none" w:sz="0" w:space="0" w:color="auto"/>
        <w:left w:val="none" w:sz="0" w:space="0" w:color="auto"/>
        <w:bottom w:val="none" w:sz="0" w:space="0" w:color="auto"/>
        <w:right w:val="none" w:sz="0" w:space="0" w:color="auto"/>
      </w:divBdr>
      <w:divsChild>
        <w:div w:id="1228569587">
          <w:marLeft w:val="0"/>
          <w:marRight w:val="0"/>
          <w:marTop w:val="0"/>
          <w:marBottom w:val="0"/>
          <w:divBdr>
            <w:top w:val="none" w:sz="0" w:space="0" w:color="auto"/>
            <w:left w:val="none" w:sz="0" w:space="0" w:color="auto"/>
            <w:bottom w:val="none" w:sz="0" w:space="0" w:color="auto"/>
            <w:right w:val="none" w:sz="0" w:space="0" w:color="auto"/>
          </w:divBdr>
        </w:div>
        <w:div w:id="1158299832">
          <w:marLeft w:val="0"/>
          <w:marRight w:val="0"/>
          <w:marTop w:val="0"/>
          <w:marBottom w:val="0"/>
          <w:divBdr>
            <w:top w:val="none" w:sz="0" w:space="0" w:color="auto"/>
            <w:left w:val="none" w:sz="0" w:space="0" w:color="auto"/>
            <w:bottom w:val="none" w:sz="0" w:space="0" w:color="auto"/>
            <w:right w:val="none" w:sz="0" w:space="0" w:color="auto"/>
          </w:divBdr>
        </w:div>
        <w:div w:id="1833446025">
          <w:marLeft w:val="0"/>
          <w:marRight w:val="0"/>
          <w:marTop w:val="0"/>
          <w:marBottom w:val="0"/>
          <w:divBdr>
            <w:top w:val="none" w:sz="0" w:space="0" w:color="auto"/>
            <w:left w:val="none" w:sz="0" w:space="0" w:color="auto"/>
            <w:bottom w:val="none" w:sz="0" w:space="0" w:color="auto"/>
            <w:right w:val="none" w:sz="0" w:space="0" w:color="auto"/>
          </w:divBdr>
        </w:div>
        <w:div w:id="1836069298">
          <w:marLeft w:val="0"/>
          <w:marRight w:val="0"/>
          <w:marTop w:val="0"/>
          <w:marBottom w:val="0"/>
          <w:divBdr>
            <w:top w:val="none" w:sz="0" w:space="0" w:color="auto"/>
            <w:left w:val="none" w:sz="0" w:space="0" w:color="auto"/>
            <w:bottom w:val="none" w:sz="0" w:space="0" w:color="auto"/>
            <w:right w:val="none" w:sz="0" w:space="0" w:color="auto"/>
          </w:divBdr>
        </w:div>
        <w:div w:id="305471777">
          <w:marLeft w:val="0"/>
          <w:marRight w:val="0"/>
          <w:marTop w:val="0"/>
          <w:marBottom w:val="0"/>
          <w:divBdr>
            <w:top w:val="none" w:sz="0" w:space="0" w:color="auto"/>
            <w:left w:val="none" w:sz="0" w:space="0" w:color="auto"/>
            <w:bottom w:val="none" w:sz="0" w:space="0" w:color="auto"/>
            <w:right w:val="none" w:sz="0" w:space="0" w:color="auto"/>
          </w:divBdr>
        </w:div>
        <w:div w:id="306672729">
          <w:marLeft w:val="0"/>
          <w:marRight w:val="0"/>
          <w:marTop w:val="0"/>
          <w:marBottom w:val="0"/>
          <w:divBdr>
            <w:top w:val="none" w:sz="0" w:space="0" w:color="auto"/>
            <w:left w:val="none" w:sz="0" w:space="0" w:color="auto"/>
            <w:bottom w:val="none" w:sz="0" w:space="0" w:color="auto"/>
            <w:right w:val="none" w:sz="0" w:space="0" w:color="auto"/>
          </w:divBdr>
        </w:div>
        <w:div w:id="539829070">
          <w:marLeft w:val="0"/>
          <w:marRight w:val="0"/>
          <w:marTop w:val="0"/>
          <w:marBottom w:val="0"/>
          <w:divBdr>
            <w:top w:val="none" w:sz="0" w:space="0" w:color="auto"/>
            <w:left w:val="none" w:sz="0" w:space="0" w:color="auto"/>
            <w:bottom w:val="none" w:sz="0" w:space="0" w:color="auto"/>
            <w:right w:val="none" w:sz="0" w:space="0" w:color="auto"/>
          </w:divBdr>
        </w:div>
      </w:divsChild>
    </w:div>
    <w:div w:id="1754861677">
      <w:bodyDiv w:val="1"/>
      <w:marLeft w:val="0"/>
      <w:marRight w:val="0"/>
      <w:marTop w:val="0"/>
      <w:marBottom w:val="0"/>
      <w:divBdr>
        <w:top w:val="none" w:sz="0" w:space="0" w:color="auto"/>
        <w:left w:val="none" w:sz="0" w:space="0" w:color="auto"/>
        <w:bottom w:val="none" w:sz="0" w:space="0" w:color="auto"/>
        <w:right w:val="none" w:sz="0" w:space="0" w:color="auto"/>
      </w:divBdr>
    </w:div>
    <w:div w:id="1768887214">
      <w:bodyDiv w:val="1"/>
      <w:marLeft w:val="0"/>
      <w:marRight w:val="0"/>
      <w:marTop w:val="0"/>
      <w:marBottom w:val="0"/>
      <w:divBdr>
        <w:top w:val="none" w:sz="0" w:space="0" w:color="auto"/>
        <w:left w:val="none" w:sz="0" w:space="0" w:color="auto"/>
        <w:bottom w:val="none" w:sz="0" w:space="0" w:color="auto"/>
        <w:right w:val="none" w:sz="0" w:space="0" w:color="auto"/>
      </w:divBdr>
      <w:divsChild>
        <w:div w:id="402416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4380485">
      <w:bodyDiv w:val="1"/>
      <w:marLeft w:val="0"/>
      <w:marRight w:val="0"/>
      <w:marTop w:val="0"/>
      <w:marBottom w:val="0"/>
      <w:divBdr>
        <w:top w:val="none" w:sz="0" w:space="0" w:color="auto"/>
        <w:left w:val="none" w:sz="0" w:space="0" w:color="auto"/>
        <w:bottom w:val="none" w:sz="0" w:space="0" w:color="auto"/>
        <w:right w:val="none" w:sz="0" w:space="0" w:color="auto"/>
      </w:divBdr>
      <w:divsChild>
        <w:div w:id="1577787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0779472">
      <w:bodyDiv w:val="1"/>
      <w:marLeft w:val="0"/>
      <w:marRight w:val="0"/>
      <w:marTop w:val="0"/>
      <w:marBottom w:val="0"/>
      <w:divBdr>
        <w:top w:val="none" w:sz="0" w:space="0" w:color="auto"/>
        <w:left w:val="none" w:sz="0" w:space="0" w:color="auto"/>
        <w:bottom w:val="none" w:sz="0" w:space="0" w:color="auto"/>
        <w:right w:val="none" w:sz="0" w:space="0" w:color="auto"/>
      </w:divBdr>
    </w:div>
    <w:div w:id="2015300015">
      <w:bodyDiv w:val="1"/>
      <w:marLeft w:val="0"/>
      <w:marRight w:val="0"/>
      <w:marTop w:val="0"/>
      <w:marBottom w:val="0"/>
      <w:divBdr>
        <w:top w:val="none" w:sz="0" w:space="0" w:color="auto"/>
        <w:left w:val="none" w:sz="0" w:space="0" w:color="auto"/>
        <w:bottom w:val="none" w:sz="0" w:space="0" w:color="auto"/>
        <w:right w:val="none" w:sz="0" w:space="0" w:color="auto"/>
      </w:divBdr>
    </w:div>
    <w:div w:id="2032100778">
      <w:bodyDiv w:val="1"/>
      <w:marLeft w:val="0"/>
      <w:marRight w:val="0"/>
      <w:marTop w:val="0"/>
      <w:marBottom w:val="0"/>
      <w:divBdr>
        <w:top w:val="none" w:sz="0" w:space="0" w:color="auto"/>
        <w:left w:val="none" w:sz="0" w:space="0" w:color="auto"/>
        <w:bottom w:val="none" w:sz="0" w:space="0" w:color="auto"/>
        <w:right w:val="none" w:sz="0" w:space="0" w:color="auto"/>
      </w:divBdr>
    </w:div>
    <w:div w:id="2033535367">
      <w:bodyDiv w:val="1"/>
      <w:marLeft w:val="0"/>
      <w:marRight w:val="0"/>
      <w:marTop w:val="0"/>
      <w:marBottom w:val="0"/>
      <w:divBdr>
        <w:top w:val="none" w:sz="0" w:space="0" w:color="auto"/>
        <w:left w:val="none" w:sz="0" w:space="0" w:color="auto"/>
        <w:bottom w:val="none" w:sz="0" w:space="0" w:color="auto"/>
        <w:right w:val="none" w:sz="0" w:space="0" w:color="auto"/>
      </w:divBdr>
      <w:divsChild>
        <w:div w:id="24643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7309474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06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133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arielhaa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9D864-1624-4453-8340-9A2D0E55D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759</Words>
  <Characters>4559</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Lewicka</dc:creator>
  <cp:keywords/>
  <dc:description/>
  <cp:lastModifiedBy>Daniel Gąsiorowski</cp:lastModifiedBy>
  <cp:revision>11</cp:revision>
  <dcterms:created xsi:type="dcterms:W3CDTF">2026-07-29T22:30:00Z</dcterms:created>
  <dcterms:modified xsi:type="dcterms:W3CDTF">2026-08-21T19:00:00Z</dcterms:modified>
</cp:coreProperties>
</file>