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A4A62" w14:textId="77777777" w:rsidR="00DE52C6" w:rsidRDefault="00DE52C6"/>
    <w:p w14:paraId="7BD9BB29" w14:textId="77777777" w:rsidR="008D069D" w:rsidRDefault="008D069D"/>
    <w:p w14:paraId="504D6730" w14:textId="77777777" w:rsidR="000266AD" w:rsidRDefault="000266AD" w:rsidP="008D069D">
      <w:pPr>
        <w:jc w:val="both"/>
        <w:rPr>
          <w:rFonts w:cstheme="minorHAnsi"/>
          <w:b/>
          <w:bCs/>
          <w:sz w:val="26"/>
          <w:szCs w:val="26"/>
        </w:rPr>
      </w:pPr>
    </w:p>
    <w:p w14:paraId="4DAD7ADA" w14:textId="62C9F481" w:rsidR="000266AD" w:rsidRPr="000266AD" w:rsidRDefault="000266AD" w:rsidP="008D069D">
      <w:pPr>
        <w:jc w:val="both"/>
        <w:rPr>
          <w:rFonts w:cstheme="minorHAnsi"/>
          <w:b/>
          <w:bCs/>
          <w:sz w:val="40"/>
          <w:szCs w:val="40"/>
        </w:rPr>
      </w:pPr>
      <w:r w:rsidRPr="000266AD">
        <w:rPr>
          <w:rFonts w:cstheme="minorHAnsi"/>
          <w:b/>
          <w:bCs/>
          <w:sz w:val="40"/>
          <w:szCs w:val="40"/>
        </w:rPr>
        <w:t>Na rynku magazynowym kończą się</w:t>
      </w:r>
      <w:r w:rsidR="00DF7F3B">
        <w:rPr>
          <w:rFonts w:cstheme="minorHAnsi"/>
          <w:b/>
          <w:bCs/>
          <w:sz w:val="40"/>
          <w:szCs w:val="40"/>
        </w:rPr>
        <w:t xml:space="preserve"> </w:t>
      </w:r>
      <w:r w:rsidRPr="000266AD">
        <w:rPr>
          <w:rFonts w:cstheme="minorHAnsi"/>
          <w:b/>
          <w:bCs/>
          <w:sz w:val="40"/>
          <w:szCs w:val="40"/>
        </w:rPr>
        <w:t>powierzchnie. Najemcy coraz częściej konkurują o te same hale</w:t>
      </w:r>
      <w:r>
        <w:rPr>
          <w:rFonts w:cstheme="minorHAnsi"/>
          <w:b/>
          <w:bCs/>
          <w:sz w:val="40"/>
          <w:szCs w:val="40"/>
        </w:rPr>
        <w:t>.</w:t>
      </w:r>
    </w:p>
    <w:p w14:paraId="49A7799F" w14:textId="74164AFC" w:rsidR="000266AD" w:rsidRDefault="000266AD" w:rsidP="008D069D">
      <w:pPr>
        <w:jc w:val="both"/>
        <w:rPr>
          <w:rFonts w:cstheme="minorHAnsi"/>
          <w:b/>
          <w:bCs/>
        </w:rPr>
      </w:pPr>
      <w:r w:rsidRPr="000266AD">
        <w:rPr>
          <w:rFonts w:cstheme="minorHAnsi"/>
          <w:b/>
          <w:bCs/>
        </w:rPr>
        <w:t xml:space="preserve">Na rynku magazynowym zachodzi zmiana, której nie widać w samych statystykach. Choć oficjalny poziom pustostanów utrzymuje się na poziomie około 7 proc., firmy poszukujące </w:t>
      </w:r>
      <w:r w:rsidR="00037239">
        <w:rPr>
          <w:rFonts w:cstheme="minorHAnsi"/>
          <w:b/>
          <w:bCs/>
        </w:rPr>
        <w:t>powierzchni powyżej 15 tys. mkw.,</w:t>
      </w:r>
      <w:r w:rsidRPr="000266AD">
        <w:rPr>
          <w:rFonts w:cstheme="minorHAnsi"/>
          <w:b/>
          <w:bCs/>
        </w:rPr>
        <w:t xml:space="preserve"> coraz częściej rywalizują o te same obiekty. Zdaniem ekspertów SQM Advisory </w:t>
      </w:r>
      <w:r w:rsidR="00037239">
        <w:rPr>
          <w:rFonts w:cstheme="minorHAnsi"/>
          <w:b/>
          <w:bCs/>
        </w:rPr>
        <w:t xml:space="preserve">obecnie brakuje już nie tylko dużych nowoczesnych powierzchni magazynowych, a problemy zaczynają dotykać także </w:t>
      </w:r>
      <w:r w:rsidRPr="000266AD">
        <w:rPr>
          <w:rFonts w:cstheme="minorHAnsi"/>
          <w:b/>
          <w:bCs/>
        </w:rPr>
        <w:t>segmen</w:t>
      </w:r>
      <w:r w:rsidR="00037239">
        <w:rPr>
          <w:rFonts w:cstheme="minorHAnsi"/>
          <w:b/>
          <w:bCs/>
        </w:rPr>
        <w:t xml:space="preserve">t średniej wielkości modułów, których </w:t>
      </w:r>
      <w:r w:rsidRPr="000266AD">
        <w:rPr>
          <w:rFonts w:cstheme="minorHAnsi"/>
          <w:b/>
          <w:bCs/>
        </w:rPr>
        <w:t>dostępność jest dziś najmniejsza od wielu lat</w:t>
      </w:r>
      <w:r w:rsidR="00037239">
        <w:rPr>
          <w:rFonts w:cstheme="minorHAnsi"/>
          <w:b/>
          <w:bCs/>
        </w:rPr>
        <w:t xml:space="preserve">. </w:t>
      </w:r>
    </w:p>
    <w:p w14:paraId="030D005D" w14:textId="7A76EF00" w:rsidR="000266AD" w:rsidRDefault="000266AD" w:rsidP="008D069D">
      <w:pPr>
        <w:jc w:val="both"/>
        <w:rPr>
          <w:rFonts w:cstheme="minorHAnsi"/>
        </w:rPr>
      </w:pPr>
      <w:r w:rsidRPr="000266AD">
        <w:rPr>
          <w:rFonts w:cstheme="minorHAnsi"/>
        </w:rPr>
        <w:t>Jeszcze dwa–trzy lata temu właściciel magazynu</w:t>
      </w:r>
      <w:r w:rsidR="00037239">
        <w:rPr>
          <w:rFonts w:cstheme="minorHAnsi"/>
        </w:rPr>
        <w:t>, dysponujący wolnymi modułami</w:t>
      </w:r>
      <w:r w:rsidRPr="000266AD">
        <w:rPr>
          <w:rFonts w:cstheme="minorHAnsi"/>
        </w:rPr>
        <w:t xml:space="preserve"> </w:t>
      </w:r>
      <w:r w:rsidR="00037239">
        <w:rPr>
          <w:rFonts w:cstheme="minorHAnsi"/>
        </w:rPr>
        <w:t xml:space="preserve">zabiegał o </w:t>
      </w:r>
      <w:r w:rsidR="00E04A47">
        <w:rPr>
          <w:rFonts w:cstheme="minorHAnsi"/>
        </w:rPr>
        <w:t>rozpocz</w:t>
      </w:r>
      <w:r w:rsidR="00037239">
        <w:rPr>
          <w:rFonts w:cstheme="minorHAnsi"/>
        </w:rPr>
        <w:t>ęcie</w:t>
      </w:r>
      <w:r w:rsidR="00E04A47" w:rsidRPr="000266AD">
        <w:rPr>
          <w:rFonts w:cstheme="minorHAnsi"/>
        </w:rPr>
        <w:t xml:space="preserve"> </w:t>
      </w:r>
      <w:r w:rsidRPr="000266AD">
        <w:rPr>
          <w:rFonts w:cstheme="minorHAnsi"/>
        </w:rPr>
        <w:t>negocjacj</w:t>
      </w:r>
      <w:r w:rsidR="00037239">
        <w:rPr>
          <w:rFonts w:cstheme="minorHAnsi"/>
        </w:rPr>
        <w:t>i</w:t>
      </w:r>
      <w:r w:rsidRPr="000266AD">
        <w:rPr>
          <w:rFonts w:cstheme="minorHAnsi"/>
        </w:rPr>
        <w:t xml:space="preserve"> z zainteresowanym najemcą</w:t>
      </w:r>
      <w:r w:rsidR="00E04A47">
        <w:rPr>
          <w:rFonts w:cstheme="minorHAnsi"/>
        </w:rPr>
        <w:t xml:space="preserve">, </w:t>
      </w:r>
      <w:r w:rsidR="002A66BE">
        <w:rPr>
          <w:rFonts w:cstheme="minorHAnsi"/>
        </w:rPr>
        <w:t>gdy ten</w:t>
      </w:r>
      <w:r w:rsidR="00E04A47">
        <w:rPr>
          <w:rFonts w:cstheme="minorHAnsi"/>
        </w:rPr>
        <w:t xml:space="preserve"> zgłaszał zapotrzebowanie na powierzchnię</w:t>
      </w:r>
      <w:r w:rsidRPr="000266AD">
        <w:rPr>
          <w:rFonts w:cstheme="minorHAnsi"/>
        </w:rPr>
        <w:t>. Dziś</w:t>
      </w:r>
      <w:r w:rsidR="008F5006">
        <w:rPr>
          <w:rFonts w:cstheme="minorHAnsi"/>
        </w:rPr>
        <w:t>,</w:t>
      </w:r>
      <w:r w:rsidRPr="000266AD">
        <w:rPr>
          <w:rFonts w:cstheme="minorHAnsi"/>
        </w:rPr>
        <w:t xml:space="preserve"> </w:t>
      </w:r>
      <w:r w:rsidR="008F5006" w:rsidRPr="008F5006">
        <w:rPr>
          <w:rFonts w:cstheme="minorHAnsi"/>
        </w:rPr>
        <w:t xml:space="preserve"> zanim jeszcze dojdzie do rozmów, </w:t>
      </w:r>
      <w:r w:rsidR="00DF7F3B">
        <w:rPr>
          <w:rFonts w:cstheme="minorHAnsi"/>
        </w:rPr>
        <w:t xml:space="preserve">inwestor </w:t>
      </w:r>
      <w:r w:rsidR="008F5006" w:rsidRPr="008F5006">
        <w:rPr>
          <w:rFonts w:cstheme="minorHAnsi"/>
        </w:rPr>
        <w:t>często może wybierać spośród kilku chętnych</w:t>
      </w:r>
      <w:r w:rsidRPr="000266AD">
        <w:rPr>
          <w:rFonts w:cstheme="minorHAnsi"/>
        </w:rPr>
        <w:t xml:space="preserve">. W praktyce oznacza to, że firmy muszą </w:t>
      </w:r>
      <w:r w:rsidR="00DD4A15">
        <w:rPr>
          <w:rFonts w:cstheme="minorHAnsi"/>
        </w:rPr>
        <w:t>rozpoczynać poszukiwania</w:t>
      </w:r>
      <w:r w:rsidR="00E04A47">
        <w:rPr>
          <w:rFonts w:cstheme="minorHAnsi"/>
        </w:rPr>
        <w:t xml:space="preserve"> </w:t>
      </w:r>
      <w:r w:rsidR="00DD4A15">
        <w:rPr>
          <w:rFonts w:cstheme="minorHAnsi"/>
        </w:rPr>
        <w:t xml:space="preserve">przestrzeni </w:t>
      </w:r>
      <w:r w:rsidR="00E04A47">
        <w:rPr>
          <w:rFonts w:cstheme="minorHAnsi"/>
        </w:rPr>
        <w:t>znacznie wcześniej</w:t>
      </w:r>
      <w:r w:rsidRPr="000266AD">
        <w:rPr>
          <w:rFonts w:cstheme="minorHAnsi"/>
        </w:rPr>
        <w:t xml:space="preserve"> niż dotychczas, bo zwłoka może oznaczać utratę </w:t>
      </w:r>
      <w:r w:rsidR="002A66BE">
        <w:rPr>
          <w:rFonts w:cstheme="minorHAnsi"/>
        </w:rPr>
        <w:t>preferowanej</w:t>
      </w:r>
      <w:r w:rsidR="002A66BE" w:rsidRPr="000266AD">
        <w:rPr>
          <w:rFonts w:cstheme="minorHAnsi"/>
        </w:rPr>
        <w:t xml:space="preserve"> </w:t>
      </w:r>
      <w:r w:rsidRPr="000266AD">
        <w:rPr>
          <w:rFonts w:cstheme="minorHAnsi"/>
        </w:rPr>
        <w:t>lokalizacji.</w:t>
      </w:r>
    </w:p>
    <w:p w14:paraId="4DB9855A" w14:textId="224359A7" w:rsidR="008D069D" w:rsidRDefault="008D069D" w:rsidP="008D069D">
      <w:pPr>
        <w:jc w:val="both"/>
        <w:rPr>
          <w:rFonts w:cstheme="minorHAnsi"/>
        </w:rPr>
      </w:pPr>
      <w:r w:rsidRPr="008D069D">
        <w:rPr>
          <w:rFonts w:cstheme="minorHAnsi"/>
        </w:rPr>
        <w:t xml:space="preserve">– </w:t>
      </w:r>
      <w:r w:rsidR="000266AD" w:rsidRPr="000266AD">
        <w:rPr>
          <w:rFonts w:cstheme="minorHAnsi"/>
          <w:i/>
          <w:iCs/>
        </w:rPr>
        <w:t>To najw</w:t>
      </w:r>
      <w:r w:rsidR="00DD4A15">
        <w:rPr>
          <w:rFonts w:cstheme="minorHAnsi"/>
          <w:i/>
          <w:iCs/>
        </w:rPr>
        <w:t>ażniejsze</w:t>
      </w:r>
      <w:r w:rsidR="000266AD" w:rsidRPr="000266AD">
        <w:rPr>
          <w:rFonts w:cstheme="minorHAnsi"/>
          <w:i/>
          <w:iCs/>
        </w:rPr>
        <w:t xml:space="preserve"> z</w:t>
      </w:r>
      <w:r w:rsidR="00DD4A15">
        <w:rPr>
          <w:rFonts w:cstheme="minorHAnsi"/>
          <w:i/>
          <w:iCs/>
        </w:rPr>
        <w:t>jawisko</w:t>
      </w:r>
      <w:r w:rsidR="000266AD" w:rsidRPr="000266AD">
        <w:rPr>
          <w:rFonts w:cstheme="minorHAnsi"/>
          <w:i/>
          <w:iCs/>
        </w:rPr>
        <w:t>, jak</w:t>
      </w:r>
      <w:r w:rsidR="00DD4A15">
        <w:rPr>
          <w:rFonts w:cstheme="minorHAnsi"/>
          <w:i/>
          <w:iCs/>
        </w:rPr>
        <w:t>ie</w:t>
      </w:r>
      <w:r w:rsidR="000266AD" w:rsidRPr="000266AD">
        <w:rPr>
          <w:rFonts w:cstheme="minorHAnsi"/>
          <w:i/>
          <w:iCs/>
        </w:rPr>
        <w:t xml:space="preserve"> obserwujemy </w:t>
      </w:r>
      <w:r w:rsidR="00DD4A15">
        <w:rPr>
          <w:rFonts w:cstheme="minorHAnsi"/>
          <w:i/>
          <w:iCs/>
        </w:rPr>
        <w:t xml:space="preserve">obecnie </w:t>
      </w:r>
      <w:r w:rsidR="000266AD" w:rsidRPr="000266AD">
        <w:rPr>
          <w:rFonts w:cstheme="minorHAnsi"/>
          <w:i/>
          <w:iCs/>
        </w:rPr>
        <w:t xml:space="preserve">na rynku. </w:t>
      </w:r>
      <w:r w:rsidR="004642C6" w:rsidRPr="004642C6">
        <w:rPr>
          <w:rFonts w:cstheme="minorHAnsi"/>
          <w:i/>
          <w:iCs/>
        </w:rPr>
        <w:t xml:space="preserve">W ostatnich </w:t>
      </w:r>
      <w:r w:rsidR="00DD4A15">
        <w:rPr>
          <w:rFonts w:cstheme="minorHAnsi"/>
          <w:i/>
          <w:iCs/>
        </w:rPr>
        <w:t>tygodniach</w:t>
      </w:r>
      <w:r w:rsidR="00DD4A15" w:rsidRPr="008F5006">
        <w:rPr>
          <w:rFonts w:cstheme="minorHAnsi"/>
          <w:i/>
          <w:iCs/>
        </w:rPr>
        <w:t>, w kilku procesach najmu prowadzonych przez SQM Advisory przed rozpocz</w:t>
      </w:r>
      <w:r w:rsidR="00DD4A15" w:rsidRPr="008F5006">
        <w:rPr>
          <w:rFonts w:cstheme="minorHAnsi" w:hint="eastAsia"/>
          <w:i/>
          <w:iCs/>
        </w:rPr>
        <w:t>ę</w:t>
      </w:r>
      <w:r w:rsidR="00DD4A15" w:rsidRPr="008F5006">
        <w:rPr>
          <w:rFonts w:cstheme="minorHAnsi"/>
          <w:i/>
          <w:iCs/>
        </w:rPr>
        <w:t>ciem w</w:t>
      </w:r>
      <w:r w:rsidR="00DD4A15" w:rsidRPr="008F5006">
        <w:rPr>
          <w:rFonts w:cstheme="minorHAnsi" w:hint="eastAsia"/>
          <w:i/>
          <w:iCs/>
        </w:rPr>
        <w:t>ł</w:t>
      </w:r>
      <w:r w:rsidR="00DD4A15" w:rsidRPr="008F5006">
        <w:rPr>
          <w:rFonts w:cstheme="minorHAnsi"/>
          <w:i/>
          <w:iCs/>
        </w:rPr>
        <w:t>a</w:t>
      </w:r>
      <w:r w:rsidR="00DD4A15" w:rsidRPr="008F5006">
        <w:rPr>
          <w:rFonts w:cstheme="minorHAnsi" w:hint="eastAsia"/>
          <w:i/>
          <w:iCs/>
        </w:rPr>
        <w:t>ś</w:t>
      </w:r>
      <w:r w:rsidR="00DD4A15" w:rsidRPr="008F5006">
        <w:rPr>
          <w:rFonts w:cstheme="minorHAnsi"/>
          <w:i/>
          <w:iCs/>
        </w:rPr>
        <w:t>ciwych negocjacji musieli</w:t>
      </w:r>
      <w:r w:rsidR="00DD4A15" w:rsidRPr="008F5006">
        <w:rPr>
          <w:rFonts w:cstheme="minorHAnsi" w:hint="eastAsia"/>
          <w:i/>
          <w:iCs/>
        </w:rPr>
        <w:t>ś</w:t>
      </w:r>
      <w:r w:rsidR="00DD4A15" w:rsidRPr="008F5006">
        <w:rPr>
          <w:rFonts w:cstheme="minorHAnsi"/>
          <w:i/>
          <w:iCs/>
        </w:rPr>
        <w:t>my konkurowa</w:t>
      </w:r>
      <w:r w:rsidR="00DD4A15" w:rsidRPr="008F5006">
        <w:rPr>
          <w:rFonts w:cstheme="minorHAnsi" w:hint="eastAsia"/>
          <w:i/>
          <w:iCs/>
        </w:rPr>
        <w:t>ć</w:t>
      </w:r>
      <w:r w:rsidR="00DD4A15" w:rsidRPr="008F5006">
        <w:rPr>
          <w:rFonts w:cstheme="minorHAnsi"/>
          <w:i/>
          <w:iCs/>
        </w:rPr>
        <w:t xml:space="preserve"> z dwiema lub trzema innymi zainteresowanymi firmami</w:t>
      </w:r>
      <w:r w:rsidR="004642C6">
        <w:rPr>
          <w:rFonts w:cstheme="minorHAnsi"/>
          <w:i/>
          <w:iCs/>
        </w:rPr>
        <w:t xml:space="preserve">. </w:t>
      </w:r>
      <w:r w:rsidR="00DD4A15">
        <w:rPr>
          <w:rFonts w:cstheme="minorHAnsi"/>
          <w:i/>
          <w:iCs/>
        </w:rPr>
        <w:t>Do nie</w:t>
      </w:r>
      <w:r w:rsidR="000266AD" w:rsidRPr="000266AD">
        <w:rPr>
          <w:rFonts w:cstheme="minorHAnsi"/>
          <w:i/>
          <w:iCs/>
        </w:rPr>
        <w:t>dawn</w:t>
      </w:r>
      <w:r w:rsidR="00DD4A15">
        <w:rPr>
          <w:rFonts w:cstheme="minorHAnsi"/>
          <w:i/>
          <w:iCs/>
        </w:rPr>
        <w:t>a</w:t>
      </w:r>
      <w:r w:rsidR="000266AD" w:rsidRPr="000266AD">
        <w:rPr>
          <w:rFonts w:cstheme="minorHAnsi"/>
          <w:i/>
          <w:iCs/>
        </w:rPr>
        <w:t xml:space="preserve"> takie sytuacje należały do wyjątków, dziś stają się codziennością</w:t>
      </w:r>
      <w:r w:rsidR="00180314">
        <w:rPr>
          <w:rFonts w:cstheme="minorHAnsi"/>
          <w:i/>
          <w:iCs/>
        </w:rPr>
        <w:t xml:space="preserve">. </w:t>
      </w:r>
      <w:r w:rsidR="00DD4A15">
        <w:rPr>
          <w:rFonts w:cstheme="minorHAnsi"/>
          <w:i/>
          <w:iCs/>
        </w:rPr>
        <w:t>Wpływa</w:t>
      </w:r>
      <w:r w:rsidR="00180314">
        <w:rPr>
          <w:rFonts w:cstheme="minorHAnsi"/>
          <w:i/>
          <w:iCs/>
        </w:rPr>
        <w:t xml:space="preserve"> to </w:t>
      </w:r>
      <w:r w:rsidR="00DD4A15">
        <w:rPr>
          <w:rFonts w:cstheme="minorHAnsi"/>
          <w:i/>
          <w:iCs/>
        </w:rPr>
        <w:t xml:space="preserve">na </w:t>
      </w:r>
      <w:r w:rsidR="00524AD3" w:rsidRPr="008F5006">
        <w:rPr>
          <w:rFonts w:cstheme="minorHAnsi"/>
          <w:i/>
          <w:iCs/>
        </w:rPr>
        <w:t>dynamik</w:t>
      </w:r>
      <w:r w:rsidR="00524AD3" w:rsidRPr="008F5006">
        <w:rPr>
          <w:rFonts w:cstheme="minorHAnsi" w:hint="eastAsia"/>
          <w:i/>
          <w:iCs/>
        </w:rPr>
        <w:t>ę</w:t>
      </w:r>
      <w:r w:rsidR="00524AD3">
        <w:rPr>
          <w:rFonts w:ascii="-webkit-standard" w:hAnsi="-webkit-standard"/>
          <w:color w:val="000000"/>
          <w:sz w:val="27"/>
          <w:szCs w:val="27"/>
        </w:rPr>
        <w:t xml:space="preserve"> </w:t>
      </w:r>
      <w:r w:rsidR="00524AD3" w:rsidRPr="008F5006">
        <w:rPr>
          <w:rFonts w:cstheme="minorHAnsi"/>
          <w:i/>
          <w:iCs/>
        </w:rPr>
        <w:t>ca</w:t>
      </w:r>
      <w:r w:rsidR="00524AD3" w:rsidRPr="008F5006">
        <w:rPr>
          <w:rFonts w:cstheme="minorHAnsi" w:hint="eastAsia"/>
          <w:i/>
          <w:iCs/>
        </w:rPr>
        <w:t>ł</w:t>
      </w:r>
      <w:r w:rsidR="00524AD3" w:rsidRPr="008F5006">
        <w:rPr>
          <w:rFonts w:cstheme="minorHAnsi"/>
          <w:i/>
          <w:iCs/>
        </w:rPr>
        <w:t>ego procesu i wymaga od najemc</w:t>
      </w:r>
      <w:r w:rsidR="00524AD3" w:rsidRPr="008F5006">
        <w:rPr>
          <w:rFonts w:cstheme="minorHAnsi" w:hint="eastAsia"/>
          <w:i/>
          <w:iCs/>
        </w:rPr>
        <w:t>ó</w:t>
      </w:r>
      <w:r w:rsidR="00524AD3" w:rsidRPr="008F5006">
        <w:rPr>
          <w:rFonts w:cstheme="minorHAnsi"/>
          <w:i/>
          <w:iCs/>
        </w:rPr>
        <w:t>w odej</w:t>
      </w:r>
      <w:r w:rsidR="00524AD3" w:rsidRPr="008F5006">
        <w:rPr>
          <w:rFonts w:cstheme="minorHAnsi" w:hint="eastAsia"/>
          <w:i/>
          <w:iCs/>
        </w:rPr>
        <w:t>ś</w:t>
      </w:r>
      <w:r w:rsidR="00524AD3" w:rsidRPr="008F5006">
        <w:rPr>
          <w:rFonts w:cstheme="minorHAnsi"/>
          <w:i/>
          <w:iCs/>
        </w:rPr>
        <w:t>cia od dotychczasowych przyzwyczaje</w:t>
      </w:r>
      <w:r w:rsidR="00524AD3" w:rsidRPr="008F5006">
        <w:rPr>
          <w:rFonts w:cstheme="minorHAnsi" w:hint="eastAsia"/>
          <w:i/>
          <w:iCs/>
        </w:rPr>
        <w:t>ń</w:t>
      </w:r>
      <w:r w:rsidR="00524AD3" w:rsidRPr="008F5006">
        <w:rPr>
          <w:rFonts w:cstheme="minorHAnsi"/>
          <w:i/>
          <w:iCs/>
        </w:rPr>
        <w:t>, a od doradc</w:t>
      </w:r>
      <w:r w:rsidR="00524AD3" w:rsidRPr="008F5006">
        <w:rPr>
          <w:rFonts w:cstheme="minorHAnsi" w:hint="eastAsia"/>
          <w:i/>
          <w:iCs/>
        </w:rPr>
        <w:t>ó</w:t>
      </w:r>
      <w:r w:rsidR="00524AD3" w:rsidRPr="008F5006">
        <w:rPr>
          <w:rFonts w:cstheme="minorHAnsi"/>
          <w:i/>
          <w:iCs/>
        </w:rPr>
        <w:t xml:space="preserve">w </w:t>
      </w:r>
      <w:r w:rsidR="00524AD3" w:rsidRPr="008F5006">
        <w:rPr>
          <w:rFonts w:cstheme="minorHAnsi" w:hint="eastAsia"/>
          <w:i/>
          <w:iCs/>
        </w:rPr>
        <w:t>–</w:t>
      </w:r>
      <w:r w:rsidR="00524AD3" w:rsidRPr="008F5006">
        <w:rPr>
          <w:rFonts w:cstheme="minorHAnsi"/>
          <w:i/>
          <w:iCs/>
        </w:rPr>
        <w:t xml:space="preserve"> odpowiedniego przygotowania i sprawnego dzia</w:t>
      </w:r>
      <w:r w:rsidR="00524AD3" w:rsidRPr="008F5006">
        <w:rPr>
          <w:rFonts w:cstheme="minorHAnsi" w:hint="eastAsia"/>
          <w:i/>
          <w:iCs/>
        </w:rPr>
        <w:t>ł</w:t>
      </w:r>
      <w:r w:rsidR="00524AD3" w:rsidRPr="008F5006">
        <w:rPr>
          <w:rFonts w:cstheme="minorHAnsi"/>
          <w:i/>
          <w:iCs/>
        </w:rPr>
        <w:t>ania</w:t>
      </w:r>
      <w:r w:rsidR="00524AD3">
        <w:rPr>
          <w:rFonts w:ascii="-webkit-standard" w:hAnsi="-webkit-standard"/>
          <w:color w:val="000000"/>
          <w:sz w:val="27"/>
          <w:szCs w:val="27"/>
        </w:rPr>
        <w:t>.</w:t>
      </w:r>
      <w:r w:rsidR="00524AD3" w:rsidDel="00524AD3">
        <w:rPr>
          <w:rFonts w:cstheme="minorHAnsi"/>
          <w:i/>
          <w:iCs/>
        </w:rPr>
        <w:t xml:space="preserve"> </w:t>
      </w:r>
      <w:r w:rsidRPr="008D069D">
        <w:rPr>
          <w:rFonts w:cstheme="minorHAnsi"/>
        </w:rPr>
        <w:t xml:space="preserve">– mówi </w:t>
      </w:r>
      <w:r w:rsidRPr="008D069D">
        <w:rPr>
          <w:rFonts w:cstheme="minorHAnsi"/>
          <w:b/>
          <w:bCs/>
        </w:rPr>
        <w:t>Tomasz Arent, Partner w SQM Advisory</w:t>
      </w:r>
      <w:r w:rsidRPr="008D069D">
        <w:rPr>
          <w:rFonts w:cstheme="minorHAnsi"/>
        </w:rPr>
        <w:t>.</w:t>
      </w:r>
    </w:p>
    <w:p w14:paraId="03956247" w14:textId="0C504AEE" w:rsidR="000266AD" w:rsidRPr="000266AD" w:rsidRDefault="000266AD" w:rsidP="008D069D">
      <w:pPr>
        <w:jc w:val="both"/>
        <w:rPr>
          <w:rFonts w:cstheme="minorHAnsi"/>
          <w:b/>
          <w:bCs/>
        </w:rPr>
      </w:pPr>
      <w:r w:rsidRPr="000266AD">
        <w:rPr>
          <w:rFonts w:cstheme="minorHAnsi"/>
          <w:b/>
          <w:bCs/>
        </w:rPr>
        <w:t>Statystyki nie pokazują całego obrazu</w:t>
      </w:r>
    </w:p>
    <w:p w14:paraId="65E7B5A1" w14:textId="1BB3252E" w:rsidR="000266AD" w:rsidRDefault="000266AD" w:rsidP="008D069D">
      <w:pPr>
        <w:jc w:val="both"/>
        <w:rPr>
          <w:rFonts w:cstheme="minorHAnsi"/>
        </w:rPr>
      </w:pPr>
      <w:r w:rsidRPr="000266AD">
        <w:rPr>
          <w:rFonts w:cstheme="minorHAnsi"/>
        </w:rPr>
        <w:t xml:space="preserve">Na pierwszy rzut oka sytuacja </w:t>
      </w:r>
      <w:r w:rsidR="00524AD3">
        <w:rPr>
          <w:rFonts w:cstheme="minorHAnsi"/>
        </w:rPr>
        <w:t xml:space="preserve">sektora magazynowego </w:t>
      </w:r>
      <w:r w:rsidRPr="000266AD">
        <w:rPr>
          <w:rFonts w:cstheme="minorHAnsi"/>
        </w:rPr>
        <w:t>wydaje się stabilna. Problem polega jednak na tym, że rynek staje się coraz bardziej zróżnicowany.</w:t>
      </w:r>
      <w:r>
        <w:rPr>
          <w:rFonts w:cstheme="minorHAnsi"/>
        </w:rPr>
        <w:t xml:space="preserve"> </w:t>
      </w:r>
      <w:r w:rsidRPr="000266AD">
        <w:rPr>
          <w:rFonts w:cstheme="minorHAnsi"/>
        </w:rPr>
        <w:t xml:space="preserve">Dostępne pozostają przede wszystkim mniejsze moduły. Deficyt dotyczy magazynów o powierzchni przekraczającej </w:t>
      </w:r>
      <w:r w:rsidR="00037239">
        <w:rPr>
          <w:rFonts w:cstheme="minorHAnsi"/>
        </w:rPr>
        <w:t>1</w:t>
      </w:r>
      <w:r w:rsidR="00E04A47">
        <w:rPr>
          <w:rFonts w:cstheme="minorHAnsi"/>
        </w:rPr>
        <w:t>5</w:t>
      </w:r>
      <w:r w:rsidR="00E04A47" w:rsidRPr="000266AD">
        <w:rPr>
          <w:rFonts w:cstheme="minorHAnsi"/>
        </w:rPr>
        <w:t xml:space="preserve"> </w:t>
      </w:r>
      <w:r w:rsidRPr="000266AD">
        <w:rPr>
          <w:rFonts w:cstheme="minorHAnsi"/>
        </w:rPr>
        <w:t xml:space="preserve">tys. mkw., poszukiwanych przez operatorów logistycznych, sieci handlowe czy firmy produkcyjne. Jeśli takie obiekty pojawiają się na rynku, bardzo szybko </w:t>
      </w:r>
      <w:r>
        <w:rPr>
          <w:rFonts w:cstheme="minorHAnsi"/>
        </w:rPr>
        <w:t>są ponownie wynajmowane</w:t>
      </w:r>
      <w:r w:rsidRPr="000266AD">
        <w:rPr>
          <w:rFonts w:cstheme="minorHAnsi"/>
        </w:rPr>
        <w:t>.</w:t>
      </w:r>
    </w:p>
    <w:p w14:paraId="47FD64F8" w14:textId="64692142" w:rsidR="000266AD" w:rsidRDefault="000266AD" w:rsidP="008D069D">
      <w:pPr>
        <w:jc w:val="both"/>
        <w:rPr>
          <w:rFonts w:cstheme="minorHAnsi"/>
        </w:rPr>
      </w:pPr>
      <w:r w:rsidRPr="000266AD">
        <w:rPr>
          <w:rFonts w:cstheme="minorHAnsi"/>
        </w:rPr>
        <w:t xml:space="preserve">Na ograniczoną dostępność wpływa również mniejsza liczba nowych inwestycji realizowanych spekulacyjnie. Deweloperzy znacznie częściej rozpoczynają budowę dopiero po zabezpieczeniu </w:t>
      </w:r>
      <w:r w:rsidR="00DF7F3B">
        <w:rPr>
          <w:rFonts w:cstheme="minorHAnsi"/>
        </w:rPr>
        <w:t xml:space="preserve">inwestycji </w:t>
      </w:r>
      <w:r w:rsidR="00287F6F">
        <w:rPr>
          <w:rFonts w:cstheme="minorHAnsi"/>
        </w:rPr>
        <w:t>pierwszymi umowami najmu</w:t>
      </w:r>
      <w:r w:rsidRPr="000266AD">
        <w:rPr>
          <w:rFonts w:cstheme="minorHAnsi"/>
        </w:rPr>
        <w:t xml:space="preserve">, </w:t>
      </w:r>
      <w:r w:rsidR="00287F6F">
        <w:rPr>
          <w:rFonts w:cstheme="minorHAnsi"/>
        </w:rPr>
        <w:t>w efekcie czego</w:t>
      </w:r>
      <w:r w:rsidR="00524AD3">
        <w:rPr>
          <w:rFonts w:cstheme="minorHAnsi"/>
        </w:rPr>
        <w:t xml:space="preserve"> </w:t>
      </w:r>
      <w:r w:rsidR="00287F6F">
        <w:rPr>
          <w:rFonts w:cstheme="minorHAnsi"/>
        </w:rPr>
        <w:t>r</w:t>
      </w:r>
      <w:r w:rsidRPr="000266AD">
        <w:rPr>
          <w:rFonts w:cstheme="minorHAnsi"/>
        </w:rPr>
        <w:t>ynek wolniej uzupełnia ofertę dużych powierzchni.</w:t>
      </w:r>
    </w:p>
    <w:p w14:paraId="1A50ABAB" w14:textId="0E9A66C8" w:rsidR="000266AD" w:rsidRPr="000266AD" w:rsidRDefault="000266AD" w:rsidP="008D069D">
      <w:pPr>
        <w:jc w:val="both"/>
        <w:rPr>
          <w:rFonts w:cstheme="minorHAnsi"/>
          <w:b/>
          <w:bCs/>
        </w:rPr>
      </w:pPr>
      <w:r w:rsidRPr="000266AD">
        <w:rPr>
          <w:rFonts w:cstheme="minorHAnsi"/>
          <w:b/>
          <w:bCs/>
        </w:rPr>
        <w:t>Polska nie jest wyjątkiem, ale pozostaje konkurencyjna</w:t>
      </w:r>
    </w:p>
    <w:p w14:paraId="4D755EFF" w14:textId="05D69F7A" w:rsidR="000266AD" w:rsidRDefault="000266AD" w:rsidP="008D069D">
      <w:pPr>
        <w:jc w:val="both"/>
        <w:rPr>
          <w:rFonts w:cstheme="minorHAnsi"/>
        </w:rPr>
      </w:pPr>
      <w:r w:rsidRPr="000266AD">
        <w:rPr>
          <w:rFonts w:cstheme="minorHAnsi"/>
        </w:rPr>
        <w:t>Zmiany obserwowane w Polsce wpisują się w szerszy trend widoczny na europejskim rynku magazynowym. W Niemczech wskaźnik pustostanów dla dużych obiektów wynosi około 4,7 proc., a czynsze za najlepsze powierzchnie przekraczają 9 euro za mkw. miesięcznie</w:t>
      </w:r>
      <w:r w:rsidR="00E04A47">
        <w:rPr>
          <w:rFonts w:cstheme="minorHAnsi"/>
        </w:rPr>
        <w:t>, zaś w mniej atrakcyjnych lokalizacjach wynoszą około 6 euro za mkw</w:t>
      </w:r>
      <w:r w:rsidRPr="000266AD">
        <w:rPr>
          <w:rFonts w:cstheme="minorHAnsi"/>
        </w:rPr>
        <w:t>. W Czechach poziom pustostanów sięga około 5,8 proc., natomiast stawki najmu w Pradze dochodzą do 8–10 euro za mkw. miesięcznie</w:t>
      </w:r>
      <w:r w:rsidR="00E04A47">
        <w:rPr>
          <w:rFonts w:cstheme="minorHAnsi"/>
        </w:rPr>
        <w:t>, zaś na prowincji wynoszą ok. 5,5 euro za mkw</w:t>
      </w:r>
      <w:r w:rsidRPr="000266AD">
        <w:rPr>
          <w:rFonts w:cstheme="minorHAnsi"/>
        </w:rPr>
        <w:t>.</w:t>
      </w:r>
    </w:p>
    <w:p w14:paraId="2928C88C" w14:textId="2D22CD3A" w:rsidR="000266AD" w:rsidRPr="000266AD" w:rsidRDefault="000266AD" w:rsidP="008D069D">
      <w:pPr>
        <w:jc w:val="both"/>
        <w:rPr>
          <w:rFonts w:cstheme="minorHAnsi"/>
        </w:rPr>
      </w:pPr>
      <w:r w:rsidRPr="000266AD">
        <w:rPr>
          <w:rFonts w:cstheme="minorHAnsi"/>
        </w:rPr>
        <w:lastRenderedPageBreak/>
        <w:t>Na tym tle Polska pozostaje jednym z najbardziej konkurencyjnych kosztowo rynków logistycznych w Europie</w:t>
      </w:r>
      <w:r w:rsidR="00287F6F">
        <w:rPr>
          <w:rFonts w:cstheme="minorHAnsi"/>
        </w:rPr>
        <w:t>.</w:t>
      </w:r>
      <w:r w:rsidRPr="000266AD">
        <w:rPr>
          <w:rFonts w:cstheme="minorHAnsi"/>
        </w:rPr>
        <w:t xml:space="preserve"> </w:t>
      </w:r>
      <w:r w:rsidR="00287F6F">
        <w:rPr>
          <w:rFonts w:cstheme="minorHAnsi"/>
        </w:rPr>
        <w:t>C</w:t>
      </w:r>
      <w:r w:rsidR="00287F6F" w:rsidRPr="000266AD">
        <w:rPr>
          <w:rFonts w:cstheme="minorHAnsi"/>
        </w:rPr>
        <w:t xml:space="preserve">zynsze </w:t>
      </w:r>
      <w:r w:rsidRPr="000266AD">
        <w:rPr>
          <w:rFonts w:cstheme="minorHAnsi"/>
        </w:rPr>
        <w:t>bazowe za nowoczesne magazyny wynoszą zazwyczaj około 4–5 euro za mkw. miesięcznie</w:t>
      </w:r>
      <w:r w:rsidR="00DF7F3B">
        <w:rPr>
          <w:rFonts w:cstheme="minorHAnsi"/>
        </w:rPr>
        <w:t xml:space="preserve"> (nie wliczając zachęt możliwych do uzyskania w trakcie negocjacji)</w:t>
      </w:r>
      <w:r w:rsidRPr="000266AD">
        <w:rPr>
          <w:rFonts w:cstheme="minorHAnsi"/>
        </w:rPr>
        <w:t>. To utrzymuje zainteresowanie międzynarodowych najemców, ale jednocześnie zwiększa presję na dostępność powierzchni.</w:t>
      </w:r>
    </w:p>
    <w:p w14:paraId="2313CA1D" w14:textId="4CD7E147" w:rsidR="008D069D" w:rsidRDefault="008D069D" w:rsidP="008D069D">
      <w:pPr>
        <w:jc w:val="both"/>
        <w:rPr>
          <w:rFonts w:cstheme="minorHAnsi"/>
        </w:rPr>
      </w:pPr>
      <w:r w:rsidRPr="008D069D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765223" w:rsidRPr="00765223">
        <w:rPr>
          <w:rFonts w:cstheme="minorHAnsi"/>
          <w:i/>
          <w:iCs/>
        </w:rPr>
        <w:t xml:space="preserve">Polska nadal oferuje bardzo atrakcyjną relację kosztów do jakości infrastruktury logistycznej. To jedna z przyczyn utrzymującego się wysokiego popytu. Jeżeli tempo </w:t>
      </w:r>
      <w:r w:rsidR="00DF7F3B">
        <w:rPr>
          <w:rFonts w:cstheme="minorHAnsi"/>
          <w:i/>
          <w:iCs/>
        </w:rPr>
        <w:t xml:space="preserve">realizacji </w:t>
      </w:r>
      <w:r w:rsidR="00765223" w:rsidRPr="00765223">
        <w:rPr>
          <w:rFonts w:cstheme="minorHAnsi"/>
          <w:i/>
          <w:iCs/>
        </w:rPr>
        <w:t>nowych inwestycji nie wzrośnie, konkurencja o największe magazyny będzie się tylko nasilać</w:t>
      </w:r>
      <w:r w:rsidR="00DF7F3B">
        <w:rPr>
          <w:rFonts w:cstheme="minorHAnsi"/>
          <w:i/>
          <w:iCs/>
        </w:rPr>
        <w:t xml:space="preserve">, a koszty najmu rosnąć </w:t>
      </w:r>
      <w:r w:rsidRPr="008D069D">
        <w:rPr>
          <w:rFonts w:cstheme="minorHAnsi"/>
        </w:rPr>
        <w:t xml:space="preserve">– </w:t>
      </w:r>
      <w:r w:rsidR="00524AD3">
        <w:rPr>
          <w:rFonts w:cstheme="minorHAnsi"/>
        </w:rPr>
        <w:t>mówi</w:t>
      </w:r>
      <w:r w:rsidR="00524AD3" w:rsidRPr="008D069D">
        <w:rPr>
          <w:rFonts w:cstheme="minorHAnsi"/>
        </w:rPr>
        <w:t xml:space="preserve"> </w:t>
      </w:r>
      <w:r w:rsidRPr="008D069D">
        <w:rPr>
          <w:rFonts w:cstheme="minorHAnsi"/>
          <w:b/>
          <w:bCs/>
        </w:rPr>
        <w:t>Tomasz Arent</w:t>
      </w:r>
      <w:r w:rsidRPr="008D069D">
        <w:rPr>
          <w:rFonts w:cstheme="minorHAnsi"/>
        </w:rPr>
        <w:t>.</w:t>
      </w:r>
    </w:p>
    <w:p w14:paraId="3D197172" w14:textId="60C5F2E6" w:rsidR="00B752C3" w:rsidRPr="00B752C3" w:rsidRDefault="00B752C3" w:rsidP="008D069D">
      <w:pPr>
        <w:jc w:val="both"/>
        <w:rPr>
          <w:rFonts w:cstheme="minorHAnsi"/>
          <w:b/>
          <w:bCs/>
        </w:rPr>
      </w:pPr>
      <w:r w:rsidRPr="00B752C3">
        <w:rPr>
          <w:rFonts w:cstheme="minorHAnsi"/>
          <w:b/>
          <w:bCs/>
        </w:rPr>
        <w:t>Starsze magazyny wracają do łask</w:t>
      </w:r>
    </w:p>
    <w:p w14:paraId="55702ACD" w14:textId="708941B9" w:rsidR="00B752C3" w:rsidRDefault="00B752C3" w:rsidP="008D069D">
      <w:pPr>
        <w:jc w:val="both"/>
        <w:rPr>
          <w:rFonts w:cstheme="minorHAnsi"/>
        </w:rPr>
      </w:pPr>
      <w:r w:rsidRPr="00B752C3">
        <w:rPr>
          <w:rFonts w:cstheme="minorHAnsi"/>
        </w:rPr>
        <w:t xml:space="preserve">Zmienia się również podejście samych najemców. Jeszcze niedawno wielu z nich koncentrowało się niemal wyłącznie na </w:t>
      </w:r>
      <w:r w:rsidR="00287F6F">
        <w:rPr>
          <w:rFonts w:cstheme="minorHAnsi"/>
        </w:rPr>
        <w:t>nowoczesnych</w:t>
      </w:r>
      <w:r w:rsidR="00287F6F" w:rsidRPr="00B752C3">
        <w:rPr>
          <w:rFonts w:cstheme="minorHAnsi"/>
        </w:rPr>
        <w:t xml:space="preserve"> </w:t>
      </w:r>
      <w:r w:rsidRPr="00B752C3">
        <w:rPr>
          <w:rFonts w:cstheme="minorHAnsi"/>
        </w:rPr>
        <w:t xml:space="preserve">inwestycjach. Dziś coraz częściej analizują także obiekty starszej generacji, które jeszcze kilka lat temu </w:t>
      </w:r>
      <w:r>
        <w:rPr>
          <w:rFonts w:cstheme="minorHAnsi"/>
        </w:rPr>
        <w:t>nie cieszyły się aż takim powodzeniem</w:t>
      </w:r>
      <w:r w:rsidRPr="00B752C3">
        <w:rPr>
          <w:rFonts w:cstheme="minorHAnsi"/>
        </w:rPr>
        <w:t>.</w:t>
      </w:r>
    </w:p>
    <w:p w14:paraId="2CA761CE" w14:textId="7DE28D77" w:rsidR="00B752C3" w:rsidRDefault="00B752C3" w:rsidP="00B752C3">
      <w:pPr>
        <w:jc w:val="both"/>
        <w:rPr>
          <w:rFonts w:cstheme="minorHAnsi"/>
        </w:rPr>
      </w:pPr>
      <w:r w:rsidRPr="008D069D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Pr="00B752C3">
        <w:rPr>
          <w:rFonts w:cstheme="minorHAnsi"/>
          <w:i/>
          <w:iCs/>
        </w:rPr>
        <w:t>Najemcy stali się znacznie bardziej pragmatyczni. Jeżeli magazyn zapewnia odpowiednią lokalizację, parametry techniczne i jest dostępny praktycznie od zaraz, jego wiek schodzi na dalszy plan. Widzimy wyraźny wzrost zainteresowania starszymi obiektami, które jeszcze niedawno nie były pierwszym wyborem wielu firm</w:t>
      </w:r>
      <w:r>
        <w:rPr>
          <w:rFonts w:cstheme="minorHAnsi"/>
          <w:i/>
          <w:iCs/>
        </w:rPr>
        <w:t>.</w:t>
      </w:r>
      <w:r w:rsidRPr="008D069D">
        <w:rPr>
          <w:rFonts w:cstheme="minorHAnsi"/>
          <w:i/>
          <w:iCs/>
        </w:rPr>
        <w:t xml:space="preserve"> </w:t>
      </w:r>
      <w:r w:rsidRPr="008D069D">
        <w:rPr>
          <w:rFonts w:cstheme="minorHAnsi"/>
        </w:rPr>
        <w:t xml:space="preserve">– podsumowuje </w:t>
      </w:r>
      <w:r w:rsidRPr="008D069D">
        <w:rPr>
          <w:rFonts w:cstheme="minorHAnsi"/>
          <w:b/>
          <w:bCs/>
        </w:rPr>
        <w:t>Tomasz Arent</w:t>
      </w:r>
      <w:r w:rsidRPr="008D069D">
        <w:rPr>
          <w:rFonts w:cstheme="minorHAnsi"/>
        </w:rPr>
        <w:t>.</w:t>
      </w:r>
    </w:p>
    <w:p w14:paraId="329AD517" w14:textId="2009E09F" w:rsidR="00B752C3" w:rsidRDefault="00B752C3" w:rsidP="008D069D">
      <w:pPr>
        <w:jc w:val="both"/>
        <w:rPr>
          <w:rFonts w:cstheme="minorHAnsi"/>
        </w:rPr>
      </w:pPr>
      <w:r w:rsidRPr="00B752C3">
        <w:rPr>
          <w:rFonts w:cstheme="minorHAnsi"/>
        </w:rPr>
        <w:t>Zdaniem ekspertów SQM Advisory obecna sytuacja nie jest chwilowym efektem wzrostu popytu, ale konsekwencją kilku nakładających się zjawisk: ograniczonej nowej podaży, ostrożniejszej polityki deweloperów oraz utrzymującej się atrakcyjności Polski dla inwestorów i firm rozwijających działalność logistyczną</w:t>
      </w:r>
      <w:r w:rsidR="00DF7F3B">
        <w:rPr>
          <w:rFonts w:cstheme="minorHAnsi"/>
        </w:rPr>
        <w:t xml:space="preserve"> w Europie. </w:t>
      </w:r>
      <w:r w:rsidRPr="00B752C3">
        <w:rPr>
          <w:rFonts w:cstheme="minorHAnsi"/>
        </w:rPr>
        <w:t xml:space="preserve"> </w:t>
      </w:r>
    </w:p>
    <w:p w14:paraId="1AA91950" w14:textId="47E4E10F" w:rsidR="00D96A57" w:rsidRPr="00D96A57" w:rsidRDefault="00D96A57" w:rsidP="008D069D">
      <w:pPr>
        <w:jc w:val="both"/>
        <w:rPr>
          <w:rFonts w:cstheme="minorHAnsi"/>
          <w:sz w:val="18"/>
          <w:szCs w:val="18"/>
        </w:rPr>
      </w:pPr>
      <w:r w:rsidRPr="00D96A57">
        <w:rPr>
          <w:rFonts w:cstheme="minorHAnsi"/>
          <w:sz w:val="18"/>
          <w:szCs w:val="18"/>
        </w:rPr>
        <w:t>****************************************</w:t>
      </w:r>
    </w:p>
    <w:p w14:paraId="3FFCCFC6" w14:textId="77777777" w:rsidR="00D96A57" w:rsidRPr="00D96A57" w:rsidRDefault="00D96A57" w:rsidP="00D96A57">
      <w:pPr>
        <w:jc w:val="both"/>
        <w:rPr>
          <w:rFonts w:cstheme="minorHAnsi"/>
          <w:sz w:val="18"/>
          <w:szCs w:val="18"/>
        </w:rPr>
      </w:pPr>
      <w:r w:rsidRPr="00D96A57">
        <w:rPr>
          <w:rFonts w:cstheme="minorHAnsi"/>
          <w:sz w:val="18"/>
          <w:szCs w:val="18"/>
        </w:rPr>
        <w:t xml:space="preserve">SQM Advisory to firma doradcza działająca na rynku nieruchomości przemysłowych i logistycznych. Wspiera najemców, inwestorów oraz właścicieli w podejmowaniu kluczowych decyzji związanych z wynajmem, zakupem i rozwojem nieruchomości. Zespół SQM Advisory tworzą partnerzy i pracownicy posiadający wieloletnie rynkowe doświadczenie po obu stronach rynku – zarówno po stronie doradczej, jak i po stronie najemców deweloperów i inwestorów. </w:t>
      </w:r>
    </w:p>
    <w:p w14:paraId="1DE58125" w14:textId="37F1F061" w:rsidR="00D96A57" w:rsidRPr="00D96A57" w:rsidRDefault="000E38DE" w:rsidP="00D96A57">
      <w:p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Zespół </w:t>
      </w:r>
      <w:r w:rsidR="00D96A57" w:rsidRPr="00D96A57">
        <w:rPr>
          <w:rFonts w:cstheme="minorHAnsi"/>
          <w:sz w:val="18"/>
          <w:szCs w:val="18"/>
        </w:rPr>
        <w:t>SQM Advisory dotychczas uczestniczył w transakcjach, w wyniku których wynajęto ponad 1 mln m.kw. powierzchni. To doświadczenie przekłada na rekomendacje oparte na danych, znajomości rynku i praktycznym rozumieniu procesów najmu, renegocjacji, ekspansji, konsolidacji i relokacji.</w:t>
      </w:r>
    </w:p>
    <w:sectPr w:rsidR="00D96A57" w:rsidRPr="00D96A57" w:rsidSect="008D069D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FB646" w14:textId="77777777" w:rsidR="00D75FC9" w:rsidRDefault="00D75FC9" w:rsidP="008D069D">
      <w:pPr>
        <w:spacing w:after="0" w:line="240" w:lineRule="auto"/>
      </w:pPr>
      <w:r>
        <w:separator/>
      </w:r>
    </w:p>
  </w:endnote>
  <w:endnote w:type="continuationSeparator" w:id="0">
    <w:p w14:paraId="279154DD" w14:textId="77777777" w:rsidR="00D75FC9" w:rsidRDefault="00D75FC9" w:rsidP="008D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98833" w14:textId="77777777" w:rsidR="00D75FC9" w:rsidRDefault="00D75FC9" w:rsidP="008D069D">
      <w:pPr>
        <w:spacing w:after="0" w:line="240" w:lineRule="auto"/>
      </w:pPr>
      <w:r>
        <w:separator/>
      </w:r>
    </w:p>
  </w:footnote>
  <w:footnote w:type="continuationSeparator" w:id="0">
    <w:p w14:paraId="6952C49E" w14:textId="77777777" w:rsidR="00D75FC9" w:rsidRDefault="00D75FC9" w:rsidP="008D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2B075" w14:textId="69B32B28" w:rsidR="008D069D" w:rsidRPr="008D069D" w:rsidRDefault="008D069D">
    <w:pPr>
      <w:pStyle w:val="Nagwek"/>
      <w:rPr>
        <w:i/>
        <w:iCs/>
        <w:sz w:val="18"/>
        <w:szCs w:val="18"/>
      </w:rPr>
    </w:pPr>
    <w:r w:rsidRPr="008D069D">
      <w:rPr>
        <w:i/>
        <w:iCs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2C6C4AF5" wp14:editId="6BD681B9">
          <wp:simplePos x="0" y="0"/>
          <wp:positionH relativeFrom="column">
            <wp:posOffset>4764405</wp:posOffset>
          </wp:positionH>
          <wp:positionV relativeFrom="paragraph">
            <wp:posOffset>7620</wp:posOffset>
          </wp:positionV>
          <wp:extent cx="1130300" cy="1130300"/>
          <wp:effectExtent l="0" t="0" r="0" b="0"/>
          <wp:wrapTight wrapText="bothSides">
            <wp:wrapPolygon edited="0">
              <wp:start x="0" y="0"/>
              <wp:lineTo x="0" y="21115"/>
              <wp:lineTo x="21115" y="21115"/>
              <wp:lineTo x="21115" y="0"/>
              <wp:lineTo x="0" y="0"/>
            </wp:wrapPolygon>
          </wp:wrapTight>
          <wp:docPr id="1821248507" name="Obraz 2" descr="SQM Advisory | Linked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QM Advisory | Linked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D069D">
      <w:rPr>
        <w:i/>
        <w:iCs/>
        <w:sz w:val="18"/>
        <w:szCs w:val="18"/>
      </w:rPr>
      <w:t>Informacja prasowa</w:t>
    </w:r>
  </w:p>
  <w:p w14:paraId="1982E5C0" w14:textId="6757E5D7" w:rsidR="008D069D" w:rsidRPr="008D069D" w:rsidRDefault="00C237A1">
    <w:pPr>
      <w:pStyle w:val="Nagwek"/>
      <w:rPr>
        <w:i/>
        <w:iCs/>
        <w:sz w:val="18"/>
        <w:szCs w:val="18"/>
      </w:rPr>
    </w:pPr>
    <w:r>
      <w:rPr>
        <w:i/>
        <w:iCs/>
        <w:sz w:val="18"/>
        <w:szCs w:val="18"/>
      </w:rPr>
      <w:t>24</w:t>
    </w:r>
    <w:r w:rsidR="008D069D" w:rsidRPr="008D069D">
      <w:rPr>
        <w:i/>
        <w:iCs/>
        <w:sz w:val="18"/>
        <w:szCs w:val="18"/>
      </w:rPr>
      <w:t>.0</w:t>
    </w:r>
    <w:r>
      <w:rPr>
        <w:i/>
        <w:iCs/>
        <w:sz w:val="18"/>
        <w:szCs w:val="18"/>
      </w:rPr>
      <w:t>8</w:t>
    </w:r>
    <w:r w:rsidR="008D069D" w:rsidRPr="008D069D">
      <w:rPr>
        <w:i/>
        <w:iCs/>
        <w:sz w:val="18"/>
        <w:szCs w:val="18"/>
      </w:rPr>
      <w:t>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A2F"/>
    <w:rsid w:val="000266AD"/>
    <w:rsid w:val="00037239"/>
    <w:rsid w:val="00080BB2"/>
    <w:rsid w:val="000A1C52"/>
    <w:rsid w:val="000E26D0"/>
    <w:rsid w:val="000E38DE"/>
    <w:rsid w:val="000E5C2D"/>
    <w:rsid w:val="000F0B48"/>
    <w:rsid w:val="00101022"/>
    <w:rsid w:val="00105750"/>
    <w:rsid w:val="00143310"/>
    <w:rsid w:val="00161E68"/>
    <w:rsid w:val="00176C76"/>
    <w:rsid w:val="00180314"/>
    <w:rsid w:val="001B30B3"/>
    <w:rsid w:val="00216327"/>
    <w:rsid w:val="0024034B"/>
    <w:rsid w:val="00287F6F"/>
    <w:rsid w:val="002A66BE"/>
    <w:rsid w:val="00301E7F"/>
    <w:rsid w:val="00346CE1"/>
    <w:rsid w:val="00430D2D"/>
    <w:rsid w:val="004642C6"/>
    <w:rsid w:val="00494788"/>
    <w:rsid w:val="004A335F"/>
    <w:rsid w:val="0051552C"/>
    <w:rsid w:val="00524AD3"/>
    <w:rsid w:val="00531CCA"/>
    <w:rsid w:val="00560D94"/>
    <w:rsid w:val="00581DB0"/>
    <w:rsid w:val="00586232"/>
    <w:rsid w:val="00600C2D"/>
    <w:rsid w:val="006D3904"/>
    <w:rsid w:val="00712FD4"/>
    <w:rsid w:val="00720B44"/>
    <w:rsid w:val="00765223"/>
    <w:rsid w:val="00790A42"/>
    <w:rsid w:val="007C29C5"/>
    <w:rsid w:val="007D7C98"/>
    <w:rsid w:val="007E0E80"/>
    <w:rsid w:val="008312C5"/>
    <w:rsid w:val="00870296"/>
    <w:rsid w:val="008C771A"/>
    <w:rsid w:val="008D069D"/>
    <w:rsid w:val="008E4F4F"/>
    <w:rsid w:val="008F5006"/>
    <w:rsid w:val="0091691E"/>
    <w:rsid w:val="009859D4"/>
    <w:rsid w:val="009A417B"/>
    <w:rsid w:val="00AE66FA"/>
    <w:rsid w:val="00AF4A15"/>
    <w:rsid w:val="00B752C3"/>
    <w:rsid w:val="00BA75F6"/>
    <w:rsid w:val="00C001FE"/>
    <w:rsid w:val="00C0044B"/>
    <w:rsid w:val="00C1787F"/>
    <w:rsid w:val="00C21B82"/>
    <w:rsid w:val="00C237A1"/>
    <w:rsid w:val="00C31A2F"/>
    <w:rsid w:val="00C52303"/>
    <w:rsid w:val="00CC72C0"/>
    <w:rsid w:val="00D75FC9"/>
    <w:rsid w:val="00D96A57"/>
    <w:rsid w:val="00DD4A15"/>
    <w:rsid w:val="00DE52C6"/>
    <w:rsid w:val="00DF2A92"/>
    <w:rsid w:val="00DF554D"/>
    <w:rsid w:val="00DF7F3B"/>
    <w:rsid w:val="00E04A47"/>
    <w:rsid w:val="00E63591"/>
    <w:rsid w:val="00EC55E2"/>
    <w:rsid w:val="00F42065"/>
    <w:rsid w:val="00F6153D"/>
    <w:rsid w:val="00F95EFD"/>
    <w:rsid w:val="00FD5A20"/>
    <w:rsid w:val="00FE1E03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23F7"/>
  <w15:chartTrackingRefBased/>
  <w15:docId w15:val="{90D428D3-7A85-4267-B77E-CB042AE92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31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1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1A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1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1A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1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1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1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1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1A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1A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1A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1A2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1A2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1A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1A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1A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1A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1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1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1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1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1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1A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1A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1A2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1A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1A2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1A2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D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69D"/>
  </w:style>
  <w:style w:type="paragraph" w:styleId="Stopka">
    <w:name w:val="footer"/>
    <w:basedOn w:val="Normalny"/>
    <w:link w:val="StopkaZnak"/>
    <w:uiPriority w:val="99"/>
    <w:unhideWhenUsed/>
    <w:rsid w:val="008D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69D"/>
  </w:style>
  <w:style w:type="paragraph" w:styleId="Poprawka">
    <w:name w:val="Revision"/>
    <w:hidden/>
    <w:uiPriority w:val="99"/>
    <w:semiHidden/>
    <w:rsid w:val="00531CC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66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66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66B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66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66BE"/>
    <w:rPr>
      <w:b/>
      <w:bCs/>
      <w:sz w:val="20"/>
      <w:szCs w:val="20"/>
    </w:rPr>
  </w:style>
  <w:style w:type="character" w:customStyle="1" w:styleId="apple-converted-space">
    <w:name w:val="apple-converted-space"/>
    <w:basedOn w:val="Domylnaczcionkaakapitu"/>
    <w:rsid w:val="002A6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Gąsiorowski</dc:creator>
  <cp:keywords/>
  <dc:description/>
  <cp:lastModifiedBy>Daniel Gąsiorowski</cp:lastModifiedBy>
  <cp:revision>2</cp:revision>
  <dcterms:created xsi:type="dcterms:W3CDTF">2026-08-21T14:19:00Z</dcterms:created>
  <dcterms:modified xsi:type="dcterms:W3CDTF">2026-08-21T14:19:00Z</dcterms:modified>
</cp:coreProperties>
</file>