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E30AD" w14:textId="71D6BB91" w:rsidR="009303E6" w:rsidRPr="009303E6" w:rsidRDefault="00CE3042" w:rsidP="009303E6">
      <w:pPr>
        <w:pStyle w:val="FirstParagraph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t>Poziom p</w:t>
      </w:r>
      <w:r w:rsidR="009303E6" w:rsidRPr="009303E6">
        <w:rPr>
          <w:rFonts w:ascii="Arial" w:hAnsi="Arial" w:cs="Arial"/>
          <w:b/>
          <w:bCs/>
          <w:sz w:val="20"/>
          <w:szCs w:val="20"/>
          <w:lang w:val="pl-PL"/>
        </w:rPr>
        <w:t>ustostan</w:t>
      </w:r>
      <w:r>
        <w:rPr>
          <w:rFonts w:ascii="Arial" w:hAnsi="Arial" w:cs="Arial"/>
          <w:b/>
          <w:bCs/>
          <w:sz w:val="20"/>
          <w:szCs w:val="20"/>
          <w:lang w:val="pl-PL"/>
        </w:rPr>
        <w:t>ów</w:t>
      </w:r>
      <w:r w:rsidR="009303E6" w:rsidRPr="009303E6">
        <w:rPr>
          <w:rFonts w:ascii="Arial" w:hAnsi="Arial" w:cs="Arial"/>
          <w:b/>
          <w:bCs/>
          <w:sz w:val="20"/>
          <w:szCs w:val="20"/>
          <w:lang w:val="pl-PL"/>
        </w:rPr>
        <w:t xml:space="preserve"> w magazynach najni</w:t>
      </w:r>
      <w:r w:rsidR="00351245">
        <w:rPr>
          <w:rFonts w:ascii="Arial" w:hAnsi="Arial" w:cs="Arial"/>
          <w:b/>
          <w:bCs/>
          <w:sz w:val="20"/>
          <w:szCs w:val="20"/>
          <w:lang w:val="pl-PL"/>
        </w:rPr>
        <w:t>ższ</w:t>
      </w:r>
      <w:r>
        <w:rPr>
          <w:rFonts w:ascii="Arial" w:hAnsi="Arial" w:cs="Arial"/>
          <w:b/>
          <w:bCs/>
          <w:sz w:val="20"/>
          <w:szCs w:val="20"/>
          <w:lang w:val="pl-PL"/>
        </w:rPr>
        <w:t>y</w:t>
      </w:r>
      <w:r w:rsidR="009303E6" w:rsidRPr="009303E6">
        <w:rPr>
          <w:rFonts w:ascii="Arial" w:hAnsi="Arial" w:cs="Arial"/>
          <w:b/>
          <w:bCs/>
          <w:sz w:val="20"/>
          <w:szCs w:val="20"/>
          <w:lang w:val="pl-PL"/>
        </w:rPr>
        <w:t xml:space="preserve"> od 2023 roku</w:t>
      </w:r>
    </w:p>
    <w:p w14:paraId="74A41CB5" w14:textId="0344CCCB" w:rsidR="00B17F8F" w:rsidRDefault="00B17F8F" w:rsidP="00B17F8F">
      <w:pPr>
        <w:spacing w:before="240" w:after="240"/>
        <w:jc w:val="both"/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</w:pPr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 xml:space="preserve">Polski rynek magazynowy wszedł w drugą połowę 2026 roku z rosnącym popytem i kurczącą się ofertą powierzchni do wynajęcia. Jak wynika z raportu </w:t>
      </w:r>
      <w:proofErr w:type="spellStart"/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>MarketBeat</w:t>
      </w:r>
      <w:proofErr w:type="spellEnd"/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 xml:space="preserve"> firmy </w:t>
      </w:r>
      <w:proofErr w:type="spellStart"/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>Cushman</w:t>
      </w:r>
      <w:proofErr w:type="spellEnd"/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 xml:space="preserve"> &amp; Wakefield, w drugim kwartale 2026 r</w:t>
      </w:r>
      <w:r w:rsidR="00DB7308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>oku</w:t>
      </w:r>
      <w:r w:rsidRPr="00B17F8F">
        <w:rPr>
          <w:rFonts w:eastAsiaTheme="minorHAnsi"/>
          <w:b/>
          <w:bCs/>
          <w:color w:val="000000" w:themeColor="text1"/>
          <w:sz w:val="20"/>
          <w:szCs w:val="20"/>
          <w:lang w:val="pl-PL" w:eastAsia="en-US"/>
        </w:rPr>
        <w:t xml:space="preserve"> stopa pustostanów spadła do 6,6 proc., czyli do najniższego poziomu od 2023 roku. Ponadto w pierwszej połowie 2026 roku najemcy aktywnie podpisywali nowe umowy, deweloperzy zachowali ostrożność, a wartość transakcji inwestycyjnych w sektorze magazynowym była o 13 proc. wyższa niż przed rokiem.</w:t>
      </w:r>
    </w:p>
    <w:p w14:paraId="21D722B3" w14:textId="223C0BF9" w:rsidR="009303E6" w:rsidRPr="009303E6" w:rsidRDefault="009303E6" w:rsidP="009303E6">
      <w:pPr>
        <w:spacing w:before="240" w:after="240" w:line="240" w:lineRule="auto"/>
        <w:jc w:val="both"/>
        <w:rPr>
          <w:b/>
          <w:bCs/>
          <w:color w:val="000000" w:themeColor="text1"/>
          <w:sz w:val="20"/>
          <w:szCs w:val="20"/>
          <w:lang w:val="pl-PL"/>
        </w:rPr>
      </w:pPr>
      <w:r w:rsidRPr="009303E6">
        <w:rPr>
          <w:b/>
          <w:bCs/>
          <w:color w:val="000000" w:themeColor="text1"/>
          <w:sz w:val="20"/>
          <w:szCs w:val="20"/>
          <w:lang w:val="pl-PL"/>
        </w:rPr>
        <w:t>Nowe umowy napędzają popyt</w:t>
      </w:r>
    </w:p>
    <w:p w14:paraId="772559D7" w14:textId="77777777" w:rsidR="004D3B55" w:rsidRDefault="004D3B55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t>W pierwszej połowie 2026 roku firmy wynajęły w Polsce łącznie 3,51 mln mkw. magazynów, czyli o 21 proc. więcej niż rok wcześniej. W drugim kwartale wolumen najmu wyniósł 1,93 mln mkw. (+6 proc. r/r).</w:t>
      </w:r>
    </w:p>
    <w:p w14:paraId="03DA219C" w14:textId="2A15BFB4" w:rsidR="004D3B55" w:rsidRDefault="004D3B55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t>W drugim kwartale nowe kontrakty odpowiadały za 63 proc. kwartalnego wolumenu, odnowienia za 34 proc., a ekspansje za 2,4 proc. Po raz ostatni tak wysoki udział nowych umów odnotowano w I kwartale 2022 r</w:t>
      </w:r>
      <w:r w:rsidR="00DB7308">
        <w:rPr>
          <w:color w:val="000000" w:themeColor="text1"/>
          <w:sz w:val="20"/>
          <w:szCs w:val="20"/>
          <w:lang w:val="pl-PL"/>
        </w:rPr>
        <w:t>oku</w:t>
      </w:r>
      <w:r w:rsidRPr="004D3B55">
        <w:rPr>
          <w:color w:val="000000" w:themeColor="text1"/>
          <w:sz w:val="20"/>
          <w:szCs w:val="20"/>
          <w:lang w:val="pl-PL"/>
        </w:rPr>
        <w:t xml:space="preserve"> Przełożyło się to na </w:t>
      </w:r>
      <w:r w:rsidRPr="00DB7308">
        <w:rPr>
          <w:b/>
          <w:bCs/>
          <w:color w:val="000000" w:themeColor="text1"/>
          <w:sz w:val="20"/>
          <w:szCs w:val="20"/>
          <w:lang w:val="pl-PL"/>
        </w:rPr>
        <w:t>popyt netto, który wyniósł 1,26 mln mkw</w:t>
      </w:r>
      <w:r w:rsidRPr="004D3B55">
        <w:rPr>
          <w:color w:val="000000" w:themeColor="text1"/>
          <w:sz w:val="20"/>
          <w:szCs w:val="20"/>
          <w:lang w:val="pl-PL"/>
        </w:rPr>
        <w:t>. i był o 47 proc. wyższy niż przed rokiem.</w:t>
      </w:r>
    </w:p>
    <w:p w14:paraId="1C216362" w14:textId="77777777" w:rsidR="004D3B55" w:rsidRDefault="004D3B55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t>W okresie kwiecień-czerwiec 2026 najwięcej powierzchni wynajęto w województwach śląskim (448 tys. mkw.), łódzkim (344 tys. mkw.) i dolnośląskim (327 tys. mkw.). Największą transakcją kwartału był najem blisko 108 tys. mkw. w parku EQT Exeter Poznań Żerniki.</w:t>
      </w:r>
    </w:p>
    <w:p w14:paraId="7C5CB75A" w14:textId="2A4B086D" w:rsidR="004D3B55" w:rsidRPr="003F3531" w:rsidRDefault="004D3B55" w:rsidP="009303E6">
      <w:pPr>
        <w:spacing w:before="240" w:after="240" w:line="240" w:lineRule="auto"/>
        <w:jc w:val="both"/>
        <w:rPr>
          <w:b/>
          <w:bCs/>
          <w:i/>
          <w:iCs/>
          <w:color w:val="000000" w:themeColor="text1"/>
          <w:sz w:val="20"/>
          <w:szCs w:val="20"/>
          <w:lang w:val="pl-PL"/>
        </w:rPr>
      </w:pPr>
      <w:r w:rsidRPr="003F3531">
        <w:rPr>
          <w:i/>
          <w:iCs/>
          <w:color w:val="000000" w:themeColor="text1"/>
          <w:sz w:val="20"/>
          <w:szCs w:val="20"/>
          <w:lang w:val="pl-PL"/>
        </w:rPr>
        <w:t xml:space="preserve">– W skali całego półrocza największą grupą najemców pozostali operatorzy logistyczni (3PL) z około jedną czwartą popytu. Natomiast w drugim kwartale większą aktywność wykazywały platformy </w:t>
      </w:r>
      <w:proofErr w:type="spellStart"/>
      <w:r w:rsidRPr="003F3531">
        <w:rPr>
          <w:i/>
          <w:iCs/>
          <w:color w:val="000000" w:themeColor="text1"/>
          <w:sz w:val="20"/>
          <w:szCs w:val="20"/>
          <w:lang w:val="pl-PL"/>
        </w:rPr>
        <w:t>marketplace</w:t>
      </w:r>
      <w:proofErr w:type="spellEnd"/>
      <w:r w:rsidRPr="003F3531">
        <w:rPr>
          <w:i/>
          <w:iCs/>
          <w:color w:val="000000" w:themeColor="text1"/>
          <w:sz w:val="20"/>
          <w:szCs w:val="20"/>
          <w:lang w:val="pl-PL"/>
        </w:rPr>
        <w:t xml:space="preserve">, </w:t>
      </w:r>
      <w:r w:rsidR="00F9349B">
        <w:rPr>
          <w:i/>
          <w:iCs/>
          <w:color w:val="000000" w:themeColor="text1"/>
          <w:sz w:val="20"/>
          <w:szCs w:val="20"/>
          <w:lang w:val="pl-PL"/>
        </w:rPr>
        <w:t>głównie</w:t>
      </w:r>
      <w:r w:rsidRPr="003F3531">
        <w:rPr>
          <w:i/>
          <w:iCs/>
          <w:color w:val="000000" w:themeColor="text1"/>
          <w:sz w:val="20"/>
          <w:szCs w:val="20"/>
          <w:lang w:val="pl-PL"/>
        </w:rPr>
        <w:t xml:space="preserve"> z Chin, z ponad 26-proc. udziałem w całkowitym wolumenie transakcji. Jest to rezultat przede wszystkim rozbudowy sieci dystrybucji dla e-commerce – </w:t>
      </w:r>
      <w:r w:rsidRPr="00DB7308">
        <w:rPr>
          <w:color w:val="000000" w:themeColor="text1"/>
          <w:sz w:val="20"/>
          <w:szCs w:val="20"/>
          <w:lang w:val="pl-PL"/>
        </w:rPr>
        <w:t xml:space="preserve">zauważa </w:t>
      </w:r>
      <w:r w:rsidRPr="00160008">
        <w:rPr>
          <w:b/>
          <w:bCs/>
          <w:color w:val="000000" w:themeColor="text1"/>
          <w:sz w:val="20"/>
          <w:szCs w:val="20"/>
          <w:lang w:val="pl-PL"/>
        </w:rPr>
        <w:t xml:space="preserve">Kamil Żach, Partner, </w:t>
      </w:r>
      <w:proofErr w:type="spellStart"/>
      <w:r w:rsidRPr="00160008">
        <w:rPr>
          <w:b/>
          <w:bCs/>
          <w:color w:val="000000" w:themeColor="text1"/>
          <w:sz w:val="20"/>
          <w:szCs w:val="20"/>
          <w:lang w:val="pl-PL"/>
        </w:rPr>
        <w:t>Head</w:t>
      </w:r>
      <w:proofErr w:type="spellEnd"/>
      <w:r w:rsidRPr="00160008">
        <w:rPr>
          <w:b/>
          <w:bCs/>
          <w:color w:val="000000" w:themeColor="text1"/>
          <w:sz w:val="20"/>
          <w:szCs w:val="20"/>
          <w:lang w:val="pl-PL"/>
        </w:rPr>
        <w:t xml:space="preserve"> of </w:t>
      </w:r>
      <w:proofErr w:type="spellStart"/>
      <w:r w:rsidRPr="00160008">
        <w:rPr>
          <w:b/>
          <w:bCs/>
          <w:color w:val="000000" w:themeColor="text1"/>
          <w:sz w:val="20"/>
          <w:szCs w:val="20"/>
          <w:lang w:val="pl-PL"/>
        </w:rPr>
        <w:t>Industrial</w:t>
      </w:r>
      <w:proofErr w:type="spellEnd"/>
      <w:r w:rsidRPr="00160008">
        <w:rPr>
          <w:b/>
          <w:bCs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Pr="00160008">
        <w:rPr>
          <w:b/>
          <w:bCs/>
          <w:color w:val="000000" w:themeColor="text1"/>
          <w:sz w:val="20"/>
          <w:szCs w:val="20"/>
          <w:lang w:val="pl-PL"/>
        </w:rPr>
        <w:t>Sector</w:t>
      </w:r>
      <w:proofErr w:type="spellEnd"/>
      <w:r w:rsidRPr="00160008">
        <w:rPr>
          <w:b/>
          <w:bCs/>
          <w:color w:val="000000" w:themeColor="text1"/>
          <w:sz w:val="20"/>
          <w:szCs w:val="20"/>
          <w:lang w:val="pl-PL"/>
        </w:rPr>
        <w:t xml:space="preserve"> w Cushman &amp; Wakefield.</w:t>
      </w:r>
    </w:p>
    <w:p w14:paraId="7E48D731" w14:textId="308CC1CD" w:rsidR="004D3B55" w:rsidRDefault="004D3B55" w:rsidP="009D6018">
      <w:pPr>
        <w:spacing w:before="240" w:after="240" w:line="240" w:lineRule="auto"/>
        <w:jc w:val="both"/>
        <w:rPr>
          <w:b/>
          <w:bCs/>
          <w:color w:val="000000" w:themeColor="text1"/>
          <w:sz w:val="20"/>
          <w:szCs w:val="20"/>
          <w:lang w:val="pl-PL"/>
        </w:rPr>
      </w:pPr>
      <w:r w:rsidRPr="004D3B55">
        <w:rPr>
          <w:b/>
          <w:bCs/>
          <w:color w:val="000000" w:themeColor="text1"/>
          <w:sz w:val="20"/>
          <w:szCs w:val="20"/>
          <w:lang w:val="pl-PL"/>
        </w:rPr>
        <w:t xml:space="preserve">Zasoby rynku magazynowego w Polsce osiągają </w:t>
      </w:r>
      <w:r w:rsidR="001A234D">
        <w:rPr>
          <w:b/>
          <w:bCs/>
          <w:color w:val="000000" w:themeColor="text1"/>
          <w:sz w:val="20"/>
          <w:szCs w:val="20"/>
          <w:lang w:val="pl-PL"/>
        </w:rPr>
        <w:t>kolejny rekord</w:t>
      </w:r>
      <w:r w:rsidRPr="004D3B55">
        <w:rPr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="00694A9E">
        <w:rPr>
          <w:b/>
          <w:bCs/>
          <w:color w:val="000000" w:themeColor="text1"/>
          <w:sz w:val="20"/>
          <w:szCs w:val="20"/>
          <w:lang w:val="pl-PL"/>
        </w:rPr>
        <w:t>lecz</w:t>
      </w:r>
      <w:r w:rsidRPr="004D3B55">
        <w:rPr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DB7308">
        <w:rPr>
          <w:b/>
          <w:bCs/>
          <w:color w:val="000000" w:themeColor="text1"/>
          <w:sz w:val="20"/>
          <w:szCs w:val="20"/>
          <w:lang w:val="pl-PL"/>
        </w:rPr>
        <w:t>deweloperzy są coraz ostrożniejsi</w:t>
      </w:r>
    </w:p>
    <w:p w14:paraId="41334E87" w14:textId="22BCAFDD" w:rsidR="004D3B55" w:rsidRDefault="004D3B55" w:rsidP="00922F14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t>W okresie od kwietnia do czerwca 2026 r</w:t>
      </w:r>
      <w:r w:rsidR="00DB7308">
        <w:rPr>
          <w:color w:val="000000" w:themeColor="text1"/>
          <w:sz w:val="20"/>
          <w:szCs w:val="20"/>
          <w:lang w:val="pl-PL"/>
        </w:rPr>
        <w:t>oku</w:t>
      </w:r>
      <w:r w:rsidRPr="004D3B55">
        <w:rPr>
          <w:color w:val="000000" w:themeColor="text1"/>
          <w:sz w:val="20"/>
          <w:szCs w:val="20"/>
          <w:lang w:val="pl-PL"/>
        </w:rPr>
        <w:t xml:space="preserve"> </w:t>
      </w:r>
      <w:r w:rsidRPr="00160008">
        <w:rPr>
          <w:b/>
          <w:bCs/>
          <w:color w:val="000000" w:themeColor="text1"/>
          <w:sz w:val="20"/>
          <w:szCs w:val="20"/>
          <w:lang w:val="pl-PL"/>
        </w:rPr>
        <w:t>na rynek trafiło 578,6 tys. mkw. nowej powierzchni magazynowej</w:t>
      </w:r>
      <w:r w:rsidRPr="004D3B55">
        <w:rPr>
          <w:color w:val="000000" w:themeColor="text1"/>
          <w:sz w:val="20"/>
          <w:szCs w:val="20"/>
          <w:lang w:val="pl-PL"/>
        </w:rPr>
        <w:t>, o 24 proc. więcej niż rok wcześniej. Dzięki temu całkowite zasoby nowoczesnych magazynów w Polsce po pierwszym półroczu osiągnęły 38 mln mkw., co oznacza wzrost o 5 proc. r/r. Najwięcej inwestycji ukończono w województwach mazowieckim, dolnośląskim i łódzkim.</w:t>
      </w:r>
    </w:p>
    <w:p w14:paraId="1166527F" w14:textId="6A18A218" w:rsidR="00922F14" w:rsidRPr="00922F14" w:rsidRDefault="004D3B55" w:rsidP="00922F14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t>Mimo relatywnie wysokiej nowej podaży deweloperzy pozostają ostrożni. W drugim kwartale rozpoczęto budowę nowych obiektów lub rozbudowę istniejących w ramach 20 projektów o łącznej powierzchni ok. 402 tys. mkw. Był to wynik zbliżony do średniej z ostatnich lat, ale jednocześnie o 39 proc. niższy niż w wyjątkowo aktywnym pod tym względem drugim kwartale 2025 r</w:t>
      </w:r>
      <w:r w:rsidR="00DB7308">
        <w:rPr>
          <w:color w:val="000000" w:themeColor="text1"/>
          <w:sz w:val="20"/>
          <w:szCs w:val="20"/>
          <w:lang w:val="pl-PL"/>
        </w:rPr>
        <w:t>oku</w:t>
      </w:r>
      <w:r w:rsidRPr="004D3B55">
        <w:rPr>
          <w:color w:val="000000" w:themeColor="text1"/>
          <w:sz w:val="20"/>
          <w:szCs w:val="20"/>
          <w:lang w:val="pl-PL"/>
        </w:rPr>
        <w:t>. Ponadto powierzchnia rozpoczętych budów była o ok. 17</w:t>
      </w:r>
      <w:r w:rsidR="00160614">
        <w:rPr>
          <w:color w:val="000000" w:themeColor="text1"/>
          <w:sz w:val="20"/>
          <w:szCs w:val="20"/>
          <w:lang w:val="pl-PL"/>
        </w:rPr>
        <w:t>7</w:t>
      </w:r>
      <w:r w:rsidRPr="004D3B55">
        <w:rPr>
          <w:color w:val="000000" w:themeColor="text1"/>
          <w:sz w:val="20"/>
          <w:szCs w:val="20"/>
          <w:lang w:val="pl-PL"/>
        </w:rPr>
        <w:t xml:space="preserve"> tys. mkw. mniejsza od wolumenu ukończonych inwestycji, co przełożyło się na dalszy spadek zasobów pozostających w budowie.</w:t>
      </w:r>
    </w:p>
    <w:p w14:paraId="06BD5851" w14:textId="77777777" w:rsidR="004D3B55" w:rsidRDefault="004D3B55" w:rsidP="00922F14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4D3B55">
        <w:rPr>
          <w:color w:val="000000" w:themeColor="text1"/>
          <w:sz w:val="20"/>
          <w:szCs w:val="20"/>
          <w:lang w:val="pl-PL"/>
        </w:rPr>
        <w:lastRenderedPageBreak/>
        <w:t>Na koniec czerwca 2026 r. w budowie pozostawało 1,3 mln mkw. powierzchni magazynowej, czyli o 11 proc. mniej niż rok wcześniej. Projekty zabezpieczone umowami najmu stanowiły 61 proc. tego wolumenu, podczas gdy inwestycje realizowane spekulacyjnie odpowiadały za pozostałe 39 proc.</w:t>
      </w:r>
    </w:p>
    <w:p w14:paraId="07E91977" w14:textId="05DCE802" w:rsidR="009303E6" w:rsidRPr="009303E6" w:rsidRDefault="009303E6" w:rsidP="00922F14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9303E6">
        <w:rPr>
          <w:b/>
          <w:bCs/>
          <w:color w:val="000000" w:themeColor="text1"/>
          <w:sz w:val="20"/>
          <w:szCs w:val="20"/>
          <w:lang w:val="pl-PL"/>
        </w:rPr>
        <w:t>Wolnej powierzchni ubywa</w:t>
      </w:r>
    </w:p>
    <w:p w14:paraId="148292B2" w14:textId="0B298B57" w:rsidR="009303E6" w:rsidRPr="003F3531" w:rsidRDefault="00501C97" w:rsidP="009303E6">
      <w:pPr>
        <w:spacing w:before="240" w:after="240" w:line="240" w:lineRule="auto"/>
        <w:jc w:val="both"/>
        <w:rPr>
          <w:i/>
          <w:iCs/>
          <w:color w:val="000000" w:themeColor="text1"/>
          <w:sz w:val="20"/>
          <w:szCs w:val="20"/>
          <w:lang w:val="pl-PL"/>
        </w:rPr>
      </w:pPr>
      <w:r w:rsidRPr="003F3531">
        <w:rPr>
          <w:i/>
          <w:iCs/>
          <w:color w:val="000000" w:themeColor="text1"/>
          <w:sz w:val="20"/>
          <w:szCs w:val="20"/>
          <w:lang w:val="pl-PL"/>
        </w:rPr>
        <w:t xml:space="preserve">– Stopa pustostanów obniżyła się do 6,6 proc., czyli o 0,7 pkt proc. w ciągu kwartału i o 1,6 pkt proc. rok do roku. W całej Polsce wolne pozostawało ok. 2,5 mln mkw., o 15 proc. mniej niż rok wcześniej. Złożyły się na to wysoka aktywność najemców, wynajem dużych modułów powyżej 30 tys. mkw. oraz ograniczona nowa podaż – </w:t>
      </w:r>
      <w:r w:rsidRPr="00DB7308">
        <w:rPr>
          <w:color w:val="000000" w:themeColor="text1"/>
          <w:sz w:val="20"/>
          <w:szCs w:val="20"/>
          <w:lang w:val="pl-PL"/>
        </w:rPr>
        <w:t xml:space="preserve">komentuje </w:t>
      </w:r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Zuzanna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Seger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,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Research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Analyst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,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Cushman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 &amp; Wakefield</w:t>
      </w:r>
      <w:r w:rsidRPr="003F3531">
        <w:rPr>
          <w:b/>
          <w:bCs/>
          <w:i/>
          <w:iCs/>
          <w:color w:val="000000" w:themeColor="text1"/>
          <w:sz w:val="20"/>
          <w:szCs w:val="20"/>
          <w:lang w:val="pl-PL"/>
        </w:rPr>
        <w:t>.</w:t>
      </w:r>
    </w:p>
    <w:p w14:paraId="70426D6F" w14:textId="6DA0DA91" w:rsidR="009303E6" w:rsidRPr="009303E6" w:rsidRDefault="00501C97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501C97">
        <w:rPr>
          <w:color w:val="000000" w:themeColor="text1"/>
          <w:sz w:val="20"/>
          <w:szCs w:val="20"/>
          <w:lang w:val="pl-PL"/>
        </w:rPr>
        <w:t>Największą poprawę widać na Dolnym Śląsku, gdzie w ciągu kwartału pustostany spadły z 8,0 proc. do 6,2 proc. oraz w Wielkopolsce, z 7,9 proc. do 6,1 proc.</w:t>
      </w:r>
    </w:p>
    <w:p w14:paraId="39252179" w14:textId="77777777" w:rsidR="00501C97" w:rsidRDefault="00501C97" w:rsidP="009303E6">
      <w:pPr>
        <w:spacing w:before="240" w:after="240" w:line="240" w:lineRule="auto"/>
        <w:jc w:val="both"/>
        <w:rPr>
          <w:b/>
          <w:bCs/>
          <w:color w:val="000000" w:themeColor="text1"/>
          <w:sz w:val="20"/>
          <w:szCs w:val="20"/>
          <w:lang w:val="pl-PL"/>
        </w:rPr>
      </w:pPr>
      <w:r w:rsidRPr="00501C97">
        <w:rPr>
          <w:b/>
          <w:bCs/>
          <w:color w:val="000000" w:themeColor="text1"/>
          <w:sz w:val="20"/>
          <w:szCs w:val="20"/>
          <w:lang w:val="pl-PL"/>
        </w:rPr>
        <w:t>Czynsze relatywnie stabilne, ale z potencjałem wzrostu</w:t>
      </w:r>
    </w:p>
    <w:p w14:paraId="5B4CAA54" w14:textId="7893BC2E" w:rsidR="009303E6" w:rsidRPr="009303E6" w:rsidRDefault="00501C97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501C97">
        <w:rPr>
          <w:color w:val="000000" w:themeColor="text1"/>
          <w:sz w:val="20"/>
          <w:szCs w:val="20"/>
          <w:lang w:val="pl-PL"/>
        </w:rPr>
        <w:t>W drugim kwartale stawki bazowe zmieniały się jedynie lokalnie, w wybranych projektach. Za najlepsze magazyny typu big-</w:t>
      </w:r>
      <w:proofErr w:type="spellStart"/>
      <w:r w:rsidRPr="00501C97">
        <w:rPr>
          <w:color w:val="000000" w:themeColor="text1"/>
          <w:sz w:val="20"/>
          <w:szCs w:val="20"/>
          <w:lang w:val="pl-PL"/>
        </w:rPr>
        <w:t>box</w:t>
      </w:r>
      <w:proofErr w:type="spellEnd"/>
      <w:r w:rsidRPr="00501C97">
        <w:rPr>
          <w:color w:val="000000" w:themeColor="text1"/>
          <w:sz w:val="20"/>
          <w:szCs w:val="20"/>
          <w:lang w:val="pl-PL"/>
        </w:rPr>
        <w:t xml:space="preserve"> najemcy płacili od 4,50 do 5,50 euro za mkw. miesięcznie. W mniejszych modułach i projektach logistyki miejskiej stawki dochodziły do 8,25 euro za mkw.</w:t>
      </w:r>
    </w:p>
    <w:p w14:paraId="272F373A" w14:textId="0E09BC3B" w:rsidR="009303E6" w:rsidRPr="009303E6" w:rsidRDefault="003F3531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3F3531">
        <w:rPr>
          <w:color w:val="000000" w:themeColor="text1"/>
          <w:sz w:val="20"/>
          <w:szCs w:val="20"/>
          <w:lang w:val="pl-PL"/>
        </w:rPr>
        <w:t>Wysoki popyt, malejące pustostany i mniejsza skala nowych inwestycji ograniczają przestrzeń do negocjowania obniżek czynszów. W kolejnych kwartałach pozycja właścicieli może się umacniać, a czynsze mogą znaleźć się pod presją wzrostową, zwłaszcza w najlepszych lokalizacjach.</w:t>
      </w:r>
    </w:p>
    <w:p w14:paraId="59667653" w14:textId="77777777" w:rsidR="009303E6" w:rsidRPr="009303E6" w:rsidRDefault="009303E6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9303E6">
        <w:rPr>
          <w:b/>
          <w:bCs/>
          <w:color w:val="000000" w:themeColor="text1"/>
          <w:sz w:val="20"/>
          <w:szCs w:val="20"/>
          <w:lang w:val="pl-PL"/>
        </w:rPr>
        <w:t>Inwestorzy wracają po magazyny</w:t>
      </w:r>
    </w:p>
    <w:p w14:paraId="4AD62837" w14:textId="57E92977" w:rsidR="009303E6" w:rsidRPr="009303E6" w:rsidRDefault="003F3531" w:rsidP="009303E6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pl-PL"/>
        </w:rPr>
      </w:pPr>
      <w:r w:rsidRPr="003F3531">
        <w:rPr>
          <w:color w:val="000000" w:themeColor="text1"/>
          <w:sz w:val="20"/>
          <w:szCs w:val="20"/>
          <w:lang w:val="pl-PL"/>
        </w:rPr>
        <w:t>W pierwszej połowie roku wartość transakcji inwestycyjnych w sektorze logistycznym w Polsce wyniosła 781,8 mln euro wobec 693,8 mln euro rok wcześniej, co oznacza wzrost o blisko 13 proc. Średnia wartość pojedynczej transakcji utrzymała się na poziomie ok. 43 mln euro, a na wynik istotnie wpłynęły dwie transakcje portfelowe o wartości 167,5 mln oraz 194 mln euro.</w:t>
      </w:r>
    </w:p>
    <w:p w14:paraId="7E07C30F" w14:textId="77777777" w:rsidR="00325040" w:rsidRPr="00325040" w:rsidRDefault="00325040" w:rsidP="009303E6">
      <w:pPr>
        <w:spacing w:before="240" w:after="240" w:line="240" w:lineRule="auto"/>
        <w:jc w:val="both"/>
        <w:rPr>
          <w:i/>
          <w:iCs/>
          <w:color w:val="000000" w:themeColor="text1"/>
          <w:sz w:val="20"/>
          <w:szCs w:val="20"/>
          <w:lang w:val="pl-PL"/>
        </w:rPr>
      </w:pPr>
      <w:r w:rsidRPr="00325040">
        <w:rPr>
          <w:i/>
          <w:iCs/>
          <w:color w:val="000000" w:themeColor="text1"/>
          <w:sz w:val="20"/>
          <w:szCs w:val="20"/>
          <w:lang w:val="pl-PL"/>
        </w:rPr>
        <w:t>– Obecnie kapitał napływa przede wszystkim ze Stanów Zjednoczonych, Francji i krajów Europy Środkowo-Wschodniej. Kupujący koncentrują się na dwóch typach aktywów: obiektach z długimi umowami najmu i przewidywalnym dochodem (</w:t>
      </w:r>
      <w:proofErr w:type="spellStart"/>
      <w:r w:rsidRPr="00325040">
        <w:rPr>
          <w:i/>
          <w:iCs/>
          <w:color w:val="000000" w:themeColor="text1"/>
          <w:sz w:val="20"/>
          <w:szCs w:val="20"/>
          <w:lang w:val="pl-PL"/>
        </w:rPr>
        <w:t>long-income</w:t>
      </w:r>
      <w:proofErr w:type="spellEnd"/>
      <w:r w:rsidRPr="00325040">
        <w:rPr>
          <w:i/>
          <w:iCs/>
          <w:color w:val="000000" w:themeColor="text1"/>
          <w:sz w:val="20"/>
          <w:szCs w:val="20"/>
          <w:lang w:val="pl-PL"/>
        </w:rPr>
        <w:t xml:space="preserve">, net </w:t>
      </w:r>
      <w:proofErr w:type="spellStart"/>
      <w:r w:rsidRPr="00325040">
        <w:rPr>
          <w:i/>
          <w:iCs/>
          <w:color w:val="000000" w:themeColor="text1"/>
          <w:sz w:val="20"/>
          <w:szCs w:val="20"/>
          <w:lang w:val="pl-PL"/>
        </w:rPr>
        <w:t>lease</w:t>
      </w:r>
      <w:proofErr w:type="spellEnd"/>
      <w:r w:rsidRPr="00325040">
        <w:rPr>
          <w:i/>
          <w:iCs/>
          <w:color w:val="000000" w:themeColor="text1"/>
          <w:sz w:val="20"/>
          <w:szCs w:val="20"/>
          <w:lang w:val="pl-PL"/>
        </w:rPr>
        <w:t xml:space="preserve">) oraz nieruchomościach typu </w:t>
      </w:r>
      <w:proofErr w:type="spellStart"/>
      <w:r w:rsidRPr="00325040">
        <w:rPr>
          <w:i/>
          <w:iCs/>
          <w:color w:val="000000" w:themeColor="text1"/>
          <w:sz w:val="20"/>
          <w:szCs w:val="20"/>
          <w:lang w:val="pl-PL"/>
        </w:rPr>
        <w:t>value-add</w:t>
      </w:r>
      <w:proofErr w:type="spellEnd"/>
      <w:r w:rsidRPr="00325040">
        <w:rPr>
          <w:i/>
          <w:iCs/>
          <w:color w:val="000000" w:themeColor="text1"/>
          <w:sz w:val="20"/>
          <w:szCs w:val="20"/>
          <w:lang w:val="pl-PL"/>
        </w:rPr>
        <w:t xml:space="preserve">, na których można zarobić dzięki modernizacji, komercjalizacji lub zmianie sposobu użytkowania – </w:t>
      </w:r>
      <w:r w:rsidRPr="00DB7308">
        <w:rPr>
          <w:color w:val="000000" w:themeColor="text1"/>
          <w:sz w:val="20"/>
          <w:szCs w:val="20"/>
          <w:lang w:val="pl-PL"/>
        </w:rPr>
        <w:t xml:space="preserve">komentuje </w:t>
      </w:r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Robert Tomaszewski,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Associate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 Capital </w:t>
      </w:r>
      <w:proofErr w:type="spellStart"/>
      <w:r w:rsidRPr="00DB7308">
        <w:rPr>
          <w:b/>
          <w:bCs/>
          <w:color w:val="000000" w:themeColor="text1"/>
          <w:sz w:val="20"/>
          <w:szCs w:val="20"/>
          <w:lang w:val="pl-PL"/>
        </w:rPr>
        <w:t>Markets</w:t>
      </w:r>
      <w:proofErr w:type="spellEnd"/>
      <w:r w:rsidRPr="00DB7308">
        <w:rPr>
          <w:b/>
          <w:bCs/>
          <w:color w:val="000000" w:themeColor="text1"/>
          <w:sz w:val="20"/>
          <w:szCs w:val="20"/>
          <w:lang w:val="pl-PL"/>
        </w:rPr>
        <w:t xml:space="preserve"> Poland, Cushman &amp; Wakefield</w:t>
      </w:r>
      <w:r w:rsidRPr="00325040">
        <w:rPr>
          <w:b/>
          <w:bCs/>
          <w:i/>
          <w:iCs/>
          <w:color w:val="000000" w:themeColor="text1"/>
          <w:sz w:val="20"/>
          <w:szCs w:val="20"/>
          <w:lang w:val="pl-PL"/>
        </w:rPr>
        <w:t>.</w:t>
      </w:r>
    </w:p>
    <w:p w14:paraId="3AA3972D" w14:textId="0A7B6A93" w:rsidR="00F377AF" w:rsidRDefault="00325040">
      <w:pPr>
        <w:spacing w:line="240" w:lineRule="auto"/>
        <w:jc w:val="both"/>
        <w:rPr>
          <w:sz w:val="20"/>
          <w:szCs w:val="20"/>
        </w:rPr>
      </w:pPr>
      <w:r w:rsidRPr="00325040">
        <w:rPr>
          <w:color w:val="000000" w:themeColor="text1"/>
          <w:sz w:val="20"/>
          <w:szCs w:val="20"/>
          <w:lang w:val="pl-PL"/>
        </w:rPr>
        <w:t>Jeśli największe finalizowane obecnie transakcje zostaną sfinalizowane jeszcze w tym roku, całoroczny wolumen inwestycyjny może przekroczyć 2 mld euro. Oznaczałoby to wzrost o ponad 30 proc. rok do roku.</w:t>
      </w:r>
    </w:p>
    <w:p w14:paraId="30EB7416" w14:textId="77777777" w:rsidR="00F377AF" w:rsidRDefault="00B2562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>
        <w:rPr>
          <w:b/>
          <w:bCs/>
          <w:sz w:val="16"/>
          <w:szCs w:val="16"/>
        </w:rPr>
        <w:t>KONIEC -</w:t>
      </w:r>
    </w:p>
    <w:p w14:paraId="53D1488E" w14:textId="77777777" w:rsidR="00F377AF" w:rsidRDefault="00F377AF">
      <w:pPr>
        <w:spacing w:line="240" w:lineRule="auto"/>
        <w:jc w:val="both"/>
        <w:rPr>
          <w:b/>
          <w:bCs/>
          <w:sz w:val="20"/>
          <w:szCs w:val="20"/>
        </w:rPr>
      </w:pPr>
    </w:p>
    <w:p w14:paraId="3CB10741" w14:textId="77777777" w:rsidR="009303E6" w:rsidRDefault="009303E6">
      <w:pPr>
        <w:spacing w:line="240" w:lineRule="auto"/>
        <w:jc w:val="both"/>
        <w:rPr>
          <w:b/>
          <w:bCs/>
          <w:sz w:val="20"/>
          <w:szCs w:val="20"/>
        </w:rPr>
      </w:pPr>
    </w:p>
    <w:p w14:paraId="5EC12F7E" w14:textId="77777777" w:rsidR="009303E6" w:rsidRDefault="009303E6">
      <w:pPr>
        <w:spacing w:line="240" w:lineRule="auto"/>
        <w:jc w:val="both"/>
        <w:rPr>
          <w:b/>
          <w:bCs/>
          <w:sz w:val="20"/>
          <w:szCs w:val="20"/>
        </w:rPr>
      </w:pPr>
    </w:p>
    <w:p w14:paraId="1ED96440" w14:textId="77777777" w:rsidR="00F377AF" w:rsidRDefault="00B2562B">
      <w:pPr>
        <w:spacing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>O Cushman &amp; Wakefield</w:t>
      </w:r>
    </w:p>
    <w:p w14:paraId="14E7BDF9" w14:textId="77777777" w:rsidR="00F377AF" w:rsidRDefault="00B2562B">
      <w:pPr>
        <w:jc w:val="both"/>
        <w:rPr>
          <w:sz w:val="16"/>
          <w:szCs w:val="16"/>
        </w:rPr>
      </w:pPr>
      <w:r>
        <w:rPr>
          <w:sz w:val="16"/>
          <w:szCs w:val="16"/>
        </w:rPr>
        <w:t>Cushman &amp; Wakefield (NYSE: CWK) jest wiodącą na świecie firmą świadczącą usługi na rzecz właścicieli i najemców nieruchomości komercyjnych. Zatrudnia ok. 52 tys. pracowników w niemal 400 biurach i 60 krajach na całym świecie. W 2024 roku jej przychody wyniosły 9,4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 </w:t>
      </w:r>
      <w:proofErr w:type="spellStart"/>
      <w:r>
        <w:rPr>
          <w:i/>
          <w:iCs/>
          <w:sz w:val="16"/>
          <w:szCs w:val="16"/>
        </w:rPr>
        <w:t>Better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never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settles</w:t>
      </w:r>
      <w:proofErr w:type="spellEnd"/>
      <w:r>
        <w:rPr>
          <w:sz w:val="16"/>
          <w:szCs w:val="16"/>
        </w:rPr>
        <w:t> </w:t>
      </w:r>
      <w:proofErr w:type="spellStart"/>
      <w:r>
        <w:rPr>
          <w:sz w:val="16"/>
          <w:szCs w:val="16"/>
        </w:rPr>
        <w:t>Cushman</w:t>
      </w:r>
      <w:proofErr w:type="spellEnd"/>
      <w:r>
        <w:rPr>
          <w:sz w:val="16"/>
          <w:szCs w:val="16"/>
        </w:rPr>
        <w:t xml:space="preserve"> &amp; Wakefield otrzymuje wiele wyróżnień oraz nagród w konkursach branżowych i biznesowych. Dodatkowe informacje na stronie </w:t>
      </w:r>
      <w:hyperlink r:id="rId7">
        <w:r w:rsidR="00F377AF">
          <w:rPr>
            <w:color w:val="4472C4"/>
            <w:sz w:val="16"/>
            <w:szCs w:val="16"/>
            <w:u w:val="single"/>
          </w:rPr>
          <w:t>www.cushmanwakefield.com</w:t>
        </w:r>
      </w:hyperlink>
      <w:r>
        <w:rPr>
          <w:sz w:val="16"/>
          <w:szCs w:val="16"/>
        </w:rPr>
        <w:t xml:space="preserve">. </w:t>
      </w:r>
    </w:p>
    <w:p w14:paraId="196FC151" w14:textId="77777777" w:rsidR="00F377AF" w:rsidRDefault="00F377AF">
      <w:pPr>
        <w:jc w:val="center"/>
        <w:rPr>
          <w:sz w:val="16"/>
          <w:szCs w:val="16"/>
        </w:rPr>
      </w:pPr>
    </w:p>
    <w:sectPr w:rsidR="00F377AF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3600" w:right="1008" w:bottom="2880" w:left="1224" w:header="180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94E47" w14:textId="77777777" w:rsidR="0052275A" w:rsidRDefault="0052275A">
      <w:pPr>
        <w:spacing w:after="0" w:line="240" w:lineRule="auto"/>
      </w:pPr>
      <w:r>
        <w:separator/>
      </w:r>
    </w:p>
  </w:endnote>
  <w:endnote w:type="continuationSeparator" w:id="0">
    <w:p w14:paraId="172FEB09" w14:textId="77777777" w:rsidR="0052275A" w:rsidRDefault="0052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7EBB095-843E-C044-BC01-FC0E9509B2B1}"/>
    <w:embedBold r:id="rId2" w:fontKey="{53E0F0B7-6796-F14A-A4C7-2B3391377606}"/>
    <w:embedItalic r:id="rId3" w:fontKey="{58814007-235C-464F-8E29-8E6BC48CA47F}"/>
    <w:embedBoldItalic r:id="rId4" w:fontKey="{FFF461FD-A297-DF4F-8593-70C7911FA4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2C43285-D509-E04F-AF5B-AB78757C75D8}"/>
    <w:embedBold r:id="rId6" w:fontKey="{C1E5C95F-1817-D947-BAB7-17799002CA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DB7AE28-CD0F-904A-AA94-6FCC334A2E6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DCAA5533-1816-A143-A1F8-B0FA085CC9F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3E07A47F-16F5-0F4F-A726-D2BD1F86F7C5}"/>
    <w:embedBold r:id="rId10" w:fontKey="{363DBAD7-4CED-2049-B75D-F036401358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7E05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9000"/>
    </w:tblGrid>
    <w:tr w:rsidR="00F377AF" w14:paraId="052282BE" w14:textId="77777777" w:rsidTr="006059C6">
      <w:trPr>
        <w:trHeight w:val="630"/>
      </w:trPr>
      <w:tc>
        <w:tcPr>
          <w:tcW w:w="9000" w:type="dxa"/>
          <w:vAlign w:val="bottom"/>
        </w:tcPr>
        <w:p w14:paraId="7FC35F0D" w14:textId="77777777" w:rsidR="00F377AF" w:rsidRDefault="00B2562B">
          <w:pPr>
            <w:pStyle w:val="Heading2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Dodatkowe informacje:</w:t>
          </w:r>
        </w:p>
      </w:tc>
    </w:tr>
    <w:tr w:rsidR="00F377AF" w:rsidRPr="00160008" w14:paraId="2F583633" w14:textId="77777777" w:rsidTr="006059C6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17FE60CF" w14:textId="77777777" w:rsidR="00F377AF" w:rsidRDefault="00F377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000000"/>
            </w:rPr>
          </w:pPr>
        </w:p>
        <w:tbl>
          <w:tblPr>
            <w:tblStyle w:val="a0"/>
            <w:tblW w:w="8780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8780"/>
            <w:gridCol w:w="220"/>
          </w:tblGrid>
          <w:tr w:rsidR="00E52D5B" w:rsidRPr="00160008" w14:paraId="0B16F861" w14:textId="77777777" w:rsidTr="00E52D5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60" w:type="dxa"/>
              </w:tcPr>
              <w:p w14:paraId="14D49801" w14:textId="77777777" w:rsidR="00E52D5B" w:rsidRDefault="00E52D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color w:val="000000"/>
                  </w:rPr>
                </w:pPr>
              </w:p>
              <w:tbl>
                <w:tblPr>
                  <w:tblStyle w:val="a1"/>
                  <w:tblW w:w="11827" w:type="dxa"/>
                  <w:tblInd w:w="0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E52D5B" w:rsidRPr="00160008" w14:paraId="1471AD0C" w14:textId="77777777" w:rsidTr="006059C6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3AD817AF" w14:textId="77777777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 xml:space="preserve">Karolina </w:t>
                      </w:r>
                      <w:proofErr w:type="spellStart"/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>Samczyńska-Fiślak</w:t>
                      </w:r>
                      <w:proofErr w:type="spellEnd"/>
                    </w:p>
                    <w:p w14:paraId="0F116CB1" w14:textId="77777777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 xml:space="preserve">Cushman &amp; Wakefield </w:t>
                      </w:r>
                    </w:p>
                    <w:p w14:paraId="2A838D28" w14:textId="77777777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>Tel: + 48 22 820 20 20; 691 060 202</w:t>
                      </w:r>
                    </w:p>
                    <w:p w14:paraId="13CAFC9E" w14:textId="216F5905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 xml:space="preserve">e-mail: </w:t>
                      </w:r>
                      <w:hyperlink r:id="rId1" w:history="1">
                        <w:r w:rsidRPr="00622EF7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karolina.samczynska@cushwake.com</w:t>
                        </w:r>
                      </w:hyperlink>
                      <w:r w:rsidRPr="00E52D5B">
                        <w:rPr>
                          <w:color w:val="008B98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27A13C1F" w14:textId="77777777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55F5332E" w14:textId="0C986567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</w:p>
                    <w:p w14:paraId="5899E735" w14:textId="1D5A8333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proofErr w:type="spellStart"/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Linkleaders</w:t>
                      </w:r>
                      <w:proofErr w:type="spellEnd"/>
                    </w:p>
                    <w:p w14:paraId="2347C036" w14:textId="3BE395D1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Tel: + 48 502 556 846</w:t>
                      </w:r>
                    </w:p>
                    <w:p w14:paraId="6D49FF01" w14:textId="655D00BD" w:rsidR="00E52D5B" w:rsidRPr="00E52D5B" w:rsidRDefault="00E52D5B" w:rsidP="00E52D5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52D5B">
                        <w:rPr>
                          <w:sz w:val="18"/>
                          <w:szCs w:val="18"/>
                          <w:lang w:val="en-US"/>
                        </w:rPr>
                        <w:t xml:space="preserve">e-mail: </w:t>
                      </w:r>
                      <w:hyperlink r:id="rId2" w:history="1">
                        <w:r w:rsidRPr="00E52D5B">
                          <w:rPr>
                            <w:rStyle w:val="Hyperlink"/>
                            <w:rFonts w:eastAsia="Calibr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magdalena.ossowska@linkleaders.pl</w:t>
                        </w:r>
                      </w:hyperlink>
                    </w:p>
                  </w:tc>
                </w:tr>
              </w:tbl>
              <w:p w14:paraId="680868DE" w14:textId="77777777" w:rsidR="00E52D5B" w:rsidRPr="006059C6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20" w:type="dxa"/>
              </w:tcPr>
              <w:p w14:paraId="527ECF80" w14:textId="77777777" w:rsidR="00E52D5B" w:rsidRPr="006059C6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en-US"/>
                  </w:rPr>
                </w:pPr>
              </w:p>
              <w:p w14:paraId="65EB332B" w14:textId="77777777" w:rsidR="00E52D5B" w:rsidRPr="006059C6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en-US"/>
                  </w:rPr>
                </w:pPr>
              </w:p>
            </w:tc>
          </w:tr>
        </w:tbl>
        <w:p w14:paraId="0B43491B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alibri" w:eastAsia="Calibri" w:hAnsi="Calibri" w:cs="Calibri"/>
              <w:color w:val="000000"/>
              <w:sz w:val="18"/>
              <w:szCs w:val="18"/>
              <w:lang w:val="en-US"/>
            </w:rPr>
          </w:pPr>
        </w:p>
      </w:tc>
    </w:tr>
  </w:tbl>
  <w:p w14:paraId="66240E81" w14:textId="77777777" w:rsidR="00F377AF" w:rsidRPr="006059C6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DA62D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2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377AF" w14:paraId="1322F75A" w14:textId="77777777">
      <w:trPr>
        <w:trHeight w:val="630"/>
      </w:trPr>
      <w:tc>
        <w:tcPr>
          <w:tcW w:w="5670" w:type="dxa"/>
          <w:vAlign w:val="bottom"/>
        </w:tcPr>
        <w:p w14:paraId="459CF4B9" w14:textId="77777777" w:rsidR="00F377AF" w:rsidRDefault="00B2562B">
          <w:pPr>
            <w:pStyle w:val="Heading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 xml:space="preserve">Media </w:t>
          </w:r>
          <w:proofErr w:type="spellStart"/>
          <w:r>
            <w:rPr>
              <w:rFonts w:ascii="Arial" w:eastAsia="Arial" w:hAnsi="Arial" w:cs="Arial"/>
              <w:color w:val="696B6B"/>
            </w:rPr>
            <w:t>Contact</w:t>
          </w:r>
          <w:proofErr w:type="spellEnd"/>
          <w:r>
            <w:rPr>
              <w:rFonts w:ascii="Arial" w:eastAsia="Arial" w:hAnsi="Arial" w:cs="Arial"/>
              <w:color w:val="696B6B"/>
            </w:rPr>
            <w:t>:</w:t>
          </w:r>
        </w:p>
      </w:tc>
      <w:tc>
        <w:tcPr>
          <w:tcW w:w="3330" w:type="dxa"/>
          <w:vAlign w:val="bottom"/>
        </w:tcPr>
        <w:p w14:paraId="31653805" w14:textId="77777777" w:rsidR="00F377AF" w:rsidRDefault="00F377AF">
          <w:pPr>
            <w:spacing w:after="100" w:line="240" w:lineRule="auto"/>
            <w:rPr>
              <w:b/>
              <w:bCs/>
              <w:color w:val="696B6B"/>
              <w:sz w:val="18"/>
              <w:szCs w:val="18"/>
            </w:rPr>
          </w:pPr>
        </w:p>
      </w:tc>
    </w:tr>
    <w:tr w:rsidR="00F377AF" w:rsidRPr="00DB7308" w14:paraId="65062D63" w14:textId="77777777">
      <w:trPr>
        <w:trHeight w:val="1260"/>
      </w:trPr>
      <w:tc>
        <w:tcPr>
          <w:tcW w:w="5670" w:type="dxa"/>
          <w:vAlign w:val="bottom"/>
        </w:tcPr>
        <w:p w14:paraId="3F7801E0" w14:textId="77777777" w:rsidR="00F377AF" w:rsidRPr="006059C6" w:rsidRDefault="00B2562B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bCs/>
              <w:color w:val="696B6B"/>
              <w:sz w:val="18"/>
              <w:szCs w:val="18"/>
              <w:lang w:val="en-US"/>
            </w:rPr>
          </w:pPr>
          <w:r w:rsidRPr="006059C6">
            <w:rPr>
              <w:b/>
              <w:bCs/>
              <w:color w:val="696B6B"/>
              <w:sz w:val="18"/>
              <w:szCs w:val="18"/>
              <w:lang w:val="en-US"/>
            </w:rPr>
            <w:t>Name</w:t>
          </w:r>
        </w:p>
        <w:p w14:paraId="79ECC178" w14:textId="77777777" w:rsidR="00F377AF" w:rsidRPr="006059C6" w:rsidRDefault="00B2562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Title</w:t>
          </w:r>
        </w:p>
        <w:p w14:paraId="0AC7034C" w14:textId="77777777" w:rsidR="00F377AF" w:rsidRPr="006059C6" w:rsidRDefault="00B2562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+1 000 000 0000</w:t>
          </w:r>
        </w:p>
        <w:p w14:paraId="0FD620E7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hyperlink r:id="rId1">
            <w:r w:rsidRPr="006059C6">
              <w:rPr>
                <w:color w:val="4472C4"/>
                <w:sz w:val="18"/>
                <w:szCs w:val="18"/>
                <w:u w:val="single"/>
                <w:lang w:val="en-US"/>
              </w:rPr>
              <w:t>first.last@cushwake.com</w:t>
            </w:r>
          </w:hyperlink>
          <w:r w:rsidRPr="006059C6">
            <w:rPr>
              <w:color w:val="696B6B"/>
              <w:sz w:val="18"/>
              <w:szCs w:val="18"/>
              <w:lang w:val="en-US"/>
            </w:rPr>
            <w:t xml:space="preserve"> </w:t>
          </w:r>
        </w:p>
      </w:tc>
      <w:tc>
        <w:tcPr>
          <w:tcW w:w="3330" w:type="dxa"/>
          <w:vAlign w:val="bottom"/>
        </w:tcPr>
        <w:p w14:paraId="24B8EA6D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</w:p>
      </w:tc>
    </w:tr>
  </w:tbl>
  <w:p w14:paraId="39082E58" w14:textId="77777777" w:rsidR="00F377AF" w:rsidRPr="006059C6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F5E8D" w14:textId="77777777" w:rsidR="0052275A" w:rsidRDefault="0052275A">
      <w:pPr>
        <w:spacing w:after="0" w:line="240" w:lineRule="auto"/>
      </w:pPr>
      <w:r>
        <w:separator/>
      </w:r>
    </w:p>
  </w:footnote>
  <w:footnote w:type="continuationSeparator" w:id="0">
    <w:p w14:paraId="686AD62A" w14:textId="77777777" w:rsidR="0052275A" w:rsidRDefault="00522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35162" w14:textId="77777777" w:rsidR="00F377AF" w:rsidRDefault="00B256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594D36" wp14:editId="34F3DCD2">
          <wp:simplePos x="0" y="0"/>
          <wp:positionH relativeFrom="column">
            <wp:posOffset>43134</wp:posOffset>
          </wp:positionH>
          <wp:positionV relativeFrom="paragraph">
            <wp:posOffset>-154973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FB2E9" w14:textId="77777777" w:rsidR="00F377AF" w:rsidRDefault="00B256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A6B33B7" wp14:editId="4DABBBA3">
          <wp:simplePos x="0" y="0"/>
          <wp:positionH relativeFrom="column">
            <wp:posOffset>3813</wp:posOffset>
          </wp:positionH>
          <wp:positionV relativeFrom="paragraph">
            <wp:posOffset>-201292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AF"/>
    <w:rsid w:val="00010D6C"/>
    <w:rsid w:val="000504AB"/>
    <w:rsid w:val="000B7B57"/>
    <w:rsid w:val="000C767A"/>
    <w:rsid w:val="001072D9"/>
    <w:rsid w:val="00160008"/>
    <w:rsid w:val="00160614"/>
    <w:rsid w:val="00187625"/>
    <w:rsid w:val="001A234D"/>
    <w:rsid w:val="001C14D4"/>
    <w:rsid w:val="001D53C6"/>
    <w:rsid w:val="00204F14"/>
    <w:rsid w:val="00274EF9"/>
    <w:rsid w:val="003047A7"/>
    <w:rsid w:val="00325040"/>
    <w:rsid w:val="00351245"/>
    <w:rsid w:val="00360690"/>
    <w:rsid w:val="003B56F9"/>
    <w:rsid w:val="003E496C"/>
    <w:rsid w:val="003F3531"/>
    <w:rsid w:val="004C1AF7"/>
    <w:rsid w:val="004D3B55"/>
    <w:rsid w:val="005005DE"/>
    <w:rsid w:val="00501C97"/>
    <w:rsid w:val="0052275A"/>
    <w:rsid w:val="005264CE"/>
    <w:rsid w:val="005B3079"/>
    <w:rsid w:val="005B51C6"/>
    <w:rsid w:val="005D11D1"/>
    <w:rsid w:val="006059C6"/>
    <w:rsid w:val="00615769"/>
    <w:rsid w:val="00694A9E"/>
    <w:rsid w:val="006E730E"/>
    <w:rsid w:val="0075656D"/>
    <w:rsid w:val="007D11AD"/>
    <w:rsid w:val="007E7F02"/>
    <w:rsid w:val="008862B5"/>
    <w:rsid w:val="00922F14"/>
    <w:rsid w:val="009303E6"/>
    <w:rsid w:val="00957B54"/>
    <w:rsid w:val="009D6018"/>
    <w:rsid w:val="00A3107B"/>
    <w:rsid w:val="00AA2BFE"/>
    <w:rsid w:val="00AE5277"/>
    <w:rsid w:val="00B17F8F"/>
    <w:rsid w:val="00B2562B"/>
    <w:rsid w:val="00B72A03"/>
    <w:rsid w:val="00C56CD3"/>
    <w:rsid w:val="00CE3042"/>
    <w:rsid w:val="00D000EA"/>
    <w:rsid w:val="00D775F8"/>
    <w:rsid w:val="00DB20B7"/>
    <w:rsid w:val="00DB7308"/>
    <w:rsid w:val="00E52D5B"/>
    <w:rsid w:val="00EA56A0"/>
    <w:rsid w:val="00EB5D24"/>
    <w:rsid w:val="00F126D4"/>
    <w:rsid w:val="00F377AF"/>
    <w:rsid w:val="00F67CFC"/>
    <w:rsid w:val="00F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2AE0F"/>
  <w15:docId w15:val="{C48957F1-DA03-3541-A331-DDC92399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100"/>
      <w:outlineLvl w:val="1"/>
    </w:pPr>
    <w:rPr>
      <w:rFonts w:ascii="Calibri" w:eastAsia="Calibri" w:hAnsi="Calibri" w:cs="Calibri"/>
      <w:b/>
      <w:bCs/>
      <w:smallCaps/>
      <w:color w:val="008B98"/>
      <w:sz w:val="18"/>
      <w:szCs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9C6"/>
  </w:style>
  <w:style w:type="paragraph" w:styleId="Footer">
    <w:name w:val="footer"/>
    <w:basedOn w:val="Normal"/>
    <w:link w:val="FooterChar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9C6"/>
  </w:style>
  <w:style w:type="character" w:styleId="Hyperlink">
    <w:name w:val="Hyperlink"/>
    <w:basedOn w:val="DefaultParagraphFont"/>
    <w:uiPriority w:val="99"/>
    <w:unhideWhenUsed/>
    <w:rsid w:val="006059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9C6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AE5277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E5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5277"/>
  </w:style>
  <w:style w:type="paragraph" w:styleId="NormalWeb">
    <w:name w:val="Normal (Web)"/>
    <w:basedOn w:val="Normal"/>
    <w:uiPriority w:val="99"/>
    <w:unhideWhenUsed/>
    <w:rsid w:val="00AE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ushmanwakefield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gdalena.ossowska@linkleaders.pl" TargetMode="External"/><Relationship Id="rId1" Type="http://schemas.openxmlformats.org/officeDocument/2006/relationships/hyperlink" Target="mailto:karolina.samczynska@cushwak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irst.last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/jH56DMit6x6R/nHQmAEwOR6Q==">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ossowska</cp:lastModifiedBy>
  <cp:revision>2</cp:revision>
  <dcterms:created xsi:type="dcterms:W3CDTF">2026-08-20T07:43:00Z</dcterms:created>
  <dcterms:modified xsi:type="dcterms:W3CDTF">2026-08-20T07:43:00Z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0x010100C609ED7BA2763A478EDE0130F91B5123</vt:lpwstr>
  </property>
</Properties>
</file>