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4E2AE" w14:textId="77777777" w:rsidR="005567F3" w:rsidRPr="00C13A5E" w:rsidRDefault="005567F3" w:rsidP="00F622EC">
      <w:pPr>
        <w:jc w:val="center"/>
        <w:rPr>
          <w:rFonts w:ascii="Aptos" w:hAnsi="Aptos"/>
          <w:b/>
          <w:bCs/>
          <w:sz w:val="28"/>
          <w:szCs w:val="28"/>
        </w:rPr>
      </w:pPr>
    </w:p>
    <w:p w14:paraId="08F406EB" w14:textId="79DC3975" w:rsidR="005567F3" w:rsidRPr="00E71F48" w:rsidRDefault="005567F3" w:rsidP="005567F3">
      <w:pPr>
        <w:rPr>
          <w:rFonts w:ascii="Aptos" w:hAnsi="Aptos" w:cstheme="minorHAnsi"/>
        </w:rPr>
      </w:pPr>
      <w:r w:rsidRPr="00E71F48">
        <w:rPr>
          <w:rFonts w:ascii="Aptos" w:hAnsi="Aptos" w:cstheme="minorHAnsi"/>
        </w:rPr>
        <w:t>INFORMACJA PRASOWA</w:t>
      </w:r>
    </w:p>
    <w:p w14:paraId="44719652" w14:textId="1589CA68" w:rsidR="005567F3" w:rsidRPr="00E71F48" w:rsidRDefault="005567F3" w:rsidP="005567F3">
      <w:pPr>
        <w:jc w:val="right"/>
        <w:rPr>
          <w:rFonts w:ascii="Aptos" w:hAnsi="Aptos" w:cstheme="minorHAnsi"/>
        </w:rPr>
      </w:pPr>
      <w:r w:rsidRPr="00E71F48">
        <w:rPr>
          <w:rFonts w:ascii="Aptos" w:hAnsi="Aptos" w:cstheme="minorHAnsi"/>
        </w:rPr>
        <w:t xml:space="preserve">Warszawa, </w:t>
      </w:r>
      <w:r w:rsidR="000F5B37">
        <w:rPr>
          <w:rFonts w:ascii="Aptos" w:hAnsi="Aptos" w:cstheme="minorHAnsi"/>
        </w:rPr>
        <w:t>20 sierpnia</w:t>
      </w:r>
      <w:r w:rsidR="006C2DD1">
        <w:rPr>
          <w:rFonts w:ascii="Aptos" w:hAnsi="Aptos" w:cstheme="minorHAnsi"/>
        </w:rPr>
        <w:t xml:space="preserve"> </w:t>
      </w:r>
      <w:r w:rsidR="002938C5" w:rsidRPr="00E71F48">
        <w:rPr>
          <w:rFonts w:ascii="Aptos" w:hAnsi="Aptos" w:cstheme="minorHAnsi"/>
        </w:rPr>
        <w:t>202</w:t>
      </w:r>
      <w:r w:rsidR="00392F6A">
        <w:rPr>
          <w:rFonts w:ascii="Aptos" w:hAnsi="Aptos" w:cstheme="minorHAnsi"/>
        </w:rPr>
        <w:t>6</w:t>
      </w:r>
      <w:r w:rsidR="002938C5" w:rsidRPr="00E71F48">
        <w:rPr>
          <w:rFonts w:ascii="Aptos" w:hAnsi="Aptos" w:cstheme="minorHAnsi"/>
        </w:rPr>
        <w:t xml:space="preserve"> r.</w:t>
      </w:r>
    </w:p>
    <w:p w14:paraId="1EE3379F" w14:textId="3CD943BF" w:rsidR="00034619" w:rsidRDefault="00034619" w:rsidP="00034619">
      <w:pPr>
        <w:jc w:val="center"/>
        <w:rPr>
          <w:rFonts w:ascii="Aptos" w:hAnsi="Aptos" w:cstheme="minorHAnsi"/>
          <w:b/>
          <w:sz w:val="28"/>
          <w:szCs w:val="28"/>
        </w:rPr>
      </w:pPr>
      <w:r w:rsidRPr="00034619">
        <w:rPr>
          <w:rFonts w:ascii="Aptos" w:hAnsi="Aptos" w:cstheme="minorHAnsi"/>
          <w:b/>
          <w:sz w:val="28"/>
          <w:szCs w:val="28"/>
        </w:rPr>
        <w:t xml:space="preserve">BLIK z mocnym pierwszym półroczem </w:t>
      </w:r>
      <w:r w:rsidR="0009121E">
        <w:rPr>
          <w:rFonts w:ascii="Aptos" w:hAnsi="Aptos" w:cstheme="minorHAnsi"/>
          <w:b/>
          <w:sz w:val="28"/>
          <w:szCs w:val="28"/>
        </w:rPr>
        <w:t xml:space="preserve">2026 r. </w:t>
      </w:r>
      <w:r w:rsidRPr="00034619">
        <w:rPr>
          <w:rFonts w:ascii="Aptos" w:hAnsi="Aptos" w:cstheme="minorHAnsi"/>
          <w:b/>
          <w:sz w:val="28"/>
          <w:szCs w:val="28"/>
        </w:rPr>
        <w:t xml:space="preserve">– </w:t>
      </w:r>
      <w:r>
        <w:rPr>
          <w:rFonts w:ascii="Aptos" w:hAnsi="Aptos" w:cstheme="minorHAnsi"/>
          <w:b/>
          <w:sz w:val="28"/>
          <w:szCs w:val="28"/>
        </w:rPr>
        <w:t>1,6</w:t>
      </w:r>
      <w:r w:rsidRPr="00034619">
        <w:rPr>
          <w:rFonts w:ascii="Aptos" w:hAnsi="Aptos" w:cstheme="minorHAnsi"/>
          <w:b/>
          <w:sz w:val="28"/>
          <w:szCs w:val="28"/>
        </w:rPr>
        <w:t xml:space="preserve"> mld transakcji i ponad 2 mln więcej aktywnych użytkowników </w:t>
      </w:r>
      <w:r>
        <w:rPr>
          <w:rFonts w:ascii="Aptos" w:hAnsi="Aptos" w:cstheme="minorHAnsi"/>
          <w:b/>
          <w:sz w:val="28"/>
          <w:szCs w:val="28"/>
        </w:rPr>
        <w:t>w rok</w:t>
      </w:r>
    </w:p>
    <w:p w14:paraId="56E8AC46" w14:textId="3ADB1FE1" w:rsidR="00E73D24" w:rsidRDefault="001C7C45" w:rsidP="005615AA">
      <w:pPr>
        <w:jc w:val="both"/>
        <w:rPr>
          <w:rFonts w:ascii="Aptos" w:hAnsi="Aptos" w:cstheme="minorHAnsi"/>
          <w:b/>
        </w:rPr>
      </w:pPr>
      <w:r w:rsidRPr="001C7C45">
        <w:rPr>
          <w:rFonts w:ascii="Aptos" w:hAnsi="Aptos" w:cstheme="minorHAnsi"/>
          <w:b/>
        </w:rPr>
        <w:t xml:space="preserve">Od stycznia do czerwca 2026 roku użytkownicy BLIKA zrealizowali łącznie </w:t>
      </w:r>
      <w:r>
        <w:rPr>
          <w:rFonts w:ascii="Aptos" w:hAnsi="Aptos" w:cstheme="minorHAnsi"/>
          <w:b/>
        </w:rPr>
        <w:t>1,</w:t>
      </w:r>
      <w:r w:rsidR="00F25192">
        <w:rPr>
          <w:rFonts w:ascii="Aptos" w:hAnsi="Aptos" w:cstheme="minorHAnsi"/>
          <w:b/>
        </w:rPr>
        <w:t>6</w:t>
      </w:r>
      <w:r w:rsidRPr="001C7C45">
        <w:rPr>
          <w:rFonts w:ascii="Aptos" w:hAnsi="Aptos" w:cstheme="minorHAnsi"/>
          <w:b/>
        </w:rPr>
        <w:t xml:space="preserve"> mld transakcji o wartości </w:t>
      </w:r>
      <w:r w:rsidR="001B57B8">
        <w:rPr>
          <w:rFonts w:ascii="Aptos" w:hAnsi="Aptos" w:cstheme="minorHAnsi"/>
          <w:b/>
        </w:rPr>
        <w:t xml:space="preserve">blisko ćwierć </w:t>
      </w:r>
      <w:r w:rsidR="008922A7">
        <w:rPr>
          <w:rFonts w:ascii="Aptos" w:hAnsi="Aptos" w:cstheme="minorHAnsi"/>
          <w:b/>
        </w:rPr>
        <w:t>miliarda zł</w:t>
      </w:r>
      <w:r w:rsidRPr="001C7C45">
        <w:rPr>
          <w:rFonts w:ascii="Aptos" w:hAnsi="Aptos" w:cstheme="minorHAnsi"/>
          <w:b/>
        </w:rPr>
        <w:t xml:space="preserve">. </w:t>
      </w:r>
      <w:r w:rsidR="005E6EA5" w:rsidRPr="005E6EA5">
        <w:rPr>
          <w:rFonts w:ascii="Aptos" w:hAnsi="Aptos" w:cstheme="minorHAnsi"/>
          <w:b/>
        </w:rPr>
        <w:t xml:space="preserve">Sam drugi kwartał przyniósł ponad </w:t>
      </w:r>
      <w:r w:rsidR="005E6EA5">
        <w:rPr>
          <w:rFonts w:ascii="Aptos" w:hAnsi="Aptos" w:cstheme="minorHAnsi"/>
          <w:b/>
        </w:rPr>
        <w:t>800</w:t>
      </w:r>
      <w:r w:rsidR="005E6EA5" w:rsidRPr="005E6EA5">
        <w:rPr>
          <w:rFonts w:ascii="Aptos" w:hAnsi="Aptos" w:cstheme="minorHAnsi"/>
          <w:b/>
        </w:rPr>
        <w:t xml:space="preserve"> mln operacji, potwierdzając utrzymującą się wysoką aktywność w systemie. Wraz ze skalą rośnie także zakres jego wykorzystania – na koniec czerwca </w:t>
      </w:r>
      <w:r w:rsidR="00DB0FCB">
        <w:rPr>
          <w:rFonts w:ascii="Aptos" w:hAnsi="Aptos" w:cstheme="minorHAnsi"/>
          <w:b/>
        </w:rPr>
        <w:t xml:space="preserve">br. </w:t>
      </w:r>
      <w:r w:rsidR="005E6EA5" w:rsidRPr="005E6EA5">
        <w:rPr>
          <w:rFonts w:ascii="Aptos" w:hAnsi="Aptos" w:cstheme="minorHAnsi"/>
          <w:b/>
        </w:rPr>
        <w:t xml:space="preserve">BLIK miał </w:t>
      </w:r>
      <w:r w:rsidR="00E73D24">
        <w:rPr>
          <w:rFonts w:ascii="Aptos" w:hAnsi="Aptos" w:cstheme="minorHAnsi"/>
          <w:b/>
        </w:rPr>
        <w:t>21,6</w:t>
      </w:r>
      <w:r w:rsidR="005E6EA5" w:rsidRPr="005E6EA5">
        <w:rPr>
          <w:rFonts w:ascii="Aptos" w:hAnsi="Aptos" w:cstheme="minorHAnsi"/>
          <w:b/>
        </w:rPr>
        <w:t xml:space="preserve"> mln aktywnych użytkowników, a 6 na 10 z nich korzystało z co najmniej dwóch funkcji. W analizowanym okresie poszczególne obszary BLIKA rozwijały się w zbliżonym tempie, a wśród usług coraz wyraźniej rosło zainteresowanie płatnościami powtarzalnymi.</w:t>
      </w:r>
    </w:p>
    <w:p w14:paraId="19CB8407" w14:textId="2AE44987" w:rsidR="009E48B2" w:rsidRDefault="00F13796" w:rsidP="005615AA">
      <w:pPr>
        <w:jc w:val="both"/>
        <w:rPr>
          <w:rFonts w:ascii="Aptos" w:hAnsi="Aptos" w:cstheme="minorHAnsi"/>
          <w:b/>
        </w:rPr>
      </w:pPr>
      <w:r>
        <w:rPr>
          <w:rFonts w:ascii="Aptos" w:hAnsi="Aptos" w:cstheme="minorHAnsi"/>
          <w:b/>
        </w:rPr>
        <w:t xml:space="preserve">Ponad </w:t>
      </w:r>
      <w:r w:rsidR="00953B2A" w:rsidRPr="00953B2A">
        <w:rPr>
          <w:rFonts w:ascii="Aptos" w:hAnsi="Aptos" w:cstheme="minorHAnsi"/>
          <w:b/>
        </w:rPr>
        <w:t>100 transakcji na sekundę</w:t>
      </w:r>
    </w:p>
    <w:p w14:paraId="65CDCEC8" w14:textId="48C76CD1" w:rsidR="00E73D24" w:rsidRDefault="00527E9F" w:rsidP="005615AA">
      <w:pPr>
        <w:jc w:val="both"/>
        <w:rPr>
          <w:rFonts w:ascii="Aptos" w:hAnsi="Aptos" w:cstheme="minorHAnsi"/>
          <w:bCs/>
        </w:rPr>
      </w:pPr>
      <w:r w:rsidRPr="00527E9F">
        <w:rPr>
          <w:rFonts w:ascii="Aptos" w:hAnsi="Aptos" w:cstheme="minorHAnsi"/>
          <w:bCs/>
        </w:rPr>
        <w:t xml:space="preserve">W pierwszej połowie 2026 roku użytkownicy BLIKA zrealizowali łącznie </w:t>
      </w:r>
      <w:r w:rsidR="009E48B2">
        <w:rPr>
          <w:rFonts w:ascii="Aptos" w:hAnsi="Aptos" w:cstheme="minorHAnsi"/>
          <w:bCs/>
        </w:rPr>
        <w:t>1,6</w:t>
      </w:r>
      <w:r w:rsidRPr="00527E9F">
        <w:rPr>
          <w:rFonts w:ascii="Aptos" w:hAnsi="Aptos" w:cstheme="minorHAnsi"/>
          <w:bCs/>
        </w:rPr>
        <w:t xml:space="preserve"> mld transakcji o wartości </w:t>
      </w:r>
      <w:r w:rsidR="009E48B2">
        <w:rPr>
          <w:rFonts w:ascii="Aptos" w:hAnsi="Aptos" w:cstheme="minorHAnsi"/>
          <w:bCs/>
        </w:rPr>
        <w:t>244,8</w:t>
      </w:r>
      <w:r w:rsidRPr="00527E9F">
        <w:rPr>
          <w:rFonts w:ascii="Aptos" w:hAnsi="Aptos" w:cstheme="minorHAnsi"/>
          <w:bCs/>
        </w:rPr>
        <w:t xml:space="preserve"> mld zł. W porównaniu z analogicznym okresem ubiegłego roku ich liczba wzrosła o 13 proc., a wartość o 18 proc. W tym czasie użytkownicy wykonywali BLIKIEM średnio </w:t>
      </w:r>
      <w:r w:rsidR="00A1589E">
        <w:rPr>
          <w:rFonts w:ascii="Aptos" w:hAnsi="Aptos" w:cstheme="minorHAnsi"/>
          <w:bCs/>
        </w:rPr>
        <w:t>8,7</w:t>
      </w:r>
      <w:r w:rsidRPr="00527E9F">
        <w:rPr>
          <w:rFonts w:ascii="Aptos" w:hAnsi="Aptos" w:cstheme="minorHAnsi"/>
          <w:bCs/>
        </w:rPr>
        <w:t xml:space="preserve"> mln operacji dziennie, a średnia kwota pojedynczej transakcji wyniosła </w:t>
      </w:r>
      <w:r w:rsidR="00A1589E">
        <w:rPr>
          <w:rFonts w:ascii="Aptos" w:hAnsi="Aptos" w:cstheme="minorHAnsi"/>
          <w:bCs/>
        </w:rPr>
        <w:t>155</w:t>
      </w:r>
      <w:r w:rsidRPr="00527E9F">
        <w:rPr>
          <w:rFonts w:ascii="Aptos" w:hAnsi="Aptos" w:cstheme="minorHAnsi"/>
          <w:bCs/>
        </w:rPr>
        <w:t xml:space="preserve"> zł. W najbardziej intensywnym dniu raportowanego okresu odnotowano </w:t>
      </w:r>
      <w:r w:rsidR="00A1589E">
        <w:rPr>
          <w:rFonts w:ascii="Aptos" w:hAnsi="Aptos" w:cstheme="minorHAnsi"/>
          <w:bCs/>
        </w:rPr>
        <w:t>12,6</w:t>
      </w:r>
      <w:r w:rsidRPr="00527E9F">
        <w:rPr>
          <w:rFonts w:ascii="Aptos" w:hAnsi="Aptos" w:cstheme="minorHAnsi"/>
          <w:bCs/>
        </w:rPr>
        <w:t xml:space="preserve"> mln operacji.</w:t>
      </w:r>
    </w:p>
    <w:p w14:paraId="675018C1" w14:textId="75ECC8C6" w:rsidR="00E73D24" w:rsidRDefault="008B135E" w:rsidP="005615AA">
      <w:pPr>
        <w:jc w:val="both"/>
        <w:rPr>
          <w:rFonts w:ascii="Aptos" w:hAnsi="Aptos" w:cstheme="minorHAnsi"/>
          <w:bCs/>
        </w:rPr>
      </w:pPr>
      <w:r w:rsidRPr="008B135E">
        <w:rPr>
          <w:rFonts w:ascii="Aptos" w:hAnsi="Aptos" w:cstheme="minorHAnsi"/>
          <w:bCs/>
        </w:rPr>
        <w:t>–</w:t>
      </w:r>
      <w:r w:rsidR="009A38A6">
        <w:rPr>
          <w:rFonts w:ascii="Aptos" w:hAnsi="Aptos" w:cstheme="minorHAnsi"/>
          <w:bCs/>
        </w:rPr>
        <w:t xml:space="preserve"> </w:t>
      </w:r>
      <w:r w:rsidR="006524A6" w:rsidRPr="00F47DB8">
        <w:rPr>
          <w:rFonts w:ascii="Aptos" w:hAnsi="Aptos" w:cstheme="minorHAnsi"/>
          <w:bCs/>
          <w:i/>
          <w:iCs/>
        </w:rPr>
        <w:t>Mamy za sobą bardzo dobre półrocze</w:t>
      </w:r>
      <w:r w:rsidR="006524A6">
        <w:rPr>
          <w:rFonts w:ascii="Aptos" w:hAnsi="Aptos" w:cstheme="minorHAnsi"/>
          <w:bCs/>
        </w:rPr>
        <w:t xml:space="preserve">. </w:t>
      </w:r>
      <w:r w:rsidR="009A38A6">
        <w:rPr>
          <w:rFonts w:ascii="Aptos" w:hAnsi="Aptos" w:cstheme="minorHAnsi"/>
          <w:bCs/>
          <w:i/>
          <w:iCs/>
        </w:rPr>
        <w:t>P</w:t>
      </w:r>
      <w:r w:rsidRPr="008B135E">
        <w:rPr>
          <w:rFonts w:ascii="Aptos" w:hAnsi="Aptos" w:cstheme="minorHAnsi"/>
          <w:bCs/>
          <w:i/>
          <w:iCs/>
        </w:rPr>
        <w:t xml:space="preserve">rzy obecnej skali BLIKA </w:t>
      </w:r>
      <w:r w:rsidR="009A38A6" w:rsidRPr="009A38A6">
        <w:rPr>
          <w:rFonts w:ascii="Aptos" w:hAnsi="Aptos" w:cstheme="minorHAnsi"/>
          <w:bCs/>
          <w:i/>
          <w:iCs/>
        </w:rPr>
        <w:t>dwucyfrowe tempo</w:t>
      </w:r>
      <w:r w:rsidR="009A38A6">
        <w:rPr>
          <w:rFonts w:ascii="Aptos" w:hAnsi="Aptos" w:cstheme="minorHAnsi"/>
          <w:bCs/>
          <w:i/>
          <w:iCs/>
        </w:rPr>
        <w:t xml:space="preserve"> wzrostu </w:t>
      </w:r>
      <w:r w:rsidRPr="008B135E">
        <w:rPr>
          <w:rFonts w:ascii="Aptos" w:hAnsi="Aptos" w:cstheme="minorHAnsi"/>
          <w:bCs/>
          <w:i/>
          <w:iCs/>
        </w:rPr>
        <w:t xml:space="preserve">potwierdza, że potencjał dalszego </w:t>
      </w:r>
      <w:r w:rsidR="009A38A6">
        <w:rPr>
          <w:rFonts w:ascii="Aptos" w:hAnsi="Aptos" w:cstheme="minorHAnsi"/>
          <w:bCs/>
          <w:i/>
          <w:iCs/>
        </w:rPr>
        <w:t>rozwoju</w:t>
      </w:r>
      <w:r w:rsidR="009A38A6" w:rsidRPr="008B135E">
        <w:rPr>
          <w:rFonts w:ascii="Aptos" w:hAnsi="Aptos" w:cstheme="minorHAnsi"/>
          <w:bCs/>
          <w:i/>
          <w:iCs/>
        </w:rPr>
        <w:t xml:space="preserve"> </w:t>
      </w:r>
      <w:r w:rsidR="00C16344">
        <w:rPr>
          <w:rFonts w:ascii="Aptos" w:hAnsi="Aptos" w:cstheme="minorHAnsi"/>
          <w:bCs/>
          <w:i/>
          <w:iCs/>
        </w:rPr>
        <w:t xml:space="preserve">systemu </w:t>
      </w:r>
      <w:r w:rsidR="006524A6">
        <w:rPr>
          <w:rFonts w:ascii="Aptos" w:hAnsi="Aptos" w:cstheme="minorHAnsi"/>
          <w:bCs/>
          <w:i/>
          <w:iCs/>
        </w:rPr>
        <w:t xml:space="preserve">nadal </w:t>
      </w:r>
      <w:r w:rsidRPr="008B135E">
        <w:rPr>
          <w:rFonts w:ascii="Aptos" w:hAnsi="Aptos" w:cstheme="minorHAnsi"/>
          <w:bCs/>
          <w:i/>
          <w:iCs/>
        </w:rPr>
        <w:t xml:space="preserve">pozostaje duży. </w:t>
      </w:r>
      <w:r w:rsidR="00C16344" w:rsidRPr="008B135E">
        <w:rPr>
          <w:rFonts w:ascii="Aptos" w:hAnsi="Aptos" w:cstheme="minorHAnsi"/>
          <w:bCs/>
          <w:i/>
          <w:iCs/>
        </w:rPr>
        <w:t>Na koniec półrocza mieliśmy 21,6 mln aktywnych użytkowników</w:t>
      </w:r>
      <w:r w:rsidR="00C16344">
        <w:rPr>
          <w:rFonts w:ascii="Aptos" w:hAnsi="Aptos" w:cstheme="minorHAnsi"/>
          <w:bCs/>
          <w:i/>
          <w:iCs/>
        </w:rPr>
        <w:t>, dlatego już dziś patrzymy nie tylko na dalszy wzrost</w:t>
      </w:r>
      <w:r w:rsidR="00F73C38">
        <w:rPr>
          <w:rFonts w:ascii="Aptos" w:hAnsi="Aptos" w:cstheme="minorHAnsi"/>
          <w:bCs/>
          <w:i/>
          <w:iCs/>
        </w:rPr>
        <w:t xml:space="preserve"> </w:t>
      </w:r>
      <w:r w:rsidR="006524A6">
        <w:rPr>
          <w:rFonts w:ascii="Aptos" w:hAnsi="Aptos" w:cstheme="minorHAnsi"/>
          <w:bCs/>
          <w:i/>
          <w:iCs/>
        </w:rPr>
        <w:t>ich liczby</w:t>
      </w:r>
      <w:r w:rsidR="00C16344">
        <w:rPr>
          <w:rFonts w:ascii="Aptos" w:hAnsi="Aptos" w:cstheme="minorHAnsi"/>
          <w:bCs/>
          <w:i/>
          <w:iCs/>
        </w:rPr>
        <w:t>, ale również na to, jak intensywnie i w jak szerokim zakresie korzystają oni z BLIKA.</w:t>
      </w:r>
      <w:r w:rsidRPr="008B135E">
        <w:rPr>
          <w:rFonts w:ascii="Aptos" w:hAnsi="Aptos" w:cstheme="minorHAnsi"/>
          <w:bCs/>
          <w:i/>
          <w:iCs/>
        </w:rPr>
        <w:t xml:space="preserve"> W kolejnych kwartałach chcemy </w:t>
      </w:r>
      <w:r w:rsidR="00C16344">
        <w:rPr>
          <w:rFonts w:ascii="Aptos" w:hAnsi="Aptos" w:cstheme="minorHAnsi"/>
          <w:bCs/>
          <w:i/>
          <w:iCs/>
        </w:rPr>
        <w:t xml:space="preserve">rozwijać oba te obszary - </w:t>
      </w:r>
      <w:r w:rsidRPr="008B135E">
        <w:rPr>
          <w:rFonts w:ascii="Aptos" w:hAnsi="Aptos" w:cstheme="minorHAnsi"/>
          <w:bCs/>
          <w:i/>
          <w:iCs/>
        </w:rPr>
        <w:t xml:space="preserve">powiększać aktywną bazę </w:t>
      </w:r>
      <w:r w:rsidR="00AB735C">
        <w:rPr>
          <w:rFonts w:ascii="Aptos" w:hAnsi="Aptos" w:cstheme="minorHAnsi"/>
          <w:bCs/>
          <w:i/>
          <w:iCs/>
        </w:rPr>
        <w:t>użytkowników</w:t>
      </w:r>
      <w:r w:rsidR="00C16344">
        <w:rPr>
          <w:rFonts w:ascii="Aptos" w:hAnsi="Aptos" w:cstheme="minorHAnsi"/>
          <w:bCs/>
          <w:i/>
          <w:iCs/>
        </w:rPr>
        <w:t xml:space="preserve"> oraz </w:t>
      </w:r>
      <w:r w:rsidR="00C16344" w:rsidRPr="00C16344">
        <w:rPr>
          <w:rFonts w:ascii="Aptos" w:hAnsi="Aptos" w:cstheme="minorHAnsi"/>
          <w:bCs/>
          <w:i/>
          <w:iCs/>
        </w:rPr>
        <w:t xml:space="preserve">zwiększać częstotliwość korzystania z </w:t>
      </w:r>
      <w:r w:rsidR="006524A6">
        <w:rPr>
          <w:rFonts w:ascii="Aptos" w:hAnsi="Aptos" w:cstheme="minorHAnsi"/>
          <w:bCs/>
          <w:i/>
          <w:iCs/>
        </w:rPr>
        <w:t xml:space="preserve">wszystkich usług </w:t>
      </w:r>
      <w:r w:rsidR="00C16344" w:rsidRPr="00C16344">
        <w:rPr>
          <w:rFonts w:ascii="Aptos" w:hAnsi="Aptos" w:cstheme="minorHAnsi"/>
          <w:bCs/>
          <w:i/>
          <w:iCs/>
        </w:rPr>
        <w:t>systemu przez obecnych</w:t>
      </w:r>
      <w:r w:rsidR="006524A6">
        <w:rPr>
          <w:rFonts w:ascii="Aptos" w:hAnsi="Aptos" w:cstheme="minorHAnsi"/>
          <w:bCs/>
          <w:i/>
          <w:iCs/>
        </w:rPr>
        <w:t xml:space="preserve"> użytkowników</w:t>
      </w:r>
      <w:r w:rsidR="00C16344" w:rsidRPr="00C16344">
        <w:rPr>
          <w:rFonts w:ascii="Aptos" w:hAnsi="Aptos" w:cstheme="minorHAnsi"/>
          <w:bCs/>
          <w:i/>
          <w:iCs/>
        </w:rPr>
        <w:t>.</w:t>
      </w:r>
      <w:r w:rsidR="00C16344">
        <w:rPr>
          <w:rFonts w:ascii="Aptos" w:hAnsi="Aptos" w:cstheme="minorHAnsi"/>
          <w:bCs/>
          <w:i/>
          <w:iCs/>
        </w:rPr>
        <w:t xml:space="preserve"> </w:t>
      </w:r>
      <w:r w:rsidRPr="008B135E">
        <w:rPr>
          <w:rFonts w:ascii="Aptos" w:hAnsi="Aptos" w:cstheme="minorHAnsi"/>
          <w:bCs/>
          <w:i/>
          <w:iCs/>
        </w:rPr>
        <w:t xml:space="preserve">Wraz z dalszym rozszerzaniem zastosowań BLIKA </w:t>
      </w:r>
      <w:r w:rsidR="00C16344" w:rsidRPr="00C16344">
        <w:rPr>
          <w:rFonts w:ascii="Aptos" w:hAnsi="Aptos" w:cstheme="minorHAnsi"/>
          <w:bCs/>
          <w:i/>
          <w:iCs/>
        </w:rPr>
        <w:t>to właśnie większa aktywność użytkowników będzie miała coraz większe znaczenie dla liczby transakcji i dalszego rozwoju całego systemu</w:t>
      </w:r>
      <w:r w:rsidR="00C16344">
        <w:rPr>
          <w:rFonts w:ascii="Aptos" w:hAnsi="Aptos" w:cstheme="minorHAnsi"/>
          <w:bCs/>
          <w:i/>
          <w:iCs/>
        </w:rPr>
        <w:t xml:space="preserve"> </w:t>
      </w:r>
      <w:r w:rsidRPr="008B135E">
        <w:rPr>
          <w:rFonts w:ascii="Aptos" w:hAnsi="Aptos" w:cstheme="minorHAnsi"/>
          <w:bCs/>
        </w:rPr>
        <w:t xml:space="preserve">– mówi </w:t>
      </w:r>
      <w:r w:rsidRPr="008B135E">
        <w:rPr>
          <w:rFonts w:ascii="Aptos" w:hAnsi="Aptos" w:cstheme="minorHAnsi"/>
          <w:b/>
        </w:rPr>
        <w:t>Monika Król</w:t>
      </w:r>
      <w:r w:rsidRPr="008B135E">
        <w:rPr>
          <w:rFonts w:ascii="Aptos" w:hAnsi="Aptos" w:cstheme="minorHAnsi"/>
          <w:bCs/>
        </w:rPr>
        <w:t>, wiceprezeska Polskiego Standardu Płatności, operatora BLIKA.</w:t>
      </w:r>
    </w:p>
    <w:p w14:paraId="17B891E9" w14:textId="77777777" w:rsidR="001559B1" w:rsidRDefault="001559B1" w:rsidP="005615AA">
      <w:pPr>
        <w:jc w:val="both"/>
        <w:rPr>
          <w:rFonts w:ascii="Aptos" w:hAnsi="Aptos" w:cstheme="minorHAnsi"/>
          <w:b/>
        </w:rPr>
      </w:pPr>
      <w:r w:rsidRPr="001559B1">
        <w:rPr>
          <w:rFonts w:ascii="Aptos" w:hAnsi="Aptos" w:cstheme="minorHAnsi"/>
          <w:b/>
        </w:rPr>
        <w:t xml:space="preserve">Największy wolumen wciąż generuje </w:t>
      </w:r>
      <w:proofErr w:type="spellStart"/>
      <w:r w:rsidRPr="001559B1">
        <w:rPr>
          <w:rFonts w:ascii="Aptos" w:hAnsi="Aptos" w:cstheme="minorHAnsi"/>
          <w:b/>
        </w:rPr>
        <w:t>internet</w:t>
      </w:r>
      <w:proofErr w:type="spellEnd"/>
    </w:p>
    <w:p w14:paraId="4DAF85C4" w14:textId="7985F654" w:rsidR="00443625" w:rsidRDefault="000C52BC" w:rsidP="000C52BC">
      <w:pPr>
        <w:jc w:val="both"/>
        <w:rPr>
          <w:rFonts w:ascii="Aptos" w:hAnsi="Aptos" w:cstheme="minorHAnsi"/>
          <w:bCs/>
        </w:rPr>
      </w:pPr>
      <w:r w:rsidRPr="000C52BC">
        <w:rPr>
          <w:rFonts w:ascii="Aptos" w:hAnsi="Aptos" w:cstheme="minorHAnsi"/>
          <w:bCs/>
        </w:rPr>
        <w:t>W pierwsz</w:t>
      </w:r>
      <w:r>
        <w:rPr>
          <w:rFonts w:ascii="Aptos" w:hAnsi="Aptos" w:cstheme="minorHAnsi"/>
          <w:bCs/>
        </w:rPr>
        <w:t>ym</w:t>
      </w:r>
      <w:r w:rsidRPr="000C52BC">
        <w:rPr>
          <w:rFonts w:ascii="Aptos" w:hAnsi="Aptos" w:cstheme="minorHAnsi"/>
          <w:bCs/>
        </w:rPr>
        <w:t xml:space="preserve"> </w:t>
      </w:r>
      <w:r>
        <w:rPr>
          <w:rFonts w:ascii="Aptos" w:hAnsi="Aptos" w:cstheme="minorHAnsi"/>
          <w:bCs/>
        </w:rPr>
        <w:t>pół</w:t>
      </w:r>
      <w:r w:rsidR="00746049">
        <w:rPr>
          <w:rFonts w:ascii="Aptos" w:hAnsi="Aptos" w:cstheme="minorHAnsi"/>
          <w:bCs/>
        </w:rPr>
        <w:t xml:space="preserve">roczu </w:t>
      </w:r>
      <w:r w:rsidRPr="000C52BC">
        <w:rPr>
          <w:rFonts w:ascii="Aptos" w:hAnsi="Aptos" w:cstheme="minorHAnsi"/>
          <w:bCs/>
        </w:rPr>
        <w:t>2026 r</w:t>
      </w:r>
      <w:r w:rsidR="00746049">
        <w:rPr>
          <w:rFonts w:ascii="Aptos" w:hAnsi="Aptos" w:cstheme="minorHAnsi"/>
          <w:bCs/>
        </w:rPr>
        <w:t>.</w:t>
      </w:r>
      <w:r w:rsidRPr="000C52BC">
        <w:rPr>
          <w:rFonts w:ascii="Aptos" w:hAnsi="Aptos" w:cstheme="minorHAnsi"/>
          <w:bCs/>
        </w:rPr>
        <w:t xml:space="preserve"> e-commerce odpowiadał za 48,5 proc. wszystkich transakcji BLIKIEM. Od stycznia do czerwca</w:t>
      </w:r>
      <w:r w:rsidR="00746049">
        <w:rPr>
          <w:rFonts w:ascii="Aptos" w:hAnsi="Aptos" w:cstheme="minorHAnsi"/>
          <w:bCs/>
        </w:rPr>
        <w:t xml:space="preserve"> br.</w:t>
      </w:r>
      <w:r w:rsidRPr="000C52BC">
        <w:rPr>
          <w:rFonts w:ascii="Aptos" w:hAnsi="Aptos" w:cstheme="minorHAnsi"/>
          <w:bCs/>
        </w:rPr>
        <w:t xml:space="preserve"> użytkownicy zapłacili online </w:t>
      </w:r>
      <w:r w:rsidR="00822D07" w:rsidRPr="00822D07">
        <w:rPr>
          <w:rFonts w:ascii="Aptos" w:hAnsi="Aptos" w:cstheme="minorHAnsi"/>
          <w:bCs/>
        </w:rPr>
        <w:t>766,7</w:t>
      </w:r>
      <w:r w:rsidR="00822D07">
        <w:rPr>
          <w:rFonts w:ascii="Aptos" w:hAnsi="Aptos" w:cstheme="minorHAnsi"/>
          <w:bCs/>
        </w:rPr>
        <w:t xml:space="preserve"> </w:t>
      </w:r>
      <w:r w:rsidRPr="000C52BC">
        <w:rPr>
          <w:rFonts w:ascii="Aptos" w:hAnsi="Aptos" w:cstheme="minorHAnsi"/>
          <w:bCs/>
        </w:rPr>
        <w:t xml:space="preserve">mln razy, a łączna wartość tych zakupów </w:t>
      </w:r>
      <w:r w:rsidR="003B6B2D">
        <w:rPr>
          <w:rFonts w:ascii="Aptos" w:hAnsi="Aptos" w:cstheme="minorHAnsi"/>
          <w:bCs/>
        </w:rPr>
        <w:t>to</w:t>
      </w:r>
      <w:r w:rsidRPr="000C52BC">
        <w:rPr>
          <w:rFonts w:ascii="Aptos" w:hAnsi="Aptos" w:cstheme="minorHAnsi"/>
          <w:bCs/>
        </w:rPr>
        <w:t xml:space="preserve"> </w:t>
      </w:r>
      <w:r w:rsidR="00822D07" w:rsidRPr="00822D07">
        <w:rPr>
          <w:rFonts w:ascii="Aptos" w:hAnsi="Aptos" w:cstheme="minorHAnsi"/>
          <w:bCs/>
        </w:rPr>
        <w:t>124,5</w:t>
      </w:r>
      <w:r w:rsidR="00822D07">
        <w:rPr>
          <w:rFonts w:ascii="Aptos" w:hAnsi="Aptos" w:cstheme="minorHAnsi"/>
          <w:bCs/>
        </w:rPr>
        <w:t xml:space="preserve"> </w:t>
      </w:r>
      <w:r w:rsidRPr="000C52BC">
        <w:rPr>
          <w:rFonts w:ascii="Aptos" w:hAnsi="Aptos" w:cstheme="minorHAnsi"/>
          <w:bCs/>
        </w:rPr>
        <w:t xml:space="preserve">mld zł. Oznacza to wzrost odpowiednio o </w:t>
      </w:r>
      <w:r w:rsidR="00C75CA3">
        <w:rPr>
          <w:rFonts w:ascii="Aptos" w:hAnsi="Aptos" w:cstheme="minorHAnsi"/>
          <w:bCs/>
        </w:rPr>
        <w:t>16</w:t>
      </w:r>
      <w:r w:rsidRPr="000C52BC">
        <w:rPr>
          <w:rFonts w:ascii="Aptos" w:hAnsi="Aptos" w:cstheme="minorHAnsi"/>
          <w:bCs/>
        </w:rPr>
        <w:t xml:space="preserve"> proc. pod względem liczby oraz </w:t>
      </w:r>
      <w:r w:rsidR="00C75CA3">
        <w:rPr>
          <w:rFonts w:ascii="Aptos" w:hAnsi="Aptos" w:cstheme="minorHAnsi"/>
          <w:bCs/>
        </w:rPr>
        <w:t>22</w:t>
      </w:r>
      <w:r w:rsidRPr="000C52BC">
        <w:rPr>
          <w:rFonts w:ascii="Aptos" w:hAnsi="Aptos" w:cstheme="minorHAnsi"/>
          <w:bCs/>
        </w:rPr>
        <w:t xml:space="preserve"> proc. pod względem wartości w porównaniu z analogicznym okresem ubiegłego roku. </w:t>
      </w:r>
      <w:r w:rsidR="00636A7D">
        <w:rPr>
          <w:rFonts w:ascii="Aptos" w:hAnsi="Aptos" w:cstheme="minorHAnsi"/>
          <w:bCs/>
        </w:rPr>
        <w:t>Tylko m</w:t>
      </w:r>
      <w:r w:rsidRPr="000C52BC">
        <w:rPr>
          <w:rFonts w:ascii="Aptos" w:hAnsi="Aptos" w:cstheme="minorHAnsi"/>
          <w:bCs/>
        </w:rPr>
        <w:t>iędzy kwietniem a czerwcem konsumenci zrealizowali</w:t>
      </w:r>
      <w:r w:rsidR="002C3F7F" w:rsidRPr="002C3F7F">
        <w:t xml:space="preserve"> </w:t>
      </w:r>
      <w:r w:rsidR="002C3F7F" w:rsidRPr="002C3F7F">
        <w:rPr>
          <w:rFonts w:ascii="Aptos" w:hAnsi="Aptos" w:cstheme="minorHAnsi"/>
          <w:bCs/>
        </w:rPr>
        <w:t>387,8</w:t>
      </w:r>
      <w:r w:rsidRPr="000C52BC">
        <w:rPr>
          <w:rFonts w:ascii="Aptos" w:hAnsi="Aptos" w:cstheme="minorHAnsi"/>
          <w:bCs/>
        </w:rPr>
        <w:t xml:space="preserve"> mln płatności internetowych na kwotę </w:t>
      </w:r>
      <w:r w:rsidR="002C3F7F" w:rsidRPr="002C3F7F">
        <w:rPr>
          <w:rFonts w:ascii="Aptos" w:hAnsi="Aptos" w:cstheme="minorHAnsi"/>
          <w:bCs/>
        </w:rPr>
        <w:t xml:space="preserve">63,8 </w:t>
      </w:r>
      <w:r w:rsidRPr="000C52BC">
        <w:rPr>
          <w:rFonts w:ascii="Aptos" w:hAnsi="Aptos" w:cstheme="minorHAnsi"/>
          <w:bCs/>
        </w:rPr>
        <w:t xml:space="preserve">mld zł. W perspektywie całego półrocza średnia kwota jednej transakcji online wyniosła </w:t>
      </w:r>
      <w:r w:rsidR="002C3F7F">
        <w:rPr>
          <w:rFonts w:ascii="Aptos" w:hAnsi="Aptos" w:cstheme="minorHAnsi"/>
          <w:bCs/>
        </w:rPr>
        <w:t>1</w:t>
      </w:r>
      <w:r w:rsidR="00E8338E">
        <w:rPr>
          <w:rFonts w:ascii="Aptos" w:hAnsi="Aptos" w:cstheme="minorHAnsi"/>
          <w:bCs/>
        </w:rPr>
        <w:t>62</w:t>
      </w:r>
      <w:r w:rsidRPr="000C52BC">
        <w:rPr>
          <w:rFonts w:ascii="Aptos" w:hAnsi="Aptos" w:cstheme="minorHAnsi"/>
          <w:bCs/>
        </w:rPr>
        <w:t xml:space="preserve"> zł, a każdego dnia użytkownicy wykonywali ich przeciętnie </w:t>
      </w:r>
      <w:r w:rsidR="00E8338E">
        <w:rPr>
          <w:rFonts w:ascii="Aptos" w:hAnsi="Aptos" w:cstheme="minorHAnsi"/>
          <w:bCs/>
        </w:rPr>
        <w:t>4,2</w:t>
      </w:r>
      <w:r w:rsidRPr="000C52BC">
        <w:rPr>
          <w:rFonts w:ascii="Aptos" w:hAnsi="Aptos" w:cstheme="minorHAnsi"/>
          <w:bCs/>
        </w:rPr>
        <w:t xml:space="preserve"> mln. </w:t>
      </w:r>
      <w:r w:rsidR="00443625" w:rsidRPr="00443625">
        <w:rPr>
          <w:rFonts w:ascii="Aptos" w:hAnsi="Aptos" w:cstheme="minorHAnsi"/>
          <w:bCs/>
        </w:rPr>
        <w:t xml:space="preserve">Rekordowy dla e-commerce okazał się 10 czerwca </w:t>
      </w:r>
      <w:r w:rsidR="00443625">
        <w:rPr>
          <w:rFonts w:ascii="Aptos" w:hAnsi="Aptos" w:cstheme="minorHAnsi"/>
          <w:bCs/>
        </w:rPr>
        <w:t xml:space="preserve">br. </w:t>
      </w:r>
      <w:r w:rsidR="00443625" w:rsidRPr="00443625">
        <w:rPr>
          <w:rFonts w:ascii="Aptos" w:hAnsi="Aptos" w:cstheme="minorHAnsi"/>
          <w:bCs/>
        </w:rPr>
        <w:t>– tego dnia użytkownicy zapłacili online 5,7 mln razy.</w:t>
      </w:r>
    </w:p>
    <w:p w14:paraId="0846B66E" w14:textId="3F51B6D9" w:rsidR="00862602" w:rsidRDefault="00B96739" w:rsidP="00B540DD">
      <w:pPr>
        <w:jc w:val="both"/>
        <w:rPr>
          <w:rFonts w:ascii="Aptos" w:hAnsi="Aptos" w:cstheme="minorHAnsi"/>
          <w:bCs/>
        </w:rPr>
      </w:pPr>
      <w:r w:rsidRPr="00B96739">
        <w:rPr>
          <w:rFonts w:ascii="Aptos" w:hAnsi="Aptos" w:cstheme="minorHAnsi"/>
          <w:bCs/>
        </w:rPr>
        <w:t>–</w:t>
      </w:r>
      <w:r w:rsidR="00C001CD">
        <w:rPr>
          <w:rFonts w:ascii="Aptos" w:hAnsi="Aptos" w:cstheme="minorHAnsi"/>
          <w:bCs/>
          <w:i/>
          <w:iCs/>
        </w:rPr>
        <w:t xml:space="preserve"> </w:t>
      </w:r>
      <w:r w:rsidR="00C001CD" w:rsidRPr="00B96739">
        <w:rPr>
          <w:rFonts w:ascii="Aptos" w:hAnsi="Aptos" w:cstheme="minorHAnsi"/>
          <w:bCs/>
          <w:i/>
          <w:iCs/>
        </w:rPr>
        <w:t xml:space="preserve">Ostatnie miesiące przyniosły </w:t>
      </w:r>
      <w:r w:rsidR="00C001CD">
        <w:rPr>
          <w:rFonts w:ascii="Aptos" w:hAnsi="Aptos" w:cstheme="minorHAnsi"/>
          <w:bCs/>
          <w:i/>
          <w:iCs/>
        </w:rPr>
        <w:t xml:space="preserve">także </w:t>
      </w:r>
      <w:r w:rsidR="00C001CD" w:rsidRPr="00B96739">
        <w:rPr>
          <w:rFonts w:ascii="Aptos" w:hAnsi="Aptos" w:cstheme="minorHAnsi"/>
          <w:bCs/>
          <w:i/>
          <w:iCs/>
        </w:rPr>
        <w:t xml:space="preserve">wyraźny wzrost zainteresowania płatnościami powtarzalnymi. W pierwszej połowie 2026 roku użytkownicy zrealizowali ich </w:t>
      </w:r>
      <w:r w:rsidR="00833A58">
        <w:rPr>
          <w:rFonts w:ascii="Aptos" w:hAnsi="Aptos" w:cstheme="minorHAnsi"/>
          <w:bCs/>
          <w:i/>
          <w:iCs/>
        </w:rPr>
        <w:t xml:space="preserve">liczba wzrosła rok do </w:t>
      </w:r>
      <w:r w:rsidR="00833A58">
        <w:rPr>
          <w:rFonts w:ascii="Aptos" w:hAnsi="Aptos" w:cstheme="minorHAnsi"/>
          <w:bCs/>
          <w:i/>
          <w:iCs/>
        </w:rPr>
        <w:lastRenderedPageBreak/>
        <w:t xml:space="preserve">roku 20-krotnie, do poziomu </w:t>
      </w:r>
      <w:r w:rsidR="00C001CD" w:rsidRPr="00B96739">
        <w:rPr>
          <w:rFonts w:ascii="Aptos" w:hAnsi="Aptos" w:cstheme="minorHAnsi"/>
          <w:bCs/>
          <w:i/>
          <w:iCs/>
        </w:rPr>
        <w:t>3,6 mln</w:t>
      </w:r>
      <w:r w:rsidR="00833A58">
        <w:rPr>
          <w:rFonts w:ascii="Aptos" w:hAnsi="Aptos" w:cstheme="minorHAnsi"/>
          <w:bCs/>
          <w:i/>
          <w:iCs/>
        </w:rPr>
        <w:t xml:space="preserve">, </w:t>
      </w:r>
      <w:r w:rsidR="00C001CD" w:rsidRPr="00B96739">
        <w:rPr>
          <w:rFonts w:ascii="Aptos" w:hAnsi="Aptos" w:cstheme="minorHAnsi"/>
          <w:bCs/>
          <w:i/>
          <w:iCs/>
        </w:rPr>
        <w:t>a ich łączna wartość wyniosła 166 mln zł. To jeden z najbardziej perspektywicznych obszarów dalszego wzrostu BLIKA w e-commerce – każda kolejna kategoria cyklicznych płatności zwiększa liczbę sytuacji, w których użytkownik może wybrać BLIKA. Przestrzeń do dalszego skalowania tej usługi pozostaje więc bardzo duża</w:t>
      </w:r>
      <w:r w:rsidR="00C001CD">
        <w:rPr>
          <w:rFonts w:ascii="Aptos" w:hAnsi="Aptos" w:cstheme="minorHAnsi"/>
          <w:bCs/>
        </w:rPr>
        <w:t xml:space="preserve"> </w:t>
      </w:r>
      <w:r w:rsidR="00314DFD" w:rsidRPr="00DA6B7D">
        <w:rPr>
          <w:rFonts w:ascii="Aptos" w:hAnsi="Aptos" w:cstheme="minorHAnsi"/>
        </w:rPr>
        <w:t xml:space="preserve">– mówi </w:t>
      </w:r>
      <w:r w:rsidR="00314DFD" w:rsidRPr="00DA6B7D">
        <w:rPr>
          <w:rFonts w:ascii="Aptos" w:hAnsi="Aptos" w:cstheme="minorHAnsi"/>
          <w:b/>
          <w:bCs/>
        </w:rPr>
        <w:t>Katarzyna Matuszczyk</w:t>
      </w:r>
      <w:r w:rsidR="00314DFD" w:rsidRPr="00DA6B7D">
        <w:rPr>
          <w:rFonts w:ascii="Aptos" w:hAnsi="Aptos" w:cstheme="minorHAnsi"/>
        </w:rPr>
        <w:t>, członkini zarządu ds. finansowych w Polskim Standardzie Płatności, operatorze BLIKA.</w:t>
      </w:r>
    </w:p>
    <w:p w14:paraId="2346826C" w14:textId="05F44D50" w:rsidR="001559B1" w:rsidRDefault="00104280" w:rsidP="00B540DD">
      <w:pPr>
        <w:jc w:val="both"/>
        <w:rPr>
          <w:rFonts w:ascii="Aptos" w:hAnsi="Aptos" w:cstheme="minorHAnsi"/>
          <w:bCs/>
        </w:rPr>
      </w:pPr>
      <w:r>
        <w:rPr>
          <w:rFonts w:ascii="Aptos" w:hAnsi="Aptos" w:cstheme="minorHAnsi"/>
          <w:bCs/>
        </w:rPr>
        <w:t>Usługa</w:t>
      </w:r>
      <w:r w:rsidR="00B540DD" w:rsidRPr="00B540DD">
        <w:rPr>
          <w:rFonts w:ascii="Aptos" w:hAnsi="Aptos" w:cstheme="minorHAnsi"/>
          <w:bCs/>
        </w:rPr>
        <w:t xml:space="preserve"> </w:t>
      </w:r>
      <w:r>
        <w:rPr>
          <w:rFonts w:ascii="Aptos" w:hAnsi="Aptos" w:cstheme="minorHAnsi"/>
          <w:bCs/>
        </w:rPr>
        <w:t xml:space="preserve">jest </w:t>
      </w:r>
      <w:r w:rsidR="00B540DD" w:rsidRPr="00B540DD">
        <w:rPr>
          <w:rFonts w:ascii="Aptos" w:hAnsi="Aptos" w:cstheme="minorHAnsi"/>
          <w:bCs/>
        </w:rPr>
        <w:t>już dostępn</w:t>
      </w:r>
      <w:r>
        <w:rPr>
          <w:rFonts w:ascii="Aptos" w:hAnsi="Aptos" w:cstheme="minorHAnsi"/>
          <w:bCs/>
        </w:rPr>
        <w:t>a</w:t>
      </w:r>
      <w:r w:rsidR="00B540DD" w:rsidRPr="00B540DD">
        <w:rPr>
          <w:rFonts w:ascii="Aptos" w:hAnsi="Aptos" w:cstheme="minorHAnsi"/>
          <w:bCs/>
        </w:rPr>
        <w:t xml:space="preserve"> u ponad 100 partnerów BLIKA,</w:t>
      </w:r>
      <w:r w:rsidR="00C34965">
        <w:rPr>
          <w:rFonts w:ascii="Aptos" w:hAnsi="Aptos" w:cstheme="minorHAnsi"/>
          <w:bCs/>
        </w:rPr>
        <w:t xml:space="preserve"> takich jak</w:t>
      </w:r>
      <w:r w:rsidR="00B540DD" w:rsidRPr="00B540DD">
        <w:rPr>
          <w:rFonts w:ascii="Aptos" w:hAnsi="Aptos" w:cstheme="minorHAnsi"/>
          <w:bCs/>
        </w:rPr>
        <w:t xml:space="preserve"> m.in. </w:t>
      </w:r>
      <w:proofErr w:type="spellStart"/>
      <w:r w:rsidR="00B540DD" w:rsidRPr="00B540DD">
        <w:rPr>
          <w:rFonts w:ascii="Aptos" w:hAnsi="Aptos" w:cstheme="minorHAnsi"/>
          <w:bCs/>
        </w:rPr>
        <w:t>OpenAI</w:t>
      </w:r>
      <w:proofErr w:type="spellEnd"/>
      <w:r w:rsidR="00B540DD" w:rsidRPr="00B540DD">
        <w:rPr>
          <w:rFonts w:ascii="Aptos" w:hAnsi="Aptos" w:cstheme="minorHAnsi"/>
          <w:bCs/>
        </w:rPr>
        <w:t xml:space="preserve">, Canal+, Euro RTV AGD, Playera, </w:t>
      </w:r>
      <w:r w:rsidR="00826D10">
        <w:rPr>
          <w:rFonts w:ascii="Aptos" w:hAnsi="Aptos" w:cstheme="minorHAnsi"/>
          <w:bCs/>
        </w:rPr>
        <w:t xml:space="preserve">PZU, Polsat Box, </w:t>
      </w:r>
      <w:r w:rsidR="00B540DD" w:rsidRPr="00B540DD">
        <w:rPr>
          <w:rFonts w:ascii="Aptos" w:hAnsi="Aptos" w:cstheme="minorHAnsi"/>
          <w:bCs/>
        </w:rPr>
        <w:t>Allegro czy Onet Premium.</w:t>
      </w:r>
      <w:r w:rsidR="00B540DD">
        <w:rPr>
          <w:rFonts w:ascii="Aptos" w:hAnsi="Aptos" w:cstheme="minorHAnsi"/>
          <w:bCs/>
        </w:rPr>
        <w:t xml:space="preserve"> </w:t>
      </w:r>
      <w:r w:rsidR="003B7333">
        <w:rPr>
          <w:rFonts w:ascii="Aptos" w:hAnsi="Aptos" w:cstheme="minorHAnsi"/>
          <w:bCs/>
        </w:rPr>
        <w:t>Marka</w:t>
      </w:r>
      <w:r w:rsidR="000C52BC" w:rsidRPr="000C52BC">
        <w:rPr>
          <w:rFonts w:ascii="Aptos" w:hAnsi="Aptos" w:cstheme="minorHAnsi"/>
          <w:bCs/>
        </w:rPr>
        <w:t xml:space="preserve"> rozwija tę funkcję zarówno w obszarze subskrypcji i usług internetowych, jak i regularnych opłat, dzięki czemu coraz więcej cyklicznych zobowiązań będzie można ustawić i kontrolować bezpośrednio z poziomu aplikacji bankowej.</w:t>
      </w:r>
    </w:p>
    <w:p w14:paraId="21FF8A59" w14:textId="4B11227B" w:rsidR="006C435D" w:rsidRDefault="006C435D" w:rsidP="008B3DD7">
      <w:pPr>
        <w:jc w:val="both"/>
        <w:rPr>
          <w:rFonts w:ascii="Aptos" w:hAnsi="Aptos" w:cstheme="minorHAnsi"/>
          <w:b/>
        </w:rPr>
      </w:pPr>
      <w:r w:rsidRPr="006C435D">
        <w:rPr>
          <w:rFonts w:ascii="Aptos" w:hAnsi="Aptos" w:cstheme="minorHAnsi"/>
          <w:b/>
        </w:rPr>
        <w:t xml:space="preserve">Blisko połowa płatności </w:t>
      </w:r>
      <w:r w:rsidR="002C64EC">
        <w:rPr>
          <w:rFonts w:ascii="Aptos" w:hAnsi="Aptos" w:cstheme="minorHAnsi"/>
          <w:b/>
        </w:rPr>
        <w:t xml:space="preserve">w POS odbywa się </w:t>
      </w:r>
      <w:r w:rsidR="003C5747">
        <w:rPr>
          <w:rFonts w:ascii="Aptos" w:hAnsi="Aptos" w:cstheme="minorHAnsi"/>
          <w:b/>
        </w:rPr>
        <w:t>zbliżeniowo</w:t>
      </w:r>
    </w:p>
    <w:p w14:paraId="11833A02" w14:textId="605A7BEB" w:rsidR="00521083" w:rsidRDefault="00CD0879" w:rsidP="008B3DD7">
      <w:pPr>
        <w:jc w:val="both"/>
        <w:rPr>
          <w:rFonts w:ascii="Aptos" w:hAnsi="Aptos" w:cstheme="minorHAnsi"/>
        </w:rPr>
      </w:pPr>
      <w:r w:rsidRPr="00CD0879">
        <w:rPr>
          <w:rFonts w:ascii="Aptos" w:hAnsi="Aptos" w:cstheme="minorHAnsi"/>
        </w:rPr>
        <w:t>Od stycznia do czerwca</w:t>
      </w:r>
      <w:r>
        <w:rPr>
          <w:rFonts w:ascii="Aptos" w:hAnsi="Aptos" w:cstheme="minorHAnsi"/>
        </w:rPr>
        <w:t xml:space="preserve"> br.</w:t>
      </w:r>
      <w:r w:rsidRPr="00CD0879">
        <w:rPr>
          <w:rFonts w:ascii="Aptos" w:hAnsi="Aptos" w:cstheme="minorHAnsi"/>
        </w:rPr>
        <w:t xml:space="preserve"> użytkownicy zrealizowali w terminalach płatniczych </w:t>
      </w:r>
      <w:r w:rsidR="006F152E" w:rsidRPr="006F152E">
        <w:rPr>
          <w:rFonts w:ascii="Aptos" w:hAnsi="Aptos" w:cstheme="minorHAnsi"/>
        </w:rPr>
        <w:t>378,8</w:t>
      </w:r>
      <w:r w:rsidR="006F152E">
        <w:rPr>
          <w:rFonts w:ascii="Aptos" w:hAnsi="Aptos" w:cstheme="minorHAnsi"/>
        </w:rPr>
        <w:t xml:space="preserve"> </w:t>
      </w:r>
      <w:r w:rsidRPr="00CD0879">
        <w:rPr>
          <w:rFonts w:ascii="Aptos" w:hAnsi="Aptos" w:cstheme="minorHAnsi"/>
        </w:rPr>
        <w:t xml:space="preserve">mln operacji o wartości </w:t>
      </w:r>
      <w:r w:rsidR="00D640DC">
        <w:rPr>
          <w:rFonts w:ascii="Aptos" w:hAnsi="Aptos" w:cstheme="minorHAnsi"/>
        </w:rPr>
        <w:t>23,5</w:t>
      </w:r>
      <w:r w:rsidRPr="00CD0879">
        <w:rPr>
          <w:rFonts w:ascii="Aptos" w:hAnsi="Aptos" w:cstheme="minorHAnsi"/>
        </w:rPr>
        <w:t xml:space="preserve"> mld zł. W samym drugim kwartale ich liczba po raz pierwszy przekroczyła 200 mln, </w:t>
      </w:r>
      <w:r w:rsidR="006F4834">
        <w:rPr>
          <w:rFonts w:ascii="Aptos" w:hAnsi="Aptos" w:cstheme="minorHAnsi"/>
        </w:rPr>
        <w:t xml:space="preserve">potwierdzając </w:t>
      </w:r>
      <w:r w:rsidR="006F4834" w:rsidRPr="006F4834">
        <w:rPr>
          <w:rFonts w:ascii="Aptos" w:hAnsi="Aptos" w:cstheme="minorHAnsi"/>
        </w:rPr>
        <w:t>dużą skalę płatności BLIKIEM w sklepach stacjonarnych</w:t>
      </w:r>
      <w:r w:rsidRPr="00CD0879">
        <w:rPr>
          <w:rFonts w:ascii="Aptos" w:hAnsi="Aptos" w:cstheme="minorHAnsi"/>
        </w:rPr>
        <w:t xml:space="preserve">. W ujęciu półrocznym oznacza to wzrost o </w:t>
      </w:r>
      <w:r w:rsidR="00836A6C">
        <w:rPr>
          <w:rFonts w:ascii="Aptos" w:hAnsi="Aptos" w:cstheme="minorHAnsi"/>
        </w:rPr>
        <w:t>12</w:t>
      </w:r>
      <w:r w:rsidRPr="00CD0879">
        <w:rPr>
          <w:rFonts w:ascii="Aptos" w:hAnsi="Aptos" w:cstheme="minorHAnsi"/>
        </w:rPr>
        <w:t xml:space="preserve"> proc. pod względem liczby oraz </w:t>
      </w:r>
      <w:r w:rsidR="008309EB">
        <w:rPr>
          <w:rFonts w:ascii="Aptos" w:hAnsi="Aptos" w:cstheme="minorHAnsi"/>
        </w:rPr>
        <w:t>20</w:t>
      </w:r>
      <w:r w:rsidRPr="00CD0879">
        <w:rPr>
          <w:rFonts w:ascii="Aptos" w:hAnsi="Aptos" w:cstheme="minorHAnsi"/>
        </w:rPr>
        <w:t xml:space="preserve"> proc. pod względem wartości w porównaniu z analogicznym okresem ubiegłego roku. Średnia kwota pojedynczej płatności wyniosła </w:t>
      </w:r>
      <w:r w:rsidR="00074C7B">
        <w:rPr>
          <w:rFonts w:ascii="Aptos" w:hAnsi="Aptos" w:cstheme="minorHAnsi"/>
        </w:rPr>
        <w:t>62</w:t>
      </w:r>
      <w:r w:rsidRPr="00CD0879">
        <w:rPr>
          <w:rFonts w:ascii="Aptos" w:hAnsi="Aptos" w:cstheme="minorHAnsi"/>
        </w:rPr>
        <w:t xml:space="preserve"> zł. Użytkownicy niemal równie często wybierali kod, jak płatność zbliżeniową – w pierwszym przypadku było to </w:t>
      </w:r>
      <w:r w:rsidR="00A44BFC">
        <w:rPr>
          <w:rFonts w:ascii="Aptos" w:hAnsi="Aptos" w:cstheme="minorHAnsi"/>
        </w:rPr>
        <w:t>203,3</w:t>
      </w:r>
      <w:r w:rsidRPr="00CD0879">
        <w:rPr>
          <w:rFonts w:ascii="Aptos" w:hAnsi="Aptos" w:cstheme="minorHAnsi"/>
        </w:rPr>
        <w:t xml:space="preserve"> mln operacji, w drugim </w:t>
      </w:r>
      <w:r w:rsidR="00A44BFC">
        <w:rPr>
          <w:rFonts w:ascii="Aptos" w:hAnsi="Aptos" w:cstheme="minorHAnsi"/>
        </w:rPr>
        <w:t>175,5</w:t>
      </w:r>
      <w:r w:rsidRPr="00CD0879">
        <w:rPr>
          <w:rFonts w:ascii="Aptos" w:hAnsi="Aptos" w:cstheme="minorHAnsi"/>
        </w:rPr>
        <w:t xml:space="preserve"> mln. Łącznie kanał POS odpowiadał za </w:t>
      </w:r>
      <w:r w:rsidR="00116126">
        <w:rPr>
          <w:rFonts w:ascii="Aptos" w:hAnsi="Aptos" w:cstheme="minorHAnsi"/>
        </w:rPr>
        <w:t>blisko</w:t>
      </w:r>
      <w:r w:rsidRPr="00CD0879">
        <w:rPr>
          <w:rFonts w:ascii="Aptos" w:hAnsi="Aptos" w:cstheme="minorHAnsi"/>
        </w:rPr>
        <w:t xml:space="preserve"> jedną czwartą wszystkich transakcji BLIKIEM.</w:t>
      </w:r>
    </w:p>
    <w:p w14:paraId="4526A0DF" w14:textId="3CE07F98" w:rsidR="00521083" w:rsidRDefault="00116126" w:rsidP="008B3DD7">
      <w:pPr>
        <w:jc w:val="both"/>
        <w:rPr>
          <w:rFonts w:ascii="Aptos" w:hAnsi="Aptos" w:cstheme="minorHAnsi"/>
        </w:rPr>
      </w:pPr>
      <w:r w:rsidRPr="00116126">
        <w:rPr>
          <w:rFonts w:ascii="Aptos" w:hAnsi="Aptos" w:cstheme="minorHAnsi"/>
        </w:rPr>
        <w:t xml:space="preserve">– </w:t>
      </w:r>
      <w:r w:rsidRPr="00116126">
        <w:rPr>
          <w:rFonts w:ascii="Aptos" w:hAnsi="Aptos" w:cstheme="minorHAnsi"/>
          <w:i/>
          <w:iCs/>
        </w:rPr>
        <w:t xml:space="preserve">W </w:t>
      </w:r>
      <w:r w:rsidR="006524A6">
        <w:rPr>
          <w:rFonts w:ascii="Aptos" w:hAnsi="Aptos" w:cstheme="minorHAnsi"/>
          <w:i/>
          <w:iCs/>
        </w:rPr>
        <w:t>kanale POS</w:t>
      </w:r>
      <w:r w:rsidR="006524A6" w:rsidRPr="00116126">
        <w:rPr>
          <w:rFonts w:ascii="Aptos" w:hAnsi="Aptos" w:cstheme="minorHAnsi"/>
          <w:i/>
          <w:iCs/>
        </w:rPr>
        <w:t xml:space="preserve"> </w:t>
      </w:r>
      <w:r w:rsidRPr="00116126">
        <w:rPr>
          <w:rFonts w:ascii="Aptos" w:hAnsi="Aptos" w:cstheme="minorHAnsi"/>
          <w:i/>
          <w:iCs/>
        </w:rPr>
        <w:t xml:space="preserve">nadal widzimy </w:t>
      </w:r>
      <w:r w:rsidR="006524A6">
        <w:rPr>
          <w:rFonts w:ascii="Aptos" w:hAnsi="Aptos" w:cstheme="minorHAnsi"/>
          <w:i/>
          <w:iCs/>
        </w:rPr>
        <w:t>ogromną</w:t>
      </w:r>
      <w:r w:rsidR="006524A6" w:rsidRPr="00116126">
        <w:rPr>
          <w:rFonts w:ascii="Aptos" w:hAnsi="Aptos" w:cstheme="minorHAnsi"/>
          <w:i/>
          <w:iCs/>
        </w:rPr>
        <w:t xml:space="preserve"> </w:t>
      </w:r>
      <w:r w:rsidRPr="00116126">
        <w:rPr>
          <w:rFonts w:ascii="Aptos" w:hAnsi="Aptos" w:cstheme="minorHAnsi"/>
          <w:i/>
          <w:iCs/>
        </w:rPr>
        <w:t xml:space="preserve">przestrzeń do wzrostu. Jednym z kolejnych </w:t>
      </w:r>
      <w:r w:rsidR="006524A6">
        <w:rPr>
          <w:rFonts w:ascii="Aptos" w:hAnsi="Aptos" w:cstheme="minorHAnsi"/>
          <w:i/>
          <w:iCs/>
        </w:rPr>
        <w:t>lewarów naszego wzro</w:t>
      </w:r>
      <w:r w:rsidR="00F73C38">
        <w:rPr>
          <w:rFonts w:ascii="Aptos" w:hAnsi="Aptos" w:cstheme="minorHAnsi"/>
          <w:i/>
          <w:iCs/>
        </w:rPr>
        <w:t>st</w:t>
      </w:r>
      <w:r w:rsidR="006524A6">
        <w:rPr>
          <w:rFonts w:ascii="Aptos" w:hAnsi="Aptos" w:cstheme="minorHAnsi"/>
          <w:i/>
          <w:iCs/>
        </w:rPr>
        <w:t>u</w:t>
      </w:r>
      <w:r w:rsidR="006524A6" w:rsidRPr="00116126">
        <w:rPr>
          <w:rFonts w:ascii="Aptos" w:hAnsi="Aptos" w:cstheme="minorHAnsi"/>
          <w:i/>
          <w:iCs/>
        </w:rPr>
        <w:t xml:space="preserve"> </w:t>
      </w:r>
      <w:r w:rsidRPr="00116126">
        <w:rPr>
          <w:rFonts w:ascii="Aptos" w:hAnsi="Aptos" w:cstheme="minorHAnsi"/>
          <w:i/>
          <w:iCs/>
        </w:rPr>
        <w:t xml:space="preserve">będzie udostępnienie płatności zbliżeniowych BLIKIEM użytkownikom </w:t>
      </w:r>
      <w:proofErr w:type="spellStart"/>
      <w:r w:rsidRPr="00116126">
        <w:rPr>
          <w:rFonts w:ascii="Aptos" w:hAnsi="Aptos" w:cstheme="minorHAnsi"/>
          <w:i/>
          <w:iCs/>
        </w:rPr>
        <w:t>iPhone’ów</w:t>
      </w:r>
      <w:proofErr w:type="spellEnd"/>
      <w:r w:rsidRPr="00116126">
        <w:rPr>
          <w:rFonts w:ascii="Aptos" w:hAnsi="Aptos" w:cstheme="minorHAnsi"/>
          <w:i/>
          <w:iCs/>
        </w:rPr>
        <w:t xml:space="preserve"> – to bardzo aktywna transakcyjnie grupa, która często wydaje na zakupy kwoty powyżej średniej. Pierwsza pilotażowa transakcja na iOS </w:t>
      </w:r>
      <w:r w:rsidR="000867C2">
        <w:rPr>
          <w:rFonts w:ascii="Aptos" w:hAnsi="Aptos" w:cstheme="minorHAnsi"/>
          <w:i/>
          <w:iCs/>
        </w:rPr>
        <w:t xml:space="preserve">w banku PKO BP </w:t>
      </w:r>
      <w:r w:rsidRPr="00116126">
        <w:rPr>
          <w:rFonts w:ascii="Aptos" w:hAnsi="Aptos" w:cstheme="minorHAnsi"/>
          <w:i/>
          <w:iCs/>
        </w:rPr>
        <w:t xml:space="preserve">jest już za nami, a </w:t>
      </w:r>
      <w:r w:rsidR="000867C2">
        <w:rPr>
          <w:rFonts w:ascii="Aptos" w:hAnsi="Aptos" w:cstheme="minorHAnsi"/>
          <w:i/>
          <w:iCs/>
        </w:rPr>
        <w:t xml:space="preserve">teraz </w:t>
      </w:r>
      <w:r w:rsidRPr="00116126">
        <w:rPr>
          <w:rFonts w:ascii="Aptos" w:hAnsi="Aptos" w:cstheme="minorHAnsi"/>
          <w:i/>
          <w:iCs/>
        </w:rPr>
        <w:t xml:space="preserve">pracujemy nad szerszym wdrożeniem usługi w perspektywie najbliższych miesięcy. Chcemy, aby doświadczenie użytkownika było równie wygodne jak w przypadku innych płatności zbliżeniowych, także z możliwością ustawienia BLIKA jako domyślnej metody płatności. </w:t>
      </w:r>
      <w:r w:rsidR="00C442DD" w:rsidRPr="00C442DD">
        <w:rPr>
          <w:rFonts w:ascii="Aptos" w:hAnsi="Aptos" w:cstheme="minorHAnsi"/>
          <w:i/>
          <w:iCs/>
        </w:rPr>
        <w:t xml:space="preserve">Zwiększenie dostępności </w:t>
      </w:r>
      <w:r w:rsidR="00C53BD6">
        <w:rPr>
          <w:rFonts w:ascii="Aptos" w:hAnsi="Aptos" w:cstheme="minorHAnsi"/>
          <w:i/>
          <w:iCs/>
        </w:rPr>
        <w:t>tej opcji</w:t>
      </w:r>
      <w:r w:rsidR="00C442DD" w:rsidRPr="00C442DD">
        <w:rPr>
          <w:rFonts w:ascii="Aptos" w:hAnsi="Aptos" w:cstheme="minorHAnsi"/>
          <w:i/>
          <w:iCs/>
        </w:rPr>
        <w:t xml:space="preserve"> powinno przełożyć się na większy udział BLIKA w transakcjach realizowanych w </w:t>
      </w:r>
      <w:r w:rsidR="0009121E">
        <w:rPr>
          <w:rFonts w:ascii="Aptos" w:hAnsi="Aptos" w:cstheme="minorHAnsi"/>
          <w:i/>
          <w:iCs/>
        </w:rPr>
        <w:t>kanale POS</w:t>
      </w:r>
      <w:r w:rsidR="00C442DD">
        <w:rPr>
          <w:rFonts w:ascii="Aptos" w:hAnsi="Aptos" w:cstheme="minorHAnsi"/>
          <w:i/>
          <w:iCs/>
        </w:rPr>
        <w:t xml:space="preserve"> </w:t>
      </w:r>
      <w:r w:rsidRPr="00116126">
        <w:rPr>
          <w:rFonts w:ascii="Aptos" w:hAnsi="Aptos" w:cstheme="minorHAnsi"/>
        </w:rPr>
        <w:t xml:space="preserve">– </w:t>
      </w:r>
      <w:r w:rsidR="00314DFD">
        <w:rPr>
          <w:rFonts w:ascii="Aptos" w:hAnsi="Aptos" w:cstheme="minorHAnsi"/>
        </w:rPr>
        <w:t>dodaje</w:t>
      </w:r>
      <w:r w:rsidR="00314DFD" w:rsidRPr="00116126">
        <w:rPr>
          <w:rFonts w:ascii="Aptos" w:hAnsi="Aptos" w:cstheme="minorHAnsi"/>
        </w:rPr>
        <w:t xml:space="preserve"> </w:t>
      </w:r>
      <w:r w:rsidR="00314DFD">
        <w:rPr>
          <w:rFonts w:ascii="Aptos" w:hAnsi="Aptos" w:cstheme="minorHAnsi"/>
        </w:rPr>
        <w:t>Katarzyna Matuszczyk</w:t>
      </w:r>
      <w:r w:rsidRPr="00116126">
        <w:rPr>
          <w:rFonts w:ascii="Aptos" w:hAnsi="Aptos" w:cstheme="minorHAnsi"/>
        </w:rPr>
        <w:t>.</w:t>
      </w:r>
    </w:p>
    <w:p w14:paraId="559E10E9" w14:textId="0A7B4263" w:rsidR="009D529D" w:rsidRPr="009D529D" w:rsidRDefault="009D529D" w:rsidP="009D529D">
      <w:pPr>
        <w:spacing w:line="276" w:lineRule="auto"/>
        <w:jc w:val="both"/>
        <w:rPr>
          <w:rFonts w:ascii="Aptos" w:hAnsi="Aptos" w:cstheme="minorHAnsi"/>
          <w:b/>
          <w:bCs/>
        </w:rPr>
      </w:pPr>
      <w:r w:rsidRPr="009D529D">
        <w:rPr>
          <w:rFonts w:ascii="Aptos" w:hAnsi="Aptos" w:cstheme="minorHAnsi"/>
          <w:b/>
          <w:bCs/>
        </w:rPr>
        <w:t>2,2 mln przelewów na telefon dziennie</w:t>
      </w:r>
    </w:p>
    <w:p w14:paraId="3C705BC3" w14:textId="51571B78" w:rsidR="000805A3" w:rsidRPr="000805A3" w:rsidRDefault="00396CB9" w:rsidP="00725F00">
      <w:pPr>
        <w:spacing w:line="276" w:lineRule="auto"/>
        <w:jc w:val="both"/>
        <w:rPr>
          <w:rFonts w:ascii="Aptos" w:hAnsi="Aptos" w:cstheme="minorHAnsi"/>
        </w:rPr>
      </w:pPr>
      <w:r w:rsidRPr="00396CB9">
        <w:rPr>
          <w:rFonts w:ascii="Aptos" w:hAnsi="Aptos" w:cstheme="minorHAnsi"/>
        </w:rPr>
        <w:t>Poza płatnościami za zakupy, BLIK jest powszechnie wykorzystywany także do szybkich rozliczeń między użytkownikami</w:t>
      </w:r>
      <w:r w:rsidR="000805A3" w:rsidRPr="000805A3">
        <w:rPr>
          <w:rFonts w:ascii="Aptos" w:hAnsi="Aptos" w:cstheme="minorHAnsi"/>
        </w:rPr>
        <w:t xml:space="preserve">. W drugim kwartale liczba takich transakcji po raz pierwszy przekroczyła 200 mln. </w:t>
      </w:r>
      <w:r w:rsidR="00851698">
        <w:rPr>
          <w:rFonts w:ascii="Aptos" w:hAnsi="Aptos" w:cstheme="minorHAnsi"/>
        </w:rPr>
        <w:t>Natomiast o</w:t>
      </w:r>
      <w:r w:rsidR="000805A3" w:rsidRPr="000805A3">
        <w:rPr>
          <w:rFonts w:ascii="Aptos" w:hAnsi="Aptos" w:cstheme="minorHAnsi"/>
        </w:rPr>
        <w:t>d stycznia do czerwca</w:t>
      </w:r>
      <w:r w:rsidR="006B7DF6">
        <w:rPr>
          <w:rFonts w:ascii="Aptos" w:hAnsi="Aptos" w:cstheme="minorHAnsi"/>
        </w:rPr>
        <w:t xml:space="preserve"> br.</w:t>
      </w:r>
      <w:r w:rsidR="000805A3" w:rsidRPr="000805A3">
        <w:rPr>
          <w:rFonts w:ascii="Aptos" w:hAnsi="Aptos" w:cstheme="minorHAnsi"/>
        </w:rPr>
        <w:t xml:space="preserve"> wykonano ich łącznie </w:t>
      </w:r>
      <w:r w:rsidR="00054CEE" w:rsidRPr="00054CEE">
        <w:rPr>
          <w:rFonts w:ascii="Aptos" w:hAnsi="Aptos" w:cstheme="minorHAnsi"/>
        </w:rPr>
        <w:t>393,6</w:t>
      </w:r>
      <w:r w:rsidR="00054CEE">
        <w:rPr>
          <w:rFonts w:ascii="Aptos" w:hAnsi="Aptos" w:cstheme="minorHAnsi"/>
        </w:rPr>
        <w:t xml:space="preserve"> </w:t>
      </w:r>
      <w:r w:rsidR="000805A3" w:rsidRPr="000805A3">
        <w:rPr>
          <w:rFonts w:ascii="Aptos" w:hAnsi="Aptos" w:cstheme="minorHAnsi"/>
        </w:rPr>
        <w:t xml:space="preserve">mln o wartości </w:t>
      </w:r>
      <w:r w:rsidR="00054CEE" w:rsidRPr="00054CEE">
        <w:rPr>
          <w:rFonts w:ascii="Aptos" w:hAnsi="Aptos" w:cstheme="minorHAnsi"/>
        </w:rPr>
        <w:t>67,6</w:t>
      </w:r>
      <w:r w:rsidR="00054CEE">
        <w:rPr>
          <w:rFonts w:ascii="Aptos" w:hAnsi="Aptos" w:cstheme="minorHAnsi"/>
        </w:rPr>
        <w:t xml:space="preserve"> </w:t>
      </w:r>
      <w:r w:rsidR="000805A3" w:rsidRPr="000805A3">
        <w:rPr>
          <w:rFonts w:ascii="Aptos" w:hAnsi="Aptos" w:cstheme="minorHAnsi"/>
        </w:rPr>
        <w:t xml:space="preserve">mld zł, co oznacza średnio 2,2 mln przelewów dziennie. Średnia kwota pojedynczej operacji wyniosła </w:t>
      </w:r>
      <w:r w:rsidR="00851698">
        <w:rPr>
          <w:rFonts w:ascii="Aptos" w:hAnsi="Aptos" w:cstheme="minorHAnsi"/>
        </w:rPr>
        <w:t xml:space="preserve">w analizowanym okresie </w:t>
      </w:r>
      <w:r w:rsidR="000805A3" w:rsidRPr="000805A3">
        <w:rPr>
          <w:rFonts w:ascii="Aptos" w:hAnsi="Aptos" w:cstheme="minorHAnsi"/>
        </w:rPr>
        <w:t>172 zł</w:t>
      </w:r>
      <w:r w:rsidR="00004D3E">
        <w:rPr>
          <w:rFonts w:ascii="Aptos" w:hAnsi="Aptos" w:cstheme="minorHAnsi"/>
        </w:rPr>
        <w:t xml:space="preserve">. </w:t>
      </w:r>
      <w:r w:rsidR="00004D3E" w:rsidRPr="00826D10">
        <w:rPr>
          <w:rFonts w:ascii="Aptos" w:hAnsi="Aptos" w:cstheme="minorHAnsi"/>
        </w:rPr>
        <w:t xml:space="preserve">W bazie P2P zarejestrowanych jest już </w:t>
      </w:r>
      <w:r w:rsidR="00AD323C" w:rsidRPr="00826D10">
        <w:rPr>
          <w:rFonts w:ascii="Aptos" w:hAnsi="Aptos" w:cstheme="minorHAnsi"/>
        </w:rPr>
        <w:t>20,7</w:t>
      </w:r>
      <w:r w:rsidR="00004D3E" w:rsidRPr="00826D10">
        <w:rPr>
          <w:rFonts w:ascii="Aptos" w:hAnsi="Aptos" w:cstheme="minorHAnsi"/>
        </w:rPr>
        <w:t xml:space="preserve"> mln użytkowników.</w:t>
      </w:r>
    </w:p>
    <w:p w14:paraId="3B3CDCEB" w14:textId="496F5263" w:rsidR="0085713E" w:rsidRDefault="0085713E" w:rsidP="00725F00">
      <w:pPr>
        <w:spacing w:line="276" w:lineRule="auto"/>
        <w:jc w:val="both"/>
        <w:rPr>
          <w:rFonts w:ascii="Aptos" w:hAnsi="Aptos" w:cstheme="minorHAnsi"/>
          <w:b/>
          <w:bCs/>
        </w:rPr>
      </w:pPr>
      <w:r w:rsidRPr="0085713E">
        <w:rPr>
          <w:rFonts w:ascii="Aptos" w:hAnsi="Aptos" w:cstheme="minorHAnsi"/>
          <w:b/>
          <w:bCs/>
        </w:rPr>
        <w:t>Gotówka nie tylko z bankomatu</w:t>
      </w:r>
    </w:p>
    <w:p w14:paraId="6DD96B4B" w14:textId="7F86318B" w:rsidR="005E71D4" w:rsidRDefault="004873BA" w:rsidP="00725F00">
      <w:pPr>
        <w:spacing w:line="276" w:lineRule="auto"/>
        <w:jc w:val="both"/>
        <w:rPr>
          <w:rFonts w:ascii="Aptos" w:hAnsi="Aptos" w:cstheme="minorHAnsi"/>
        </w:rPr>
      </w:pPr>
      <w:r w:rsidRPr="004873BA">
        <w:rPr>
          <w:rFonts w:ascii="Aptos" w:hAnsi="Aptos" w:cstheme="minorHAnsi"/>
        </w:rPr>
        <w:t xml:space="preserve">Choć operacje bankomatowe stanowią niewielką część całego wolumenu BLIKA, </w:t>
      </w:r>
      <w:r w:rsidR="00021C6A">
        <w:rPr>
          <w:rFonts w:ascii="Aptos" w:hAnsi="Aptos" w:cstheme="minorHAnsi"/>
        </w:rPr>
        <w:t>klienci banków</w:t>
      </w:r>
      <w:r w:rsidRPr="004873BA">
        <w:rPr>
          <w:rFonts w:ascii="Aptos" w:hAnsi="Aptos" w:cstheme="minorHAnsi"/>
        </w:rPr>
        <w:t xml:space="preserve"> regularnie sięgają po tę funkcję przy obsłudze gotówki. W pierwszym półroczu zrealizowali </w:t>
      </w:r>
      <w:r w:rsidR="0084470B">
        <w:rPr>
          <w:rFonts w:ascii="Aptos" w:hAnsi="Aptos" w:cstheme="minorHAnsi"/>
        </w:rPr>
        <w:t>5,6</w:t>
      </w:r>
      <w:r w:rsidRPr="004873BA">
        <w:rPr>
          <w:rFonts w:ascii="Aptos" w:hAnsi="Aptos" w:cstheme="minorHAnsi"/>
        </w:rPr>
        <w:t xml:space="preserve"> mln wpłat oraz </w:t>
      </w:r>
      <w:r w:rsidR="0084470B" w:rsidRPr="0084470B">
        <w:rPr>
          <w:rFonts w:ascii="Aptos" w:hAnsi="Aptos" w:cstheme="minorHAnsi"/>
        </w:rPr>
        <w:t xml:space="preserve">35,5 </w:t>
      </w:r>
      <w:r w:rsidRPr="004873BA">
        <w:rPr>
          <w:rFonts w:ascii="Aptos" w:hAnsi="Aptos" w:cstheme="minorHAnsi"/>
        </w:rPr>
        <w:t xml:space="preserve">mln wypłat, przy czym liczba depozytów wzrosła o 12,8 proc. r/r, a wypłat o 8,1 </w:t>
      </w:r>
      <w:r w:rsidRPr="004873BA">
        <w:rPr>
          <w:rFonts w:ascii="Aptos" w:hAnsi="Aptos" w:cstheme="minorHAnsi"/>
        </w:rPr>
        <w:lastRenderedPageBreak/>
        <w:t xml:space="preserve">proc. Uzupełnieniem tego kanału jest </w:t>
      </w:r>
      <w:proofErr w:type="spellStart"/>
      <w:r w:rsidRPr="004873BA">
        <w:rPr>
          <w:rFonts w:ascii="Aptos" w:hAnsi="Aptos" w:cstheme="minorHAnsi"/>
        </w:rPr>
        <w:t>cashback</w:t>
      </w:r>
      <w:proofErr w:type="spellEnd"/>
      <w:r w:rsidRPr="004873BA">
        <w:rPr>
          <w:rFonts w:ascii="Aptos" w:hAnsi="Aptos" w:cstheme="minorHAnsi"/>
        </w:rPr>
        <w:t xml:space="preserve"> w sklepach stacjonarnych – między styczniem a czerwcem</w:t>
      </w:r>
      <w:r w:rsidR="00474D3E">
        <w:rPr>
          <w:rFonts w:ascii="Aptos" w:hAnsi="Aptos" w:cstheme="minorHAnsi"/>
        </w:rPr>
        <w:t xml:space="preserve"> br.</w:t>
      </w:r>
      <w:r w:rsidRPr="004873BA">
        <w:rPr>
          <w:rFonts w:ascii="Aptos" w:hAnsi="Aptos" w:cstheme="minorHAnsi"/>
        </w:rPr>
        <w:t xml:space="preserve"> użytkownicy wypłacili w ten sposób gotówkę przy zakupach </w:t>
      </w:r>
      <w:r w:rsidR="00826D10">
        <w:rPr>
          <w:rFonts w:ascii="Aptos" w:hAnsi="Aptos" w:cstheme="minorHAnsi"/>
        </w:rPr>
        <w:t xml:space="preserve">700 tys. </w:t>
      </w:r>
      <w:r w:rsidRPr="004873BA">
        <w:rPr>
          <w:rFonts w:ascii="Aptos" w:hAnsi="Aptos" w:cstheme="minorHAnsi"/>
        </w:rPr>
        <w:t>razy,</w:t>
      </w:r>
      <w:r w:rsidR="00474D3E">
        <w:rPr>
          <w:rFonts w:ascii="Aptos" w:hAnsi="Aptos" w:cstheme="minorHAnsi"/>
        </w:rPr>
        <w:t xml:space="preserve"> to </w:t>
      </w:r>
      <w:r w:rsidRPr="004873BA">
        <w:rPr>
          <w:rFonts w:ascii="Aptos" w:hAnsi="Aptos" w:cstheme="minorHAnsi"/>
        </w:rPr>
        <w:t>o 135 proc. więcej niż rok wcześniej.</w:t>
      </w:r>
    </w:p>
    <w:p w14:paraId="2480860F" w14:textId="02546B83" w:rsidR="00DA6B7D" w:rsidRPr="002500C4" w:rsidRDefault="00DA6B7D" w:rsidP="00DA6B7D">
      <w:pPr>
        <w:spacing w:line="276" w:lineRule="auto"/>
        <w:rPr>
          <w:rFonts w:ascii="Aptos" w:hAnsi="Aptos" w:cstheme="minorHAnsi"/>
          <w:b/>
          <w:bCs/>
        </w:rPr>
      </w:pPr>
      <w:r w:rsidRPr="002500C4">
        <w:rPr>
          <w:rFonts w:ascii="Aptos" w:hAnsi="Aptos" w:cstheme="minorHAnsi"/>
          <w:b/>
          <w:bCs/>
        </w:rPr>
        <w:t>Skala działalności przekłada się na wyniki finansowe</w:t>
      </w:r>
    </w:p>
    <w:p w14:paraId="31E501C8" w14:textId="78A5689C" w:rsidR="00DA6B7D" w:rsidRPr="00DA6B7D" w:rsidRDefault="00DA6B7D" w:rsidP="002500C4">
      <w:pPr>
        <w:spacing w:line="276" w:lineRule="auto"/>
        <w:jc w:val="both"/>
        <w:rPr>
          <w:rFonts w:ascii="Aptos" w:hAnsi="Aptos" w:cstheme="minorHAnsi"/>
        </w:rPr>
      </w:pPr>
      <w:r w:rsidRPr="00DA6B7D">
        <w:rPr>
          <w:rFonts w:ascii="Aptos" w:hAnsi="Aptos" w:cstheme="minorHAnsi"/>
        </w:rPr>
        <w:t>Wzrost liczby i wartości transakcji BLIKIEM znajduje odzwierciedlenie w wynikach operatora systemu. W 2025 roku przychody Polskiego Standardu Płatności zwiększyły się o 16 proc., do 489,</w:t>
      </w:r>
      <w:r w:rsidR="00214242">
        <w:rPr>
          <w:rFonts w:ascii="Aptos" w:hAnsi="Aptos" w:cstheme="minorHAnsi"/>
        </w:rPr>
        <w:t>5</w:t>
      </w:r>
      <w:r w:rsidRPr="00DA6B7D">
        <w:rPr>
          <w:rFonts w:ascii="Aptos" w:hAnsi="Aptos" w:cstheme="minorHAnsi"/>
        </w:rPr>
        <w:t xml:space="preserve"> mln zł, a zysk netto wyniósł 1</w:t>
      </w:r>
      <w:r w:rsidR="00214242">
        <w:rPr>
          <w:rFonts w:ascii="Aptos" w:hAnsi="Aptos" w:cstheme="minorHAnsi"/>
        </w:rPr>
        <w:t>98</w:t>
      </w:r>
      <w:r w:rsidRPr="00DA6B7D">
        <w:rPr>
          <w:rFonts w:ascii="Aptos" w:hAnsi="Aptos" w:cstheme="minorHAnsi"/>
        </w:rPr>
        <w:t>,</w:t>
      </w:r>
      <w:r w:rsidR="00214242">
        <w:rPr>
          <w:rFonts w:ascii="Aptos" w:hAnsi="Aptos" w:cstheme="minorHAnsi"/>
        </w:rPr>
        <w:t>1</w:t>
      </w:r>
      <w:r w:rsidRPr="00DA6B7D">
        <w:rPr>
          <w:rFonts w:ascii="Aptos" w:hAnsi="Aptos" w:cstheme="minorHAnsi"/>
        </w:rPr>
        <w:t xml:space="preserve"> mln zł. Marża EBITDA ukształtowała się na poziomie 4</w:t>
      </w:r>
      <w:r w:rsidR="00214242">
        <w:rPr>
          <w:rFonts w:ascii="Aptos" w:hAnsi="Aptos" w:cstheme="minorHAnsi"/>
        </w:rPr>
        <w:t>7</w:t>
      </w:r>
      <w:r w:rsidRPr="00DA6B7D">
        <w:rPr>
          <w:rFonts w:ascii="Aptos" w:hAnsi="Aptos" w:cstheme="minorHAnsi"/>
        </w:rPr>
        <w:t xml:space="preserve"> proc. Jednocześnie spółka zwiększyła nakłady na technologię, rozwój usług oraz projekty prowadzone poza Polską.</w:t>
      </w:r>
    </w:p>
    <w:p w14:paraId="711773F1" w14:textId="50E216CA" w:rsidR="00016C2F" w:rsidRDefault="00DA6B7D" w:rsidP="001B4A16">
      <w:pPr>
        <w:spacing w:line="276" w:lineRule="auto"/>
        <w:jc w:val="both"/>
        <w:rPr>
          <w:rFonts w:ascii="Aptos" w:hAnsi="Aptos" w:cstheme="minorHAnsi"/>
        </w:rPr>
      </w:pPr>
      <w:r w:rsidRPr="00DA6B7D">
        <w:rPr>
          <w:rFonts w:ascii="Aptos" w:hAnsi="Aptos" w:cstheme="minorHAnsi"/>
        </w:rPr>
        <w:t xml:space="preserve">– </w:t>
      </w:r>
      <w:r w:rsidR="00490C89" w:rsidRPr="00490C89">
        <w:rPr>
          <w:rFonts w:ascii="Aptos" w:hAnsi="Aptos" w:cstheme="minorHAnsi"/>
          <w:i/>
          <w:iCs/>
        </w:rPr>
        <w:t>Skala działalności BLIKA pozwala nam finansować inwestycje z własnej działalności i prowadzić równolegle kilka dużych projektów.</w:t>
      </w:r>
      <w:r w:rsidR="00D46DDA" w:rsidRPr="00D46DDA">
        <w:t xml:space="preserve"> </w:t>
      </w:r>
      <w:r w:rsidR="00D46DDA" w:rsidRPr="00F47DB8">
        <w:rPr>
          <w:i/>
          <w:iCs/>
        </w:rPr>
        <w:t>K</w:t>
      </w:r>
      <w:r w:rsidR="00D46DDA" w:rsidRPr="00D46DDA">
        <w:rPr>
          <w:rFonts w:ascii="Aptos" w:hAnsi="Aptos" w:cstheme="minorHAnsi"/>
          <w:i/>
          <w:iCs/>
        </w:rPr>
        <w:t xml:space="preserve">apitał </w:t>
      </w:r>
      <w:r w:rsidR="002C298B">
        <w:rPr>
          <w:rFonts w:ascii="Aptos" w:hAnsi="Aptos" w:cstheme="minorHAnsi"/>
          <w:i/>
          <w:iCs/>
        </w:rPr>
        <w:t>inwestujemy</w:t>
      </w:r>
      <w:r w:rsidR="00D46DDA" w:rsidRPr="00D46DDA">
        <w:rPr>
          <w:rFonts w:ascii="Aptos" w:hAnsi="Aptos" w:cstheme="minorHAnsi"/>
          <w:i/>
          <w:iCs/>
        </w:rPr>
        <w:t xml:space="preserve"> przede wszystkim w rozwój technologii i nowych usług, bezpieczeństwo systemu oraz ekspansję na kolejnych rynkach. Możemy dzięki temu </w:t>
      </w:r>
      <w:r w:rsidR="002C298B">
        <w:rPr>
          <w:rFonts w:ascii="Aptos" w:hAnsi="Aptos" w:cstheme="minorHAnsi"/>
          <w:i/>
          <w:iCs/>
        </w:rPr>
        <w:t>planować</w:t>
      </w:r>
      <w:r w:rsidR="00D46DDA" w:rsidRPr="00D46DDA">
        <w:rPr>
          <w:rFonts w:ascii="Aptos" w:hAnsi="Aptos" w:cstheme="minorHAnsi"/>
          <w:i/>
          <w:iCs/>
        </w:rPr>
        <w:t xml:space="preserve"> z wyprzedzeniem – budować rozwiązania i infrastrukturę, które będą odpowiadały za kolejne źródła wzrostu BLIKA w następnych latach</w:t>
      </w:r>
      <w:r w:rsidR="00D46DDA">
        <w:rPr>
          <w:rFonts w:ascii="Aptos" w:hAnsi="Aptos" w:cstheme="minorHAnsi"/>
          <w:i/>
          <w:iCs/>
        </w:rPr>
        <w:t xml:space="preserve"> </w:t>
      </w:r>
      <w:r w:rsidRPr="00DA6B7D">
        <w:rPr>
          <w:rFonts w:ascii="Aptos" w:hAnsi="Aptos" w:cstheme="minorHAnsi"/>
        </w:rPr>
        <w:t xml:space="preserve">– </w:t>
      </w:r>
      <w:r w:rsidR="00314DFD">
        <w:rPr>
          <w:rFonts w:ascii="Aptos" w:hAnsi="Aptos" w:cstheme="minorHAnsi"/>
        </w:rPr>
        <w:t>podkreśla Monika Król</w:t>
      </w:r>
      <w:r w:rsidRPr="00DA6B7D">
        <w:rPr>
          <w:rFonts w:ascii="Aptos" w:hAnsi="Aptos" w:cstheme="minorHAnsi"/>
        </w:rPr>
        <w:t>.</w:t>
      </w:r>
    </w:p>
    <w:p w14:paraId="1AA28815" w14:textId="2245F6BD" w:rsidR="00B54CA2" w:rsidRPr="00E71F48" w:rsidRDefault="00680568" w:rsidP="00B54CA2">
      <w:pPr>
        <w:spacing w:line="276" w:lineRule="auto"/>
        <w:jc w:val="center"/>
        <w:rPr>
          <w:rFonts w:ascii="Aptos" w:hAnsi="Aptos" w:cstheme="minorHAnsi"/>
        </w:rPr>
      </w:pPr>
      <w:r>
        <w:rPr>
          <w:rFonts w:ascii="Aptos" w:hAnsi="Aptos" w:cstheme="minorHAnsi"/>
        </w:rPr>
        <w:br/>
      </w:r>
      <w:r w:rsidR="00B54CA2" w:rsidRPr="00E71F48">
        <w:rPr>
          <w:rFonts w:ascii="Aptos" w:hAnsi="Aptos" w:cstheme="minorHAnsi"/>
        </w:rPr>
        <w:t>***</w:t>
      </w:r>
    </w:p>
    <w:p w14:paraId="73E05793" w14:textId="0C91294A" w:rsidR="00567D4D" w:rsidRPr="00680568" w:rsidRDefault="00567D4D" w:rsidP="00567D4D">
      <w:pPr>
        <w:jc w:val="both"/>
        <w:rPr>
          <w:rFonts w:ascii="Aptos" w:hAnsi="Aptos" w:cstheme="minorHAnsi"/>
          <w:sz w:val="20"/>
          <w:szCs w:val="20"/>
        </w:rPr>
      </w:pPr>
      <w:r w:rsidRPr="00680568">
        <w:rPr>
          <w:rFonts w:ascii="Aptos" w:hAnsi="Aptos" w:cstheme="minorHAnsi"/>
          <w:b/>
          <w:sz w:val="20"/>
          <w:szCs w:val="20"/>
        </w:rPr>
        <w:t>BLIK</w:t>
      </w:r>
      <w:r w:rsidRPr="00680568">
        <w:rPr>
          <w:rFonts w:ascii="Aptos" w:hAnsi="Aptos" w:cstheme="minorHAnsi"/>
          <w:sz w:val="20"/>
          <w:szCs w:val="20"/>
        </w:rPr>
        <w:t xml:space="preserve"> to powszechny standard płatności mobilnych. Możliwość skorzystania z BLIKA w aplikacjach bankowości mobilnej ma obecnie praktycznie każdy z klientów krajowych instytucji płatniczych oferujących aplikację mobilną. Za rozwój systemu odpowiada spółka Polski Standard Płatności (PSP). PSP stale rozwija możliwości BLIKA tak, aby system był jak najbardziej funkcjonalny dla jego użytkowników. Udziałowcami spółki PSP są: Alior Bank, Bank Millennium, </w:t>
      </w:r>
      <w:r w:rsidR="00D84EB4">
        <w:rPr>
          <w:rFonts w:ascii="Aptos" w:hAnsi="Aptos" w:cstheme="minorHAnsi"/>
          <w:sz w:val="20"/>
          <w:szCs w:val="20"/>
        </w:rPr>
        <w:t>Erste</w:t>
      </w:r>
      <w:r w:rsidR="00D84EB4" w:rsidRPr="00680568">
        <w:rPr>
          <w:rFonts w:ascii="Aptos" w:hAnsi="Aptos" w:cstheme="minorHAnsi"/>
          <w:sz w:val="20"/>
          <w:szCs w:val="20"/>
        </w:rPr>
        <w:t xml:space="preserve"> </w:t>
      </w:r>
      <w:r w:rsidRPr="00680568">
        <w:rPr>
          <w:rFonts w:ascii="Aptos" w:hAnsi="Aptos" w:cstheme="minorHAnsi"/>
          <w:sz w:val="20"/>
          <w:szCs w:val="20"/>
        </w:rPr>
        <w:t>Bank Polska, ING Bank Śląski, mBank, PKO Bank Polski oraz Mastercard.</w:t>
      </w:r>
    </w:p>
    <w:p w14:paraId="6F30E737" w14:textId="77777777" w:rsidR="009A4C4F" w:rsidRPr="00680568" w:rsidRDefault="009A4C4F" w:rsidP="00B54CA2">
      <w:pPr>
        <w:spacing w:line="276" w:lineRule="auto"/>
        <w:jc w:val="both"/>
        <w:rPr>
          <w:rFonts w:ascii="Aptos" w:hAnsi="Aptos" w:cstheme="minorHAnsi"/>
          <w:b/>
          <w:sz w:val="20"/>
          <w:szCs w:val="20"/>
        </w:rPr>
      </w:pPr>
    </w:p>
    <w:p w14:paraId="684B5FF9" w14:textId="2B7CD62B" w:rsidR="00B54CA2" w:rsidRPr="00680568" w:rsidRDefault="00B54CA2" w:rsidP="00B54CA2">
      <w:pPr>
        <w:spacing w:line="276" w:lineRule="auto"/>
        <w:jc w:val="both"/>
        <w:rPr>
          <w:rFonts w:ascii="Aptos" w:hAnsi="Aptos" w:cstheme="minorHAnsi"/>
          <w:b/>
          <w:sz w:val="20"/>
          <w:szCs w:val="20"/>
        </w:rPr>
      </w:pPr>
      <w:r w:rsidRPr="00680568">
        <w:rPr>
          <w:rFonts w:ascii="Aptos" w:hAnsi="Aptos" w:cstheme="minorHAnsi"/>
          <w:b/>
          <w:sz w:val="20"/>
          <w:szCs w:val="20"/>
        </w:rPr>
        <w:t>Kontakt dla mediów:</w:t>
      </w:r>
    </w:p>
    <w:p w14:paraId="2EADC533" w14:textId="77777777" w:rsidR="00B54CA2" w:rsidRPr="00680568" w:rsidRDefault="00B54CA2" w:rsidP="00B54CA2">
      <w:pPr>
        <w:spacing w:after="0" w:line="276" w:lineRule="auto"/>
        <w:jc w:val="both"/>
        <w:rPr>
          <w:rFonts w:ascii="Aptos" w:hAnsi="Aptos" w:cstheme="minorHAnsi"/>
          <w:sz w:val="20"/>
          <w:szCs w:val="20"/>
        </w:rPr>
      </w:pPr>
      <w:r w:rsidRPr="00680568">
        <w:rPr>
          <w:rFonts w:ascii="Aptos" w:hAnsi="Aptos" w:cstheme="minorHAnsi"/>
          <w:sz w:val="20"/>
          <w:szCs w:val="20"/>
        </w:rPr>
        <w:t>Klaudia Rombalska</w:t>
      </w:r>
    </w:p>
    <w:p w14:paraId="5B730506" w14:textId="504C82E2" w:rsidR="00B54CA2" w:rsidRPr="00680568" w:rsidRDefault="00B54CA2" w:rsidP="00B54CA2">
      <w:pPr>
        <w:spacing w:after="0" w:line="276" w:lineRule="auto"/>
        <w:jc w:val="both"/>
        <w:rPr>
          <w:rFonts w:ascii="Aptos" w:hAnsi="Aptos" w:cstheme="minorHAnsi"/>
          <w:sz w:val="20"/>
          <w:szCs w:val="20"/>
        </w:rPr>
      </w:pPr>
      <w:r w:rsidRPr="00680568">
        <w:rPr>
          <w:rFonts w:ascii="Aptos" w:hAnsi="Aptos" w:cstheme="minorHAnsi"/>
          <w:sz w:val="20"/>
          <w:szCs w:val="20"/>
        </w:rPr>
        <w:t>Biuro prasowe BLIK</w:t>
      </w:r>
    </w:p>
    <w:p w14:paraId="1245FE1C" w14:textId="345F39AA" w:rsidR="00B022A7" w:rsidRPr="00E71F48" w:rsidRDefault="008A1A3E" w:rsidP="0025439C">
      <w:pPr>
        <w:spacing w:after="0" w:line="276" w:lineRule="auto"/>
        <w:rPr>
          <w:rFonts w:ascii="Aptos" w:hAnsi="Aptos" w:cstheme="minorHAnsi"/>
        </w:rPr>
      </w:pPr>
      <w:hyperlink w:history="1">
        <w:r w:rsidRPr="00680568">
          <w:rPr>
            <w:rFonts w:ascii="Aptos" w:hAnsi="Aptos" w:cstheme="minorHAnsi"/>
            <w:sz w:val="20"/>
            <w:szCs w:val="20"/>
          </w:rPr>
          <w:t>klaudia.rombalska@clearcom.pl</w:t>
        </w:r>
      </w:hyperlink>
      <w:r w:rsidRPr="00680568">
        <w:rPr>
          <w:rFonts w:ascii="Aptos" w:hAnsi="Aptos" w:cstheme="minorHAnsi"/>
          <w:sz w:val="20"/>
          <w:szCs w:val="20"/>
        </w:rPr>
        <w:t xml:space="preserve"> </w:t>
      </w:r>
    </w:p>
    <w:sectPr w:rsidR="00B022A7" w:rsidRPr="00E71F4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271B5" w14:textId="77777777" w:rsidR="000E5F9B" w:rsidRDefault="000E5F9B" w:rsidP="009A0537">
      <w:pPr>
        <w:spacing w:after="0" w:line="240" w:lineRule="auto"/>
      </w:pPr>
      <w:r>
        <w:separator/>
      </w:r>
    </w:p>
  </w:endnote>
  <w:endnote w:type="continuationSeparator" w:id="0">
    <w:p w14:paraId="25933F22" w14:textId="77777777" w:rsidR="000E5F9B" w:rsidRDefault="000E5F9B" w:rsidP="009A0537">
      <w:pPr>
        <w:spacing w:after="0" w:line="240" w:lineRule="auto"/>
      </w:pPr>
      <w:r>
        <w:continuationSeparator/>
      </w:r>
    </w:p>
  </w:endnote>
  <w:endnote w:type="continuationNotice" w:id="1">
    <w:p w14:paraId="4F03E8BC" w14:textId="77777777" w:rsidR="000E5F9B" w:rsidRDefault="000E5F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1184D" w14:textId="77777777" w:rsidR="000E5F9B" w:rsidRDefault="000E5F9B" w:rsidP="009A0537">
      <w:pPr>
        <w:spacing w:after="0" w:line="240" w:lineRule="auto"/>
      </w:pPr>
      <w:r>
        <w:separator/>
      </w:r>
    </w:p>
  </w:footnote>
  <w:footnote w:type="continuationSeparator" w:id="0">
    <w:p w14:paraId="5FDA6BBB" w14:textId="77777777" w:rsidR="000E5F9B" w:rsidRDefault="000E5F9B" w:rsidP="009A0537">
      <w:pPr>
        <w:spacing w:after="0" w:line="240" w:lineRule="auto"/>
      </w:pPr>
      <w:r>
        <w:continuationSeparator/>
      </w:r>
    </w:p>
  </w:footnote>
  <w:footnote w:type="continuationNotice" w:id="1">
    <w:p w14:paraId="66D352F9" w14:textId="77777777" w:rsidR="000E5F9B" w:rsidRDefault="000E5F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F4D7C" w14:textId="77777777" w:rsidR="00BC133C" w:rsidRDefault="00BC133C" w:rsidP="00320222">
    <w:pPr>
      <w:pStyle w:val="a"/>
      <w:tabs>
        <w:tab w:val="left" w:pos="1236"/>
      </w:tabs>
    </w:pPr>
    <w:r>
      <w:rPr>
        <w:noProof/>
        <w:lang w:eastAsia="pl-PL"/>
      </w:rPr>
      <w:drawing>
        <wp:anchor distT="0" distB="0" distL="114300" distR="114300" simplePos="0" relativeHeight="251658241" behindDoc="0" locked="0" layoutInCell="1" allowOverlap="1" wp14:anchorId="424BCDD2" wp14:editId="44EF1818">
          <wp:simplePos x="0" y="0"/>
          <wp:positionH relativeFrom="margin">
            <wp:align>right</wp:align>
          </wp:positionH>
          <wp:positionV relativeFrom="topMargin">
            <wp:posOffset>461010</wp:posOffset>
          </wp:positionV>
          <wp:extent cx="1037590" cy="559435"/>
          <wp:effectExtent l="0" t="0" r="0" b="0"/>
          <wp:wrapSquare wrapText="bothSides"/>
          <wp:docPr id="10" name="Obraz 10"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Obraz zawierający logo&#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037590" cy="559435"/>
                  </a:xfrm>
                  <a:prstGeom prst="rect">
                    <a:avLst/>
                  </a:prstGeom>
                </pic:spPr>
              </pic:pic>
            </a:graphicData>
          </a:graphic>
        </wp:anchor>
      </w:drawing>
    </w:r>
    <w:r>
      <w:rPr>
        <w:noProof/>
        <w:lang w:eastAsia="pl-PL"/>
      </w:rPr>
      <w:drawing>
        <wp:anchor distT="0" distB="0" distL="114300" distR="114300" simplePos="0" relativeHeight="251658240" behindDoc="1" locked="0" layoutInCell="1" allowOverlap="1" wp14:anchorId="65ECC895" wp14:editId="69A94345">
          <wp:simplePos x="0" y="0"/>
          <wp:positionH relativeFrom="margin">
            <wp:align>left</wp:align>
          </wp:positionH>
          <wp:positionV relativeFrom="paragraph">
            <wp:posOffset>-271145</wp:posOffset>
          </wp:positionV>
          <wp:extent cx="1811655" cy="1095375"/>
          <wp:effectExtent l="0" t="0" r="0" b="0"/>
          <wp:wrapNone/>
          <wp:docPr id="9" name="Obraz 9" descr="Obraz zawierający symbol, zrzut ekranu, Grafik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Obraz zawierający symbol, zrzut ekranu, Grafika, Czcionka&#10;&#10;Opis wygenerowany automatycznie"/>
                  <pic:cNvPicPr>
                    <a:picLocks noChangeAspect="1" noChangeArrowheads="1"/>
                  </pic:cNvPicPr>
                </pic:nvPicPr>
                <pic:blipFill>
                  <a:blip r:embed="rId2"/>
                  <a:srcRect/>
                  <a:stretch>
                    <a:fillRect/>
                  </a:stretch>
                </pic:blipFill>
                <pic:spPr bwMode="auto">
                  <a:xfrm>
                    <a:off x="0" y="0"/>
                    <a:ext cx="1811655" cy="1095375"/>
                  </a:xfrm>
                  <a:prstGeom prst="rect">
                    <a:avLst/>
                  </a:prstGeom>
                  <a:noFill/>
                </pic:spPr>
              </pic:pic>
            </a:graphicData>
          </a:graphic>
        </wp:anchor>
      </w:drawing>
    </w:r>
    <w:r w:rsidR="00320222">
      <w:tab/>
    </w:r>
  </w:p>
  <w:p w14:paraId="2A3C6C9C" w14:textId="77777777" w:rsidR="00BC133C" w:rsidRDefault="00BC133C">
    <w:pPr>
      <w:pStyle w:val="a"/>
    </w:pPr>
  </w:p>
  <w:p w14:paraId="6B1F58FD" w14:textId="77777777" w:rsidR="00BC133C" w:rsidRDefault="00320222" w:rsidP="00320222">
    <w:pPr>
      <w:pStyle w:val="a"/>
      <w:tabs>
        <w:tab w:val="left" w:pos="1692"/>
      </w:tabs>
    </w:pPr>
    <w:r>
      <w:tab/>
    </w:r>
  </w:p>
  <w:p w14:paraId="2CA5C438" w14:textId="77777777" w:rsidR="00BC133C" w:rsidRDefault="00BC133C">
    <w:pPr>
      <w:pStyle w:val="a"/>
    </w:pPr>
  </w:p>
  <w:p w14:paraId="6E6557CE" w14:textId="77777777" w:rsidR="009A0537" w:rsidRDefault="009A0537">
    <w:pPr>
      <w:pStyle w:val="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2A4D93"/>
    <w:multiLevelType w:val="hybridMultilevel"/>
    <w:tmpl w:val="82380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2048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I0Mzc0tzQwNTMztDRW0lEKTi0uzszPAykwrgUA2Tw+0ywAAAA="/>
  </w:docVars>
  <w:rsids>
    <w:rsidRoot w:val="009A1E8C"/>
    <w:rsid w:val="0000147B"/>
    <w:rsid w:val="00003C82"/>
    <w:rsid w:val="00004D3E"/>
    <w:rsid w:val="0000680B"/>
    <w:rsid w:val="000115FD"/>
    <w:rsid w:val="00016C2F"/>
    <w:rsid w:val="00021C6A"/>
    <w:rsid w:val="0002400E"/>
    <w:rsid w:val="00024080"/>
    <w:rsid w:val="00027191"/>
    <w:rsid w:val="00031596"/>
    <w:rsid w:val="00031A1B"/>
    <w:rsid w:val="00032BB3"/>
    <w:rsid w:val="00032D14"/>
    <w:rsid w:val="00034137"/>
    <w:rsid w:val="00034619"/>
    <w:rsid w:val="00035030"/>
    <w:rsid w:val="0003599D"/>
    <w:rsid w:val="00044A73"/>
    <w:rsid w:val="0004720B"/>
    <w:rsid w:val="00047C00"/>
    <w:rsid w:val="00054CEE"/>
    <w:rsid w:val="00055FA9"/>
    <w:rsid w:val="000567CD"/>
    <w:rsid w:val="000660BF"/>
    <w:rsid w:val="000718CC"/>
    <w:rsid w:val="00072725"/>
    <w:rsid w:val="00074C7B"/>
    <w:rsid w:val="000805A3"/>
    <w:rsid w:val="00081278"/>
    <w:rsid w:val="00085342"/>
    <w:rsid w:val="00085992"/>
    <w:rsid w:val="000867C2"/>
    <w:rsid w:val="0009121E"/>
    <w:rsid w:val="00091B75"/>
    <w:rsid w:val="00092209"/>
    <w:rsid w:val="000923AC"/>
    <w:rsid w:val="000A1E8B"/>
    <w:rsid w:val="000A372D"/>
    <w:rsid w:val="000A51FF"/>
    <w:rsid w:val="000B07ED"/>
    <w:rsid w:val="000B1453"/>
    <w:rsid w:val="000B33F2"/>
    <w:rsid w:val="000B5EEF"/>
    <w:rsid w:val="000B62F3"/>
    <w:rsid w:val="000C19B8"/>
    <w:rsid w:val="000C52BC"/>
    <w:rsid w:val="000C6044"/>
    <w:rsid w:val="000D2A8C"/>
    <w:rsid w:val="000D3180"/>
    <w:rsid w:val="000D7918"/>
    <w:rsid w:val="000D7CA0"/>
    <w:rsid w:val="000E17A1"/>
    <w:rsid w:val="000E4564"/>
    <w:rsid w:val="000E4E2F"/>
    <w:rsid w:val="000E5F9B"/>
    <w:rsid w:val="000F5607"/>
    <w:rsid w:val="000F5B37"/>
    <w:rsid w:val="00101ABA"/>
    <w:rsid w:val="00102333"/>
    <w:rsid w:val="00104280"/>
    <w:rsid w:val="00112633"/>
    <w:rsid w:val="00115830"/>
    <w:rsid w:val="00116126"/>
    <w:rsid w:val="00116486"/>
    <w:rsid w:val="001165F4"/>
    <w:rsid w:val="00116EDD"/>
    <w:rsid w:val="00121251"/>
    <w:rsid w:val="00123E8B"/>
    <w:rsid w:val="001251F5"/>
    <w:rsid w:val="0012645B"/>
    <w:rsid w:val="001326B4"/>
    <w:rsid w:val="00132E43"/>
    <w:rsid w:val="001338B2"/>
    <w:rsid w:val="001342E0"/>
    <w:rsid w:val="00134DD8"/>
    <w:rsid w:val="001358E4"/>
    <w:rsid w:val="00136BFF"/>
    <w:rsid w:val="0014379C"/>
    <w:rsid w:val="001467EB"/>
    <w:rsid w:val="001469C0"/>
    <w:rsid w:val="00146C2D"/>
    <w:rsid w:val="00147BEE"/>
    <w:rsid w:val="001500D6"/>
    <w:rsid w:val="00150FF3"/>
    <w:rsid w:val="00151143"/>
    <w:rsid w:val="0015235C"/>
    <w:rsid w:val="00154D3E"/>
    <w:rsid w:val="001559B1"/>
    <w:rsid w:val="001567CF"/>
    <w:rsid w:val="001610D3"/>
    <w:rsid w:val="00166EE7"/>
    <w:rsid w:val="001675D4"/>
    <w:rsid w:val="001756E8"/>
    <w:rsid w:val="00182BE1"/>
    <w:rsid w:val="001845F5"/>
    <w:rsid w:val="00184B56"/>
    <w:rsid w:val="00185041"/>
    <w:rsid w:val="00185391"/>
    <w:rsid w:val="001876EF"/>
    <w:rsid w:val="001908CF"/>
    <w:rsid w:val="00190C93"/>
    <w:rsid w:val="00191BA5"/>
    <w:rsid w:val="0019219C"/>
    <w:rsid w:val="001923E8"/>
    <w:rsid w:val="00192C23"/>
    <w:rsid w:val="00193865"/>
    <w:rsid w:val="001A4A55"/>
    <w:rsid w:val="001A562C"/>
    <w:rsid w:val="001A6161"/>
    <w:rsid w:val="001B49D0"/>
    <w:rsid w:val="001B4A16"/>
    <w:rsid w:val="001B57B8"/>
    <w:rsid w:val="001C2225"/>
    <w:rsid w:val="001C7C45"/>
    <w:rsid w:val="001D3E76"/>
    <w:rsid w:val="001D5BC3"/>
    <w:rsid w:val="001E18B2"/>
    <w:rsid w:val="001E4F66"/>
    <w:rsid w:val="001E7C93"/>
    <w:rsid w:val="001F44A3"/>
    <w:rsid w:val="001F66D9"/>
    <w:rsid w:val="0020021E"/>
    <w:rsid w:val="00200ADA"/>
    <w:rsid w:val="00200EB7"/>
    <w:rsid w:val="002039CB"/>
    <w:rsid w:val="00204D40"/>
    <w:rsid w:val="00210101"/>
    <w:rsid w:val="00212E6F"/>
    <w:rsid w:val="002137EC"/>
    <w:rsid w:val="00214242"/>
    <w:rsid w:val="00231E65"/>
    <w:rsid w:val="00233AF0"/>
    <w:rsid w:val="00233C34"/>
    <w:rsid w:val="00237E74"/>
    <w:rsid w:val="00242B3C"/>
    <w:rsid w:val="0024309B"/>
    <w:rsid w:val="00247A16"/>
    <w:rsid w:val="002500C4"/>
    <w:rsid w:val="002514D5"/>
    <w:rsid w:val="00251B0A"/>
    <w:rsid w:val="0025439C"/>
    <w:rsid w:val="002561BF"/>
    <w:rsid w:val="00256CF5"/>
    <w:rsid w:val="00257B6F"/>
    <w:rsid w:val="0026107E"/>
    <w:rsid w:val="00261A85"/>
    <w:rsid w:val="00262419"/>
    <w:rsid w:val="00267673"/>
    <w:rsid w:val="00267780"/>
    <w:rsid w:val="002723F4"/>
    <w:rsid w:val="002735F4"/>
    <w:rsid w:val="0027568C"/>
    <w:rsid w:val="002836DD"/>
    <w:rsid w:val="002845D1"/>
    <w:rsid w:val="002867F4"/>
    <w:rsid w:val="00291202"/>
    <w:rsid w:val="00292A12"/>
    <w:rsid w:val="00293607"/>
    <w:rsid w:val="0029388B"/>
    <w:rsid w:val="002938C5"/>
    <w:rsid w:val="002943FA"/>
    <w:rsid w:val="00297111"/>
    <w:rsid w:val="002A1BE4"/>
    <w:rsid w:val="002A3642"/>
    <w:rsid w:val="002A5619"/>
    <w:rsid w:val="002A5A1F"/>
    <w:rsid w:val="002A6FD8"/>
    <w:rsid w:val="002A71AF"/>
    <w:rsid w:val="002B2C85"/>
    <w:rsid w:val="002B7E3E"/>
    <w:rsid w:val="002C298B"/>
    <w:rsid w:val="002C39DB"/>
    <w:rsid w:val="002C3F7F"/>
    <w:rsid w:val="002C5268"/>
    <w:rsid w:val="002C64EC"/>
    <w:rsid w:val="002D65DD"/>
    <w:rsid w:val="002D7849"/>
    <w:rsid w:val="002E2F5A"/>
    <w:rsid w:val="002E630D"/>
    <w:rsid w:val="002E6DBE"/>
    <w:rsid w:val="002E73C7"/>
    <w:rsid w:val="002E7FB0"/>
    <w:rsid w:val="002F1515"/>
    <w:rsid w:val="002F4A50"/>
    <w:rsid w:val="002F5C90"/>
    <w:rsid w:val="00303A3F"/>
    <w:rsid w:val="00304BEB"/>
    <w:rsid w:val="00305874"/>
    <w:rsid w:val="00314A69"/>
    <w:rsid w:val="00314DFD"/>
    <w:rsid w:val="003176F1"/>
    <w:rsid w:val="00320222"/>
    <w:rsid w:val="00320D57"/>
    <w:rsid w:val="00321E8A"/>
    <w:rsid w:val="00332173"/>
    <w:rsid w:val="003347C8"/>
    <w:rsid w:val="00334852"/>
    <w:rsid w:val="00340EDC"/>
    <w:rsid w:val="003511A2"/>
    <w:rsid w:val="00352161"/>
    <w:rsid w:val="00352444"/>
    <w:rsid w:val="00352BA9"/>
    <w:rsid w:val="00360DC7"/>
    <w:rsid w:val="0036795F"/>
    <w:rsid w:val="00370588"/>
    <w:rsid w:val="003707CA"/>
    <w:rsid w:val="003751BE"/>
    <w:rsid w:val="003812F9"/>
    <w:rsid w:val="00392F6A"/>
    <w:rsid w:val="00393A23"/>
    <w:rsid w:val="00394AF5"/>
    <w:rsid w:val="00394F8A"/>
    <w:rsid w:val="003957CE"/>
    <w:rsid w:val="00396CB9"/>
    <w:rsid w:val="003A27F3"/>
    <w:rsid w:val="003A42EF"/>
    <w:rsid w:val="003A48F9"/>
    <w:rsid w:val="003B24BD"/>
    <w:rsid w:val="003B3FCA"/>
    <w:rsid w:val="003B6B2D"/>
    <w:rsid w:val="003B7333"/>
    <w:rsid w:val="003B75B7"/>
    <w:rsid w:val="003C0167"/>
    <w:rsid w:val="003C2FF7"/>
    <w:rsid w:val="003C344C"/>
    <w:rsid w:val="003C3EC5"/>
    <w:rsid w:val="003C5747"/>
    <w:rsid w:val="003C7162"/>
    <w:rsid w:val="003D0B85"/>
    <w:rsid w:val="003D0C1B"/>
    <w:rsid w:val="003D101C"/>
    <w:rsid w:val="003D10E4"/>
    <w:rsid w:val="003D3841"/>
    <w:rsid w:val="003D3B70"/>
    <w:rsid w:val="003D56BE"/>
    <w:rsid w:val="003D7B11"/>
    <w:rsid w:val="003E08A8"/>
    <w:rsid w:val="003E1FCB"/>
    <w:rsid w:val="003E5930"/>
    <w:rsid w:val="003E6171"/>
    <w:rsid w:val="00407FF6"/>
    <w:rsid w:val="00410CFA"/>
    <w:rsid w:val="004124A5"/>
    <w:rsid w:val="0041301A"/>
    <w:rsid w:val="00413857"/>
    <w:rsid w:val="0042294F"/>
    <w:rsid w:val="00422BC1"/>
    <w:rsid w:val="00424439"/>
    <w:rsid w:val="00425A76"/>
    <w:rsid w:val="00426289"/>
    <w:rsid w:val="004336A1"/>
    <w:rsid w:val="00437B61"/>
    <w:rsid w:val="00443625"/>
    <w:rsid w:val="0044384B"/>
    <w:rsid w:val="00444FB4"/>
    <w:rsid w:val="004452EF"/>
    <w:rsid w:val="0044591E"/>
    <w:rsid w:val="00446162"/>
    <w:rsid w:val="00454594"/>
    <w:rsid w:val="00455CE8"/>
    <w:rsid w:val="00456ACD"/>
    <w:rsid w:val="004634CF"/>
    <w:rsid w:val="004669C2"/>
    <w:rsid w:val="00472A88"/>
    <w:rsid w:val="0047394A"/>
    <w:rsid w:val="00474D3E"/>
    <w:rsid w:val="00476D23"/>
    <w:rsid w:val="00477A8C"/>
    <w:rsid w:val="00481D3F"/>
    <w:rsid w:val="00482198"/>
    <w:rsid w:val="00484EF8"/>
    <w:rsid w:val="00485334"/>
    <w:rsid w:val="00485E15"/>
    <w:rsid w:val="004873BA"/>
    <w:rsid w:val="00487F48"/>
    <w:rsid w:val="00490C89"/>
    <w:rsid w:val="00492E98"/>
    <w:rsid w:val="004940D5"/>
    <w:rsid w:val="0049552D"/>
    <w:rsid w:val="00495F3E"/>
    <w:rsid w:val="004A2196"/>
    <w:rsid w:val="004A2D3E"/>
    <w:rsid w:val="004B5373"/>
    <w:rsid w:val="004B5872"/>
    <w:rsid w:val="004B658E"/>
    <w:rsid w:val="004C0924"/>
    <w:rsid w:val="004C4748"/>
    <w:rsid w:val="004C523B"/>
    <w:rsid w:val="004C5558"/>
    <w:rsid w:val="004D7214"/>
    <w:rsid w:val="004D7409"/>
    <w:rsid w:val="004E72E2"/>
    <w:rsid w:val="004F00FC"/>
    <w:rsid w:val="004F1990"/>
    <w:rsid w:val="00501EC8"/>
    <w:rsid w:val="00502555"/>
    <w:rsid w:val="00506541"/>
    <w:rsid w:val="00521083"/>
    <w:rsid w:val="00522922"/>
    <w:rsid w:val="00525580"/>
    <w:rsid w:val="00527E5F"/>
    <w:rsid w:val="00527E9F"/>
    <w:rsid w:val="00530B41"/>
    <w:rsid w:val="0053331B"/>
    <w:rsid w:val="005375FC"/>
    <w:rsid w:val="00537DF4"/>
    <w:rsid w:val="00540DA2"/>
    <w:rsid w:val="0054194E"/>
    <w:rsid w:val="00544F94"/>
    <w:rsid w:val="00545478"/>
    <w:rsid w:val="00545919"/>
    <w:rsid w:val="005461F1"/>
    <w:rsid w:val="00546370"/>
    <w:rsid w:val="00551545"/>
    <w:rsid w:val="005520FB"/>
    <w:rsid w:val="005533CE"/>
    <w:rsid w:val="005567F3"/>
    <w:rsid w:val="00560848"/>
    <w:rsid w:val="005615AA"/>
    <w:rsid w:val="005633A9"/>
    <w:rsid w:val="00565635"/>
    <w:rsid w:val="0056786F"/>
    <w:rsid w:val="00567D4D"/>
    <w:rsid w:val="00575CAA"/>
    <w:rsid w:val="00576130"/>
    <w:rsid w:val="00576861"/>
    <w:rsid w:val="00576D6A"/>
    <w:rsid w:val="0058132C"/>
    <w:rsid w:val="00581EDE"/>
    <w:rsid w:val="005847B2"/>
    <w:rsid w:val="00585B5E"/>
    <w:rsid w:val="00587DCC"/>
    <w:rsid w:val="00590838"/>
    <w:rsid w:val="005A1CED"/>
    <w:rsid w:val="005A7019"/>
    <w:rsid w:val="005A7759"/>
    <w:rsid w:val="005C1939"/>
    <w:rsid w:val="005C2FAE"/>
    <w:rsid w:val="005D1E99"/>
    <w:rsid w:val="005D6D1B"/>
    <w:rsid w:val="005E0686"/>
    <w:rsid w:val="005E09B7"/>
    <w:rsid w:val="005E139B"/>
    <w:rsid w:val="005E6492"/>
    <w:rsid w:val="005E6EA5"/>
    <w:rsid w:val="005E71D4"/>
    <w:rsid w:val="005E7770"/>
    <w:rsid w:val="005E79DF"/>
    <w:rsid w:val="005F3A2D"/>
    <w:rsid w:val="005F419E"/>
    <w:rsid w:val="005F4633"/>
    <w:rsid w:val="005F5358"/>
    <w:rsid w:val="005F5BAF"/>
    <w:rsid w:val="005F5FEF"/>
    <w:rsid w:val="005F6090"/>
    <w:rsid w:val="005F7232"/>
    <w:rsid w:val="00600B5A"/>
    <w:rsid w:val="0060544B"/>
    <w:rsid w:val="00607DB7"/>
    <w:rsid w:val="0061694B"/>
    <w:rsid w:val="00622873"/>
    <w:rsid w:val="00625D0E"/>
    <w:rsid w:val="00630BF5"/>
    <w:rsid w:val="00631552"/>
    <w:rsid w:val="00633595"/>
    <w:rsid w:val="0063426B"/>
    <w:rsid w:val="00634849"/>
    <w:rsid w:val="00634A03"/>
    <w:rsid w:val="00636264"/>
    <w:rsid w:val="00636683"/>
    <w:rsid w:val="00636A7D"/>
    <w:rsid w:val="006400B6"/>
    <w:rsid w:val="006421FE"/>
    <w:rsid w:val="00642737"/>
    <w:rsid w:val="006447DD"/>
    <w:rsid w:val="00644871"/>
    <w:rsid w:val="00645848"/>
    <w:rsid w:val="00645A3E"/>
    <w:rsid w:val="006524A6"/>
    <w:rsid w:val="00655E5D"/>
    <w:rsid w:val="0065643A"/>
    <w:rsid w:val="00662C0C"/>
    <w:rsid w:val="00663580"/>
    <w:rsid w:val="006637FD"/>
    <w:rsid w:val="006655F3"/>
    <w:rsid w:val="00667A3B"/>
    <w:rsid w:val="00671398"/>
    <w:rsid w:val="006723F9"/>
    <w:rsid w:val="00672C50"/>
    <w:rsid w:val="00675319"/>
    <w:rsid w:val="00675D0B"/>
    <w:rsid w:val="00680568"/>
    <w:rsid w:val="00682069"/>
    <w:rsid w:val="00683A36"/>
    <w:rsid w:val="00684281"/>
    <w:rsid w:val="006860A7"/>
    <w:rsid w:val="006912C6"/>
    <w:rsid w:val="00691AD8"/>
    <w:rsid w:val="00692EC5"/>
    <w:rsid w:val="00693229"/>
    <w:rsid w:val="0069352E"/>
    <w:rsid w:val="00695476"/>
    <w:rsid w:val="006A3BE3"/>
    <w:rsid w:val="006A438F"/>
    <w:rsid w:val="006B0686"/>
    <w:rsid w:val="006B2F27"/>
    <w:rsid w:val="006B3779"/>
    <w:rsid w:val="006B4587"/>
    <w:rsid w:val="006B5E77"/>
    <w:rsid w:val="006B6EB6"/>
    <w:rsid w:val="006B7DF6"/>
    <w:rsid w:val="006C2DD1"/>
    <w:rsid w:val="006C31A9"/>
    <w:rsid w:val="006C3968"/>
    <w:rsid w:val="006C435D"/>
    <w:rsid w:val="006C46E5"/>
    <w:rsid w:val="006C785D"/>
    <w:rsid w:val="006C7D2D"/>
    <w:rsid w:val="006D09CF"/>
    <w:rsid w:val="006D3746"/>
    <w:rsid w:val="006D3925"/>
    <w:rsid w:val="006D3F7D"/>
    <w:rsid w:val="006D6208"/>
    <w:rsid w:val="006E040E"/>
    <w:rsid w:val="006E0B32"/>
    <w:rsid w:val="006F152E"/>
    <w:rsid w:val="006F1C6D"/>
    <w:rsid w:val="006F255D"/>
    <w:rsid w:val="006F3ED0"/>
    <w:rsid w:val="006F4834"/>
    <w:rsid w:val="006F5F53"/>
    <w:rsid w:val="006F7929"/>
    <w:rsid w:val="00702ED8"/>
    <w:rsid w:val="007037FC"/>
    <w:rsid w:val="00705A07"/>
    <w:rsid w:val="00712DC1"/>
    <w:rsid w:val="00714DBB"/>
    <w:rsid w:val="00715E21"/>
    <w:rsid w:val="00717D18"/>
    <w:rsid w:val="00721D46"/>
    <w:rsid w:val="00725F00"/>
    <w:rsid w:val="00726185"/>
    <w:rsid w:val="00726392"/>
    <w:rsid w:val="0073457F"/>
    <w:rsid w:val="00734CAD"/>
    <w:rsid w:val="00737958"/>
    <w:rsid w:val="007411C6"/>
    <w:rsid w:val="00746049"/>
    <w:rsid w:val="00747433"/>
    <w:rsid w:val="007535C3"/>
    <w:rsid w:val="00754C18"/>
    <w:rsid w:val="00754C9B"/>
    <w:rsid w:val="0076103A"/>
    <w:rsid w:val="00762852"/>
    <w:rsid w:val="007632DC"/>
    <w:rsid w:val="007633A4"/>
    <w:rsid w:val="007669CF"/>
    <w:rsid w:val="007670BD"/>
    <w:rsid w:val="00774E67"/>
    <w:rsid w:val="0077645F"/>
    <w:rsid w:val="007776D3"/>
    <w:rsid w:val="00781150"/>
    <w:rsid w:val="00781C09"/>
    <w:rsid w:val="007820C4"/>
    <w:rsid w:val="00782B47"/>
    <w:rsid w:val="0078359A"/>
    <w:rsid w:val="007850DF"/>
    <w:rsid w:val="00787ECC"/>
    <w:rsid w:val="00792F89"/>
    <w:rsid w:val="00793F54"/>
    <w:rsid w:val="00796255"/>
    <w:rsid w:val="007A226C"/>
    <w:rsid w:val="007A2AE5"/>
    <w:rsid w:val="007A375C"/>
    <w:rsid w:val="007B0921"/>
    <w:rsid w:val="007B1F4E"/>
    <w:rsid w:val="007B6DC0"/>
    <w:rsid w:val="007B73C1"/>
    <w:rsid w:val="007C0C76"/>
    <w:rsid w:val="007C0C77"/>
    <w:rsid w:val="007D1B8B"/>
    <w:rsid w:val="007D2DEC"/>
    <w:rsid w:val="007D46A3"/>
    <w:rsid w:val="007D6E98"/>
    <w:rsid w:val="007E0150"/>
    <w:rsid w:val="007E1153"/>
    <w:rsid w:val="007E1B7B"/>
    <w:rsid w:val="007E51CE"/>
    <w:rsid w:val="007E7461"/>
    <w:rsid w:val="007F1CBB"/>
    <w:rsid w:val="007F2361"/>
    <w:rsid w:val="007F27AF"/>
    <w:rsid w:val="007F3A1D"/>
    <w:rsid w:val="008070E8"/>
    <w:rsid w:val="008078BB"/>
    <w:rsid w:val="00810A06"/>
    <w:rsid w:val="00814EAD"/>
    <w:rsid w:val="00816653"/>
    <w:rsid w:val="00821E34"/>
    <w:rsid w:val="00822D07"/>
    <w:rsid w:val="00826D10"/>
    <w:rsid w:val="008271E0"/>
    <w:rsid w:val="008309EB"/>
    <w:rsid w:val="00832B7C"/>
    <w:rsid w:val="00833A58"/>
    <w:rsid w:val="008356A7"/>
    <w:rsid w:val="00836A6C"/>
    <w:rsid w:val="00837489"/>
    <w:rsid w:val="0084044A"/>
    <w:rsid w:val="0084178B"/>
    <w:rsid w:val="0084420A"/>
    <w:rsid w:val="0084470B"/>
    <w:rsid w:val="0084721E"/>
    <w:rsid w:val="00851698"/>
    <w:rsid w:val="0085433F"/>
    <w:rsid w:val="0085713E"/>
    <w:rsid w:val="008623FF"/>
    <w:rsid w:val="00862602"/>
    <w:rsid w:val="00872710"/>
    <w:rsid w:val="00873AC6"/>
    <w:rsid w:val="0087639E"/>
    <w:rsid w:val="00882CC5"/>
    <w:rsid w:val="00883411"/>
    <w:rsid w:val="008835AC"/>
    <w:rsid w:val="00885C57"/>
    <w:rsid w:val="00886CB2"/>
    <w:rsid w:val="00890B2F"/>
    <w:rsid w:val="008922A7"/>
    <w:rsid w:val="00892701"/>
    <w:rsid w:val="008927A8"/>
    <w:rsid w:val="00892C15"/>
    <w:rsid w:val="008948E1"/>
    <w:rsid w:val="008959FC"/>
    <w:rsid w:val="00895D18"/>
    <w:rsid w:val="008A1A3E"/>
    <w:rsid w:val="008A451F"/>
    <w:rsid w:val="008A45F7"/>
    <w:rsid w:val="008A50EA"/>
    <w:rsid w:val="008A6A36"/>
    <w:rsid w:val="008B1015"/>
    <w:rsid w:val="008B135E"/>
    <w:rsid w:val="008B266C"/>
    <w:rsid w:val="008B3DD7"/>
    <w:rsid w:val="008B3F4D"/>
    <w:rsid w:val="008B7FB3"/>
    <w:rsid w:val="008C0894"/>
    <w:rsid w:val="008D33E7"/>
    <w:rsid w:val="008D3960"/>
    <w:rsid w:val="008D4878"/>
    <w:rsid w:val="008D7DE3"/>
    <w:rsid w:val="008D7ECC"/>
    <w:rsid w:val="008E435C"/>
    <w:rsid w:val="008E4AEA"/>
    <w:rsid w:val="008E50A3"/>
    <w:rsid w:val="008E5195"/>
    <w:rsid w:val="008E695A"/>
    <w:rsid w:val="008F28BE"/>
    <w:rsid w:val="008F3C4E"/>
    <w:rsid w:val="00901314"/>
    <w:rsid w:val="00904849"/>
    <w:rsid w:val="009100CE"/>
    <w:rsid w:val="0091359B"/>
    <w:rsid w:val="00913F4E"/>
    <w:rsid w:val="00914371"/>
    <w:rsid w:val="00914A16"/>
    <w:rsid w:val="00927322"/>
    <w:rsid w:val="00930A51"/>
    <w:rsid w:val="00932B98"/>
    <w:rsid w:val="00952997"/>
    <w:rsid w:val="00952D7F"/>
    <w:rsid w:val="00953B2A"/>
    <w:rsid w:val="00954716"/>
    <w:rsid w:val="00957FAD"/>
    <w:rsid w:val="009609FD"/>
    <w:rsid w:val="00961F38"/>
    <w:rsid w:val="009643F3"/>
    <w:rsid w:val="00964E47"/>
    <w:rsid w:val="00976C93"/>
    <w:rsid w:val="00980200"/>
    <w:rsid w:val="00980503"/>
    <w:rsid w:val="009837AC"/>
    <w:rsid w:val="009847C6"/>
    <w:rsid w:val="009902F6"/>
    <w:rsid w:val="0099151A"/>
    <w:rsid w:val="009960AC"/>
    <w:rsid w:val="009A0537"/>
    <w:rsid w:val="009A09FF"/>
    <w:rsid w:val="009A1E8C"/>
    <w:rsid w:val="009A1FAF"/>
    <w:rsid w:val="009A2F44"/>
    <w:rsid w:val="009A38A6"/>
    <w:rsid w:val="009A4C4F"/>
    <w:rsid w:val="009A59AD"/>
    <w:rsid w:val="009B6D55"/>
    <w:rsid w:val="009B72E0"/>
    <w:rsid w:val="009C2857"/>
    <w:rsid w:val="009C3D2F"/>
    <w:rsid w:val="009C7BCA"/>
    <w:rsid w:val="009D1835"/>
    <w:rsid w:val="009D2B83"/>
    <w:rsid w:val="009D43A0"/>
    <w:rsid w:val="009D529D"/>
    <w:rsid w:val="009D5504"/>
    <w:rsid w:val="009D65DD"/>
    <w:rsid w:val="009E29F6"/>
    <w:rsid w:val="009E427A"/>
    <w:rsid w:val="009E48B2"/>
    <w:rsid w:val="009F061A"/>
    <w:rsid w:val="009F09F1"/>
    <w:rsid w:val="009F18AB"/>
    <w:rsid w:val="009F2C3C"/>
    <w:rsid w:val="009F4BC4"/>
    <w:rsid w:val="00A00CE9"/>
    <w:rsid w:val="00A012DE"/>
    <w:rsid w:val="00A0160D"/>
    <w:rsid w:val="00A03638"/>
    <w:rsid w:val="00A036A3"/>
    <w:rsid w:val="00A0476B"/>
    <w:rsid w:val="00A069D0"/>
    <w:rsid w:val="00A1078A"/>
    <w:rsid w:val="00A118F9"/>
    <w:rsid w:val="00A121FF"/>
    <w:rsid w:val="00A12E8B"/>
    <w:rsid w:val="00A1589E"/>
    <w:rsid w:val="00A1752D"/>
    <w:rsid w:val="00A20483"/>
    <w:rsid w:val="00A21246"/>
    <w:rsid w:val="00A217C4"/>
    <w:rsid w:val="00A2230B"/>
    <w:rsid w:val="00A26229"/>
    <w:rsid w:val="00A26C76"/>
    <w:rsid w:val="00A27943"/>
    <w:rsid w:val="00A344D5"/>
    <w:rsid w:val="00A400AC"/>
    <w:rsid w:val="00A40317"/>
    <w:rsid w:val="00A40C65"/>
    <w:rsid w:val="00A41547"/>
    <w:rsid w:val="00A4307C"/>
    <w:rsid w:val="00A44BFC"/>
    <w:rsid w:val="00A4620F"/>
    <w:rsid w:val="00A55E9E"/>
    <w:rsid w:val="00A60201"/>
    <w:rsid w:val="00A61550"/>
    <w:rsid w:val="00A62030"/>
    <w:rsid w:val="00A63E81"/>
    <w:rsid w:val="00A66834"/>
    <w:rsid w:val="00A702F8"/>
    <w:rsid w:val="00A71132"/>
    <w:rsid w:val="00A74D16"/>
    <w:rsid w:val="00A75D8A"/>
    <w:rsid w:val="00A77C34"/>
    <w:rsid w:val="00A77F11"/>
    <w:rsid w:val="00A80F08"/>
    <w:rsid w:val="00A813D5"/>
    <w:rsid w:val="00A90B30"/>
    <w:rsid w:val="00A92293"/>
    <w:rsid w:val="00A9306E"/>
    <w:rsid w:val="00AA0CAF"/>
    <w:rsid w:val="00AA3737"/>
    <w:rsid w:val="00AA5866"/>
    <w:rsid w:val="00AA6A62"/>
    <w:rsid w:val="00AA7EAB"/>
    <w:rsid w:val="00AB036B"/>
    <w:rsid w:val="00AB398E"/>
    <w:rsid w:val="00AB4381"/>
    <w:rsid w:val="00AB5E15"/>
    <w:rsid w:val="00AB735C"/>
    <w:rsid w:val="00AC0260"/>
    <w:rsid w:val="00AC2245"/>
    <w:rsid w:val="00AC2C71"/>
    <w:rsid w:val="00AC39AA"/>
    <w:rsid w:val="00AC3A75"/>
    <w:rsid w:val="00AC3EC9"/>
    <w:rsid w:val="00AD1012"/>
    <w:rsid w:val="00AD1B46"/>
    <w:rsid w:val="00AD323C"/>
    <w:rsid w:val="00AD49BC"/>
    <w:rsid w:val="00AE0E6D"/>
    <w:rsid w:val="00AF0933"/>
    <w:rsid w:val="00AF53EB"/>
    <w:rsid w:val="00B00EAC"/>
    <w:rsid w:val="00B022A7"/>
    <w:rsid w:val="00B06C0E"/>
    <w:rsid w:val="00B07D70"/>
    <w:rsid w:val="00B10E93"/>
    <w:rsid w:val="00B17D43"/>
    <w:rsid w:val="00B21974"/>
    <w:rsid w:val="00B22712"/>
    <w:rsid w:val="00B22ABE"/>
    <w:rsid w:val="00B24E61"/>
    <w:rsid w:val="00B24E89"/>
    <w:rsid w:val="00B24EE3"/>
    <w:rsid w:val="00B33E4B"/>
    <w:rsid w:val="00B3728C"/>
    <w:rsid w:val="00B40B24"/>
    <w:rsid w:val="00B4248E"/>
    <w:rsid w:val="00B47364"/>
    <w:rsid w:val="00B53340"/>
    <w:rsid w:val="00B540DD"/>
    <w:rsid w:val="00B54185"/>
    <w:rsid w:val="00B54CA2"/>
    <w:rsid w:val="00B6017A"/>
    <w:rsid w:val="00B63DE1"/>
    <w:rsid w:val="00B7685C"/>
    <w:rsid w:val="00B870F0"/>
    <w:rsid w:val="00B87197"/>
    <w:rsid w:val="00B90345"/>
    <w:rsid w:val="00B90B36"/>
    <w:rsid w:val="00B90F30"/>
    <w:rsid w:val="00B94DEC"/>
    <w:rsid w:val="00B96739"/>
    <w:rsid w:val="00B971BC"/>
    <w:rsid w:val="00BA237C"/>
    <w:rsid w:val="00BA2707"/>
    <w:rsid w:val="00BA3279"/>
    <w:rsid w:val="00BA38ED"/>
    <w:rsid w:val="00BA6A7E"/>
    <w:rsid w:val="00BB14CC"/>
    <w:rsid w:val="00BB2CBA"/>
    <w:rsid w:val="00BB2F30"/>
    <w:rsid w:val="00BB46FB"/>
    <w:rsid w:val="00BB56F3"/>
    <w:rsid w:val="00BC133C"/>
    <w:rsid w:val="00BC393C"/>
    <w:rsid w:val="00BC7789"/>
    <w:rsid w:val="00BD114C"/>
    <w:rsid w:val="00BD1569"/>
    <w:rsid w:val="00BD2722"/>
    <w:rsid w:val="00BD2DCD"/>
    <w:rsid w:val="00BD3F01"/>
    <w:rsid w:val="00BD515E"/>
    <w:rsid w:val="00BD527B"/>
    <w:rsid w:val="00BD7A2B"/>
    <w:rsid w:val="00BE0272"/>
    <w:rsid w:val="00BE5DB0"/>
    <w:rsid w:val="00BE63F0"/>
    <w:rsid w:val="00BE669E"/>
    <w:rsid w:val="00BE7CF1"/>
    <w:rsid w:val="00BF0B03"/>
    <w:rsid w:val="00BF1F85"/>
    <w:rsid w:val="00BF2A56"/>
    <w:rsid w:val="00C00036"/>
    <w:rsid w:val="00C001CD"/>
    <w:rsid w:val="00C02F39"/>
    <w:rsid w:val="00C05575"/>
    <w:rsid w:val="00C1003A"/>
    <w:rsid w:val="00C112A5"/>
    <w:rsid w:val="00C1304A"/>
    <w:rsid w:val="00C13A5E"/>
    <w:rsid w:val="00C14EA1"/>
    <w:rsid w:val="00C153BF"/>
    <w:rsid w:val="00C16344"/>
    <w:rsid w:val="00C171A9"/>
    <w:rsid w:val="00C201C8"/>
    <w:rsid w:val="00C22664"/>
    <w:rsid w:val="00C26650"/>
    <w:rsid w:val="00C3000B"/>
    <w:rsid w:val="00C312D2"/>
    <w:rsid w:val="00C31F5B"/>
    <w:rsid w:val="00C32422"/>
    <w:rsid w:val="00C32AAE"/>
    <w:rsid w:val="00C33883"/>
    <w:rsid w:val="00C34965"/>
    <w:rsid w:val="00C35124"/>
    <w:rsid w:val="00C442DD"/>
    <w:rsid w:val="00C4561C"/>
    <w:rsid w:val="00C53BD6"/>
    <w:rsid w:val="00C5512D"/>
    <w:rsid w:val="00C55DE2"/>
    <w:rsid w:val="00C63FC6"/>
    <w:rsid w:val="00C6675F"/>
    <w:rsid w:val="00C6769A"/>
    <w:rsid w:val="00C70BAA"/>
    <w:rsid w:val="00C7126A"/>
    <w:rsid w:val="00C72614"/>
    <w:rsid w:val="00C728D0"/>
    <w:rsid w:val="00C733B6"/>
    <w:rsid w:val="00C74B36"/>
    <w:rsid w:val="00C74C27"/>
    <w:rsid w:val="00C74C8F"/>
    <w:rsid w:val="00C75CA3"/>
    <w:rsid w:val="00C7722B"/>
    <w:rsid w:val="00C80711"/>
    <w:rsid w:val="00C80721"/>
    <w:rsid w:val="00C814B5"/>
    <w:rsid w:val="00C81C16"/>
    <w:rsid w:val="00C8438E"/>
    <w:rsid w:val="00C86E56"/>
    <w:rsid w:val="00C91578"/>
    <w:rsid w:val="00C92D7E"/>
    <w:rsid w:val="00C956E0"/>
    <w:rsid w:val="00CA462A"/>
    <w:rsid w:val="00CA67D1"/>
    <w:rsid w:val="00CA70C0"/>
    <w:rsid w:val="00CB4186"/>
    <w:rsid w:val="00CB4E07"/>
    <w:rsid w:val="00CB5665"/>
    <w:rsid w:val="00CC109A"/>
    <w:rsid w:val="00CC4704"/>
    <w:rsid w:val="00CC7AC4"/>
    <w:rsid w:val="00CD0879"/>
    <w:rsid w:val="00CD0EF4"/>
    <w:rsid w:val="00CD3393"/>
    <w:rsid w:val="00CD4EA1"/>
    <w:rsid w:val="00CD55A1"/>
    <w:rsid w:val="00CD7B5C"/>
    <w:rsid w:val="00CF483B"/>
    <w:rsid w:val="00CF6737"/>
    <w:rsid w:val="00D01B00"/>
    <w:rsid w:val="00D04D95"/>
    <w:rsid w:val="00D058E8"/>
    <w:rsid w:val="00D05DFE"/>
    <w:rsid w:val="00D15AED"/>
    <w:rsid w:val="00D15E69"/>
    <w:rsid w:val="00D1634A"/>
    <w:rsid w:val="00D17C45"/>
    <w:rsid w:val="00D17C97"/>
    <w:rsid w:val="00D20555"/>
    <w:rsid w:val="00D2389F"/>
    <w:rsid w:val="00D33B29"/>
    <w:rsid w:val="00D34CA4"/>
    <w:rsid w:val="00D36B4E"/>
    <w:rsid w:val="00D373D1"/>
    <w:rsid w:val="00D41B1B"/>
    <w:rsid w:val="00D4368C"/>
    <w:rsid w:val="00D441DE"/>
    <w:rsid w:val="00D46564"/>
    <w:rsid w:val="00D46DDA"/>
    <w:rsid w:val="00D475B0"/>
    <w:rsid w:val="00D51389"/>
    <w:rsid w:val="00D5438A"/>
    <w:rsid w:val="00D54916"/>
    <w:rsid w:val="00D5496E"/>
    <w:rsid w:val="00D640DC"/>
    <w:rsid w:val="00D67483"/>
    <w:rsid w:val="00D7228B"/>
    <w:rsid w:val="00D734FD"/>
    <w:rsid w:val="00D76877"/>
    <w:rsid w:val="00D772E3"/>
    <w:rsid w:val="00D84AA9"/>
    <w:rsid w:val="00D84EB4"/>
    <w:rsid w:val="00D86380"/>
    <w:rsid w:val="00D87C6F"/>
    <w:rsid w:val="00D91048"/>
    <w:rsid w:val="00D9186F"/>
    <w:rsid w:val="00D9398C"/>
    <w:rsid w:val="00D946DE"/>
    <w:rsid w:val="00D96940"/>
    <w:rsid w:val="00DA2DF3"/>
    <w:rsid w:val="00DA37E4"/>
    <w:rsid w:val="00DA6530"/>
    <w:rsid w:val="00DA6B7D"/>
    <w:rsid w:val="00DB0FCB"/>
    <w:rsid w:val="00DB1573"/>
    <w:rsid w:val="00DB1DB5"/>
    <w:rsid w:val="00DB286A"/>
    <w:rsid w:val="00DB5E37"/>
    <w:rsid w:val="00DB6C66"/>
    <w:rsid w:val="00DC2A35"/>
    <w:rsid w:val="00DC2B44"/>
    <w:rsid w:val="00DC3B80"/>
    <w:rsid w:val="00DC4B1E"/>
    <w:rsid w:val="00DC6E05"/>
    <w:rsid w:val="00DC7E68"/>
    <w:rsid w:val="00DD4306"/>
    <w:rsid w:val="00DD4E0E"/>
    <w:rsid w:val="00DE5CA1"/>
    <w:rsid w:val="00DE74F7"/>
    <w:rsid w:val="00DF72EC"/>
    <w:rsid w:val="00DF7836"/>
    <w:rsid w:val="00DF79E1"/>
    <w:rsid w:val="00E01217"/>
    <w:rsid w:val="00E015E8"/>
    <w:rsid w:val="00E033BE"/>
    <w:rsid w:val="00E05F1F"/>
    <w:rsid w:val="00E062DA"/>
    <w:rsid w:val="00E069BF"/>
    <w:rsid w:val="00E124D5"/>
    <w:rsid w:val="00E21915"/>
    <w:rsid w:val="00E24F1A"/>
    <w:rsid w:val="00E26394"/>
    <w:rsid w:val="00E46B8C"/>
    <w:rsid w:val="00E47759"/>
    <w:rsid w:val="00E50061"/>
    <w:rsid w:val="00E50D1D"/>
    <w:rsid w:val="00E51A4D"/>
    <w:rsid w:val="00E5297E"/>
    <w:rsid w:val="00E52F63"/>
    <w:rsid w:val="00E54DAC"/>
    <w:rsid w:val="00E62E1D"/>
    <w:rsid w:val="00E63C12"/>
    <w:rsid w:val="00E657D2"/>
    <w:rsid w:val="00E66849"/>
    <w:rsid w:val="00E71365"/>
    <w:rsid w:val="00E71F48"/>
    <w:rsid w:val="00E727D1"/>
    <w:rsid w:val="00E72B2F"/>
    <w:rsid w:val="00E73D24"/>
    <w:rsid w:val="00E80A5E"/>
    <w:rsid w:val="00E8338E"/>
    <w:rsid w:val="00E842EF"/>
    <w:rsid w:val="00E84468"/>
    <w:rsid w:val="00E84AD2"/>
    <w:rsid w:val="00E84C4F"/>
    <w:rsid w:val="00E9305F"/>
    <w:rsid w:val="00EA535A"/>
    <w:rsid w:val="00EB5081"/>
    <w:rsid w:val="00EC0567"/>
    <w:rsid w:val="00EC4550"/>
    <w:rsid w:val="00EC4AB4"/>
    <w:rsid w:val="00EC72B6"/>
    <w:rsid w:val="00EC7C7E"/>
    <w:rsid w:val="00ED04C9"/>
    <w:rsid w:val="00ED0EFA"/>
    <w:rsid w:val="00ED4B20"/>
    <w:rsid w:val="00ED6871"/>
    <w:rsid w:val="00EE482E"/>
    <w:rsid w:val="00EE4893"/>
    <w:rsid w:val="00EF60ED"/>
    <w:rsid w:val="00EF6E73"/>
    <w:rsid w:val="00F02477"/>
    <w:rsid w:val="00F13796"/>
    <w:rsid w:val="00F25192"/>
    <w:rsid w:val="00F25D7F"/>
    <w:rsid w:val="00F2718B"/>
    <w:rsid w:val="00F2776A"/>
    <w:rsid w:val="00F43B61"/>
    <w:rsid w:val="00F47B15"/>
    <w:rsid w:val="00F47DB8"/>
    <w:rsid w:val="00F47F68"/>
    <w:rsid w:val="00F55650"/>
    <w:rsid w:val="00F56685"/>
    <w:rsid w:val="00F61F3E"/>
    <w:rsid w:val="00F622EC"/>
    <w:rsid w:val="00F63BE4"/>
    <w:rsid w:val="00F644E7"/>
    <w:rsid w:val="00F65EBB"/>
    <w:rsid w:val="00F66E0F"/>
    <w:rsid w:val="00F73C38"/>
    <w:rsid w:val="00F75735"/>
    <w:rsid w:val="00F75E51"/>
    <w:rsid w:val="00F84811"/>
    <w:rsid w:val="00F86BC0"/>
    <w:rsid w:val="00F93D32"/>
    <w:rsid w:val="00F96451"/>
    <w:rsid w:val="00F96BD4"/>
    <w:rsid w:val="00FA2EE7"/>
    <w:rsid w:val="00FA3537"/>
    <w:rsid w:val="00FA3DF3"/>
    <w:rsid w:val="00FA59A4"/>
    <w:rsid w:val="00FA5A3C"/>
    <w:rsid w:val="00FA7505"/>
    <w:rsid w:val="00FB11FC"/>
    <w:rsid w:val="00FB4CC2"/>
    <w:rsid w:val="00FE60E3"/>
    <w:rsid w:val="00FE6C41"/>
    <w:rsid w:val="00FF78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64D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27A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prawka">
    <w:name w:val="Revision"/>
    <w:hidden/>
    <w:uiPriority w:val="99"/>
    <w:semiHidden/>
    <w:rsid w:val="002F1515"/>
    <w:pPr>
      <w:spacing w:after="0" w:line="240" w:lineRule="auto"/>
    </w:pPr>
  </w:style>
  <w:style w:type="character" w:styleId="Odwoaniedokomentarza">
    <w:name w:val="annotation reference"/>
    <w:basedOn w:val="Domylnaczcionkaakapitu"/>
    <w:uiPriority w:val="99"/>
    <w:semiHidden/>
    <w:unhideWhenUsed/>
    <w:rsid w:val="00A55E9E"/>
    <w:rPr>
      <w:sz w:val="16"/>
      <w:szCs w:val="16"/>
    </w:rPr>
  </w:style>
  <w:style w:type="character" w:styleId="Hipercze">
    <w:name w:val="Hyperlink"/>
    <w:basedOn w:val="Domylnaczcionkaakapitu"/>
    <w:uiPriority w:val="99"/>
    <w:unhideWhenUsed/>
    <w:rsid w:val="008A1A3E"/>
    <w:rPr>
      <w:color w:val="0563C1" w:themeColor="hyperlink"/>
      <w:u w:val="single"/>
    </w:rPr>
  </w:style>
  <w:style w:type="character" w:styleId="Nierozpoznanawzmianka">
    <w:name w:val="Unresolved Mention"/>
    <w:basedOn w:val="Domylnaczcionkaakapitu"/>
    <w:uiPriority w:val="99"/>
    <w:semiHidden/>
    <w:unhideWhenUsed/>
    <w:rsid w:val="008A1A3E"/>
    <w:rPr>
      <w:color w:val="605E5C"/>
      <w:shd w:val="clear" w:color="auto" w:fill="E1DFDD"/>
    </w:rPr>
  </w:style>
  <w:style w:type="character" w:styleId="Odwoanieprzypisukocowego">
    <w:name w:val="endnote reference"/>
    <w:basedOn w:val="Domylnaczcionkaakapitu"/>
    <w:uiPriority w:val="99"/>
    <w:semiHidden/>
    <w:unhideWhenUsed/>
    <w:rsid w:val="00545478"/>
    <w:rPr>
      <w:vertAlign w:val="superscript"/>
    </w:rPr>
  </w:style>
  <w:style w:type="character" w:customStyle="1" w:styleId="apple-converted-space">
    <w:name w:val="apple-converted-space"/>
    <w:basedOn w:val="Domylnaczcionkaakapitu"/>
    <w:rsid w:val="00AA7EAB"/>
  </w:style>
  <w:style w:type="paragraph" w:styleId="Akapitzlist">
    <w:name w:val="List Paragraph"/>
    <w:basedOn w:val="Normalny"/>
    <w:uiPriority w:val="34"/>
    <w:qFormat/>
    <w:rsid w:val="00A40C65"/>
    <w:pPr>
      <w:ind w:left="720"/>
      <w:contextualSpacing/>
    </w:pPr>
  </w:style>
  <w:style w:type="paragraph" w:customStyle="1" w:styleId="a">
    <w:basedOn w:val="Normalny"/>
    <w:next w:val="Akapitzlist"/>
    <w:link w:val="EndnoteTextChar"/>
    <w:uiPriority w:val="99"/>
    <w:qFormat/>
    <w:rsid w:val="007E0150"/>
    <w:pPr>
      <w:ind w:left="720"/>
      <w:contextualSpacing/>
    </w:pPr>
    <w:rPr>
      <w:sz w:val="20"/>
      <w:szCs w:val="20"/>
    </w:rPr>
  </w:style>
  <w:style w:type="character" w:customStyle="1" w:styleId="EndnoteTextChar">
    <w:name w:val="Endnote Text Char"/>
    <w:basedOn w:val="Domylnaczcionkaakapitu"/>
    <w:link w:val="a"/>
    <w:uiPriority w:val="99"/>
    <w:rsid w:val="007E0150"/>
    <w:rPr>
      <w:sz w:val="20"/>
      <w:szCs w:val="20"/>
    </w:rPr>
  </w:style>
  <w:style w:type="character" w:customStyle="1" w:styleId="HeaderChar">
    <w:name w:val="Header Char"/>
    <w:basedOn w:val="Domylnaczcionkaakapitu"/>
    <w:uiPriority w:val="99"/>
    <w:rsid w:val="007E0150"/>
  </w:style>
  <w:style w:type="character" w:customStyle="1" w:styleId="FooterChar">
    <w:name w:val="Footer Char"/>
    <w:basedOn w:val="Domylnaczcionkaakapitu"/>
    <w:uiPriority w:val="99"/>
    <w:rsid w:val="007E0150"/>
  </w:style>
  <w:style w:type="character" w:customStyle="1" w:styleId="CommentTextChar">
    <w:name w:val="Comment Text Char"/>
    <w:basedOn w:val="Domylnaczcionkaakapitu"/>
    <w:uiPriority w:val="99"/>
    <w:rsid w:val="007E0150"/>
    <w:rPr>
      <w:sz w:val="20"/>
      <w:szCs w:val="20"/>
    </w:rPr>
  </w:style>
  <w:style w:type="character" w:customStyle="1" w:styleId="CommentSubjectChar">
    <w:name w:val="Comment Subject Char"/>
    <w:basedOn w:val="CommentTextChar"/>
    <w:uiPriority w:val="99"/>
    <w:semiHidden/>
    <w:rsid w:val="007E0150"/>
    <w:rPr>
      <w:b/>
      <w:bCs/>
      <w:sz w:val="20"/>
      <w:szCs w:val="20"/>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04052">
      <w:bodyDiv w:val="1"/>
      <w:marLeft w:val="0"/>
      <w:marRight w:val="0"/>
      <w:marTop w:val="0"/>
      <w:marBottom w:val="0"/>
      <w:divBdr>
        <w:top w:val="none" w:sz="0" w:space="0" w:color="auto"/>
        <w:left w:val="none" w:sz="0" w:space="0" w:color="auto"/>
        <w:bottom w:val="none" w:sz="0" w:space="0" w:color="auto"/>
        <w:right w:val="none" w:sz="0" w:space="0" w:color="auto"/>
      </w:divBdr>
      <w:divsChild>
        <w:div w:id="1584103119">
          <w:marLeft w:val="0"/>
          <w:marRight w:val="0"/>
          <w:marTop w:val="0"/>
          <w:marBottom w:val="0"/>
          <w:divBdr>
            <w:top w:val="none" w:sz="0" w:space="0" w:color="auto"/>
            <w:left w:val="none" w:sz="0" w:space="0" w:color="auto"/>
            <w:bottom w:val="none" w:sz="0" w:space="0" w:color="auto"/>
            <w:right w:val="none" w:sz="0" w:space="0" w:color="auto"/>
          </w:divBdr>
          <w:divsChild>
            <w:div w:id="871575344">
              <w:marLeft w:val="0"/>
              <w:marRight w:val="0"/>
              <w:marTop w:val="0"/>
              <w:marBottom w:val="0"/>
              <w:divBdr>
                <w:top w:val="none" w:sz="0" w:space="0" w:color="auto"/>
                <w:left w:val="none" w:sz="0" w:space="0" w:color="auto"/>
                <w:bottom w:val="none" w:sz="0" w:space="0" w:color="auto"/>
                <w:right w:val="none" w:sz="0" w:space="0" w:color="auto"/>
              </w:divBdr>
              <w:divsChild>
                <w:div w:id="623847101">
                  <w:marLeft w:val="0"/>
                  <w:marRight w:val="0"/>
                  <w:marTop w:val="0"/>
                  <w:marBottom w:val="0"/>
                  <w:divBdr>
                    <w:top w:val="none" w:sz="0" w:space="0" w:color="auto"/>
                    <w:left w:val="none" w:sz="0" w:space="0" w:color="auto"/>
                    <w:bottom w:val="none" w:sz="0" w:space="0" w:color="auto"/>
                    <w:right w:val="none" w:sz="0" w:space="0" w:color="auto"/>
                  </w:divBdr>
                  <w:divsChild>
                    <w:div w:id="167251620">
                      <w:marLeft w:val="0"/>
                      <w:marRight w:val="0"/>
                      <w:marTop w:val="0"/>
                      <w:marBottom w:val="0"/>
                      <w:divBdr>
                        <w:top w:val="none" w:sz="0" w:space="0" w:color="auto"/>
                        <w:left w:val="none" w:sz="0" w:space="0" w:color="auto"/>
                        <w:bottom w:val="none" w:sz="0" w:space="0" w:color="auto"/>
                        <w:right w:val="none" w:sz="0" w:space="0" w:color="auto"/>
                      </w:divBdr>
                      <w:divsChild>
                        <w:div w:id="472213094">
                          <w:marLeft w:val="0"/>
                          <w:marRight w:val="0"/>
                          <w:marTop w:val="0"/>
                          <w:marBottom w:val="0"/>
                          <w:divBdr>
                            <w:top w:val="none" w:sz="0" w:space="0" w:color="auto"/>
                            <w:left w:val="none" w:sz="0" w:space="0" w:color="auto"/>
                            <w:bottom w:val="none" w:sz="0" w:space="0" w:color="auto"/>
                            <w:right w:val="none" w:sz="0" w:space="0" w:color="auto"/>
                          </w:divBdr>
                          <w:divsChild>
                            <w:div w:id="1088234826">
                              <w:marLeft w:val="0"/>
                              <w:marRight w:val="0"/>
                              <w:marTop w:val="0"/>
                              <w:marBottom w:val="0"/>
                              <w:divBdr>
                                <w:top w:val="none" w:sz="0" w:space="0" w:color="auto"/>
                                <w:left w:val="none" w:sz="0" w:space="0" w:color="auto"/>
                                <w:bottom w:val="none" w:sz="0" w:space="0" w:color="auto"/>
                                <w:right w:val="none" w:sz="0" w:space="0" w:color="auto"/>
                              </w:divBdr>
                              <w:divsChild>
                                <w:div w:id="656306499">
                                  <w:marLeft w:val="0"/>
                                  <w:marRight w:val="0"/>
                                  <w:marTop w:val="0"/>
                                  <w:marBottom w:val="0"/>
                                  <w:divBdr>
                                    <w:top w:val="none" w:sz="0" w:space="0" w:color="auto"/>
                                    <w:left w:val="none" w:sz="0" w:space="0" w:color="auto"/>
                                    <w:bottom w:val="none" w:sz="0" w:space="0" w:color="auto"/>
                                    <w:right w:val="none" w:sz="0" w:space="0" w:color="auto"/>
                                  </w:divBdr>
                                  <w:divsChild>
                                    <w:div w:id="1882866674">
                                      <w:marLeft w:val="0"/>
                                      <w:marRight w:val="0"/>
                                      <w:marTop w:val="0"/>
                                      <w:marBottom w:val="0"/>
                                      <w:divBdr>
                                        <w:top w:val="none" w:sz="0" w:space="0" w:color="auto"/>
                                        <w:left w:val="none" w:sz="0" w:space="0" w:color="auto"/>
                                        <w:bottom w:val="none" w:sz="0" w:space="0" w:color="auto"/>
                                        <w:right w:val="none" w:sz="0" w:space="0" w:color="auto"/>
                                      </w:divBdr>
                                      <w:divsChild>
                                        <w:div w:id="149556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3766613">
          <w:marLeft w:val="0"/>
          <w:marRight w:val="0"/>
          <w:marTop w:val="0"/>
          <w:marBottom w:val="0"/>
          <w:divBdr>
            <w:top w:val="none" w:sz="0" w:space="0" w:color="auto"/>
            <w:left w:val="none" w:sz="0" w:space="0" w:color="auto"/>
            <w:bottom w:val="none" w:sz="0" w:space="0" w:color="auto"/>
            <w:right w:val="none" w:sz="0" w:space="0" w:color="auto"/>
          </w:divBdr>
          <w:divsChild>
            <w:div w:id="587889035">
              <w:marLeft w:val="0"/>
              <w:marRight w:val="0"/>
              <w:marTop w:val="0"/>
              <w:marBottom w:val="0"/>
              <w:divBdr>
                <w:top w:val="none" w:sz="0" w:space="0" w:color="auto"/>
                <w:left w:val="none" w:sz="0" w:space="0" w:color="auto"/>
                <w:bottom w:val="none" w:sz="0" w:space="0" w:color="auto"/>
                <w:right w:val="none" w:sz="0" w:space="0" w:color="auto"/>
              </w:divBdr>
              <w:divsChild>
                <w:div w:id="49037661">
                  <w:marLeft w:val="0"/>
                  <w:marRight w:val="0"/>
                  <w:marTop w:val="0"/>
                  <w:marBottom w:val="0"/>
                  <w:divBdr>
                    <w:top w:val="none" w:sz="0" w:space="0" w:color="auto"/>
                    <w:left w:val="none" w:sz="0" w:space="0" w:color="auto"/>
                    <w:bottom w:val="none" w:sz="0" w:space="0" w:color="auto"/>
                    <w:right w:val="none" w:sz="0" w:space="0" w:color="auto"/>
                  </w:divBdr>
                  <w:divsChild>
                    <w:div w:id="1938177509">
                      <w:marLeft w:val="0"/>
                      <w:marRight w:val="0"/>
                      <w:marTop w:val="0"/>
                      <w:marBottom w:val="0"/>
                      <w:divBdr>
                        <w:top w:val="none" w:sz="0" w:space="0" w:color="auto"/>
                        <w:left w:val="none" w:sz="0" w:space="0" w:color="auto"/>
                        <w:bottom w:val="none" w:sz="0" w:space="0" w:color="auto"/>
                        <w:right w:val="none" w:sz="0" w:space="0" w:color="auto"/>
                      </w:divBdr>
                      <w:divsChild>
                        <w:div w:id="1843473434">
                          <w:marLeft w:val="0"/>
                          <w:marRight w:val="0"/>
                          <w:marTop w:val="0"/>
                          <w:marBottom w:val="0"/>
                          <w:divBdr>
                            <w:top w:val="none" w:sz="0" w:space="0" w:color="auto"/>
                            <w:left w:val="none" w:sz="0" w:space="0" w:color="auto"/>
                            <w:bottom w:val="none" w:sz="0" w:space="0" w:color="auto"/>
                            <w:right w:val="none" w:sz="0" w:space="0" w:color="auto"/>
                          </w:divBdr>
                          <w:divsChild>
                            <w:div w:id="1369525820">
                              <w:marLeft w:val="0"/>
                              <w:marRight w:val="0"/>
                              <w:marTop w:val="0"/>
                              <w:marBottom w:val="0"/>
                              <w:divBdr>
                                <w:top w:val="none" w:sz="0" w:space="0" w:color="auto"/>
                                <w:left w:val="none" w:sz="0" w:space="0" w:color="auto"/>
                                <w:bottom w:val="none" w:sz="0" w:space="0" w:color="auto"/>
                                <w:right w:val="none" w:sz="0" w:space="0" w:color="auto"/>
                              </w:divBdr>
                              <w:divsChild>
                                <w:div w:id="1063139237">
                                  <w:marLeft w:val="0"/>
                                  <w:marRight w:val="0"/>
                                  <w:marTop w:val="0"/>
                                  <w:marBottom w:val="0"/>
                                  <w:divBdr>
                                    <w:top w:val="none" w:sz="0" w:space="0" w:color="auto"/>
                                    <w:left w:val="none" w:sz="0" w:space="0" w:color="auto"/>
                                    <w:bottom w:val="none" w:sz="0" w:space="0" w:color="auto"/>
                                    <w:right w:val="none" w:sz="0" w:space="0" w:color="auto"/>
                                  </w:divBdr>
                                  <w:divsChild>
                                    <w:div w:id="18963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0868139">
      <w:bodyDiv w:val="1"/>
      <w:marLeft w:val="0"/>
      <w:marRight w:val="0"/>
      <w:marTop w:val="0"/>
      <w:marBottom w:val="0"/>
      <w:divBdr>
        <w:top w:val="none" w:sz="0" w:space="0" w:color="auto"/>
        <w:left w:val="none" w:sz="0" w:space="0" w:color="auto"/>
        <w:bottom w:val="none" w:sz="0" w:space="0" w:color="auto"/>
        <w:right w:val="none" w:sz="0" w:space="0" w:color="auto"/>
      </w:divBdr>
      <w:divsChild>
        <w:div w:id="806433609">
          <w:marLeft w:val="0"/>
          <w:marRight w:val="0"/>
          <w:marTop w:val="0"/>
          <w:marBottom w:val="0"/>
          <w:divBdr>
            <w:top w:val="none" w:sz="0" w:space="0" w:color="auto"/>
            <w:left w:val="none" w:sz="0" w:space="0" w:color="auto"/>
            <w:bottom w:val="none" w:sz="0" w:space="0" w:color="auto"/>
            <w:right w:val="none" w:sz="0" w:space="0" w:color="auto"/>
          </w:divBdr>
          <w:divsChild>
            <w:div w:id="1503230726">
              <w:marLeft w:val="0"/>
              <w:marRight w:val="0"/>
              <w:marTop w:val="0"/>
              <w:marBottom w:val="0"/>
              <w:divBdr>
                <w:top w:val="none" w:sz="0" w:space="0" w:color="auto"/>
                <w:left w:val="none" w:sz="0" w:space="0" w:color="auto"/>
                <w:bottom w:val="none" w:sz="0" w:space="0" w:color="auto"/>
                <w:right w:val="none" w:sz="0" w:space="0" w:color="auto"/>
              </w:divBdr>
              <w:divsChild>
                <w:div w:id="43413654">
                  <w:marLeft w:val="0"/>
                  <w:marRight w:val="0"/>
                  <w:marTop w:val="0"/>
                  <w:marBottom w:val="0"/>
                  <w:divBdr>
                    <w:top w:val="none" w:sz="0" w:space="0" w:color="auto"/>
                    <w:left w:val="none" w:sz="0" w:space="0" w:color="auto"/>
                    <w:bottom w:val="none" w:sz="0" w:space="0" w:color="auto"/>
                    <w:right w:val="none" w:sz="0" w:space="0" w:color="auto"/>
                  </w:divBdr>
                  <w:divsChild>
                    <w:div w:id="116921839">
                      <w:marLeft w:val="0"/>
                      <w:marRight w:val="0"/>
                      <w:marTop w:val="0"/>
                      <w:marBottom w:val="0"/>
                      <w:divBdr>
                        <w:top w:val="none" w:sz="0" w:space="0" w:color="auto"/>
                        <w:left w:val="none" w:sz="0" w:space="0" w:color="auto"/>
                        <w:bottom w:val="none" w:sz="0" w:space="0" w:color="auto"/>
                        <w:right w:val="none" w:sz="0" w:space="0" w:color="auto"/>
                      </w:divBdr>
                      <w:divsChild>
                        <w:div w:id="586117925">
                          <w:marLeft w:val="0"/>
                          <w:marRight w:val="0"/>
                          <w:marTop w:val="0"/>
                          <w:marBottom w:val="0"/>
                          <w:divBdr>
                            <w:top w:val="none" w:sz="0" w:space="0" w:color="auto"/>
                            <w:left w:val="none" w:sz="0" w:space="0" w:color="auto"/>
                            <w:bottom w:val="none" w:sz="0" w:space="0" w:color="auto"/>
                            <w:right w:val="none" w:sz="0" w:space="0" w:color="auto"/>
                          </w:divBdr>
                          <w:divsChild>
                            <w:div w:id="916406371">
                              <w:marLeft w:val="0"/>
                              <w:marRight w:val="0"/>
                              <w:marTop w:val="0"/>
                              <w:marBottom w:val="0"/>
                              <w:divBdr>
                                <w:top w:val="none" w:sz="0" w:space="0" w:color="auto"/>
                                <w:left w:val="none" w:sz="0" w:space="0" w:color="auto"/>
                                <w:bottom w:val="none" w:sz="0" w:space="0" w:color="auto"/>
                                <w:right w:val="none" w:sz="0" w:space="0" w:color="auto"/>
                              </w:divBdr>
                              <w:divsChild>
                                <w:div w:id="553391617">
                                  <w:marLeft w:val="0"/>
                                  <w:marRight w:val="0"/>
                                  <w:marTop w:val="0"/>
                                  <w:marBottom w:val="0"/>
                                  <w:divBdr>
                                    <w:top w:val="none" w:sz="0" w:space="0" w:color="auto"/>
                                    <w:left w:val="none" w:sz="0" w:space="0" w:color="auto"/>
                                    <w:bottom w:val="none" w:sz="0" w:space="0" w:color="auto"/>
                                    <w:right w:val="none" w:sz="0" w:space="0" w:color="auto"/>
                                  </w:divBdr>
                                  <w:divsChild>
                                    <w:div w:id="160314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8377135">
          <w:marLeft w:val="0"/>
          <w:marRight w:val="0"/>
          <w:marTop w:val="0"/>
          <w:marBottom w:val="0"/>
          <w:divBdr>
            <w:top w:val="none" w:sz="0" w:space="0" w:color="auto"/>
            <w:left w:val="none" w:sz="0" w:space="0" w:color="auto"/>
            <w:bottom w:val="none" w:sz="0" w:space="0" w:color="auto"/>
            <w:right w:val="none" w:sz="0" w:space="0" w:color="auto"/>
          </w:divBdr>
          <w:divsChild>
            <w:div w:id="1924411934">
              <w:marLeft w:val="0"/>
              <w:marRight w:val="0"/>
              <w:marTop w:val="0"/>
              <w:marBottom w:val="0"/>
              <w:divBdr>
                <w:top w:val="none" w:sz="0" w:space="0" w:color="auto"/>
                <w:left w:val="none" w:sz="0" w:space="0" w:color="auto"/>
                <w:bottom w:val="none" w:sz="0" w:space="0" w:color="auto"/>
                <w:right w:val="none" w:sz="0" w:space="0" w:color="auto"/>
              </w:divBdr>
              <w:divsChild>
                <w:div w:id="151528196">
                  <w:marLeft w:val="0"/>
                  <w:marRight w:val="0"/>
                  <w:marTop w:val="0"/>
                  <w:marBottom w:val="0"/>
                  <w:divBdr>
                    <w:top w:val="none" w:sz="0" w:space="0" w:color="auto"/>
                    <w:left w:val="none" w:sz="0" w:space="0" w:color="auto"/>
                    <w:bottom w:val="none" w:sz="0" w:space="0" w:color="auto"/>
                    <w:right w:val="none" w:sz="0" w:space="0" w:color="auto"/>
                  </w:divBdr>
                  <w:divsChild>
                    <w:div w:id="1316956977">
                      <w:marLeft w:val="0"/>
                      <w:marRight w:val="0"/>
                      <w:marTop w:val="0"/>
                      <w:marBottom w:val="0"/>
                      <w:divBdr>
                        <w:top w:val="none" w:sz="0" w:space="0" w:color="auto"/>
                        <w:left w:val="none" w:sz="0" w:space="0" w:color="auto"/>
                        <w:bottom w:val="none" w:sz="0" w:space="0" w:color="auto"/>
                        <w:right w:val="none" w:sz="0" w:space="0" w:color="auto"/>
                      </w:divBdr>
                      <w:divsChild>
                        <w:div w:id="124197221">
                          <w:marLeft w:val="0"/>
                          <w:marRight w:val="0"/>
                          <w:marTop w:val="0"/>
                          <w:marBottom w:val="0"/>
                          <w:divBdr>
                            <w:top w:val="none" w:sz="0" w:space="0" w:color="auto"/>
                            <w:left w:val="none" w:sz="0" w:space="0" w:color="auto"/>
                            <w:bottom w:val="none" w:sz="0" w:space="0" w:color="auto"/>
                            <w:right w:val="none" w:sz="0" w:space="0" w:color="auto"/>
                          </w:divBdr>
                          <w:divsChild>
                            <w:div w:id="310985463">
                              <w:marLeft w:val="0"/>
                              <w:marRight w:val="0"/>
                              <w:marTop w:val="0"/>
                              <w:marBottom w:val="0"/>
                              <w:divBdr>
                                <w:top w:val="none" w:sz="0" w:space="0" w:color="auto"/>
                                <w:left w:val="none" w:sz="0" w:space="0" w:color="auto"/>
                                <w:bottom w:val="none" w:sz="0" w:space="0" w:color="auto"/>
                                <w:right w:val="none" w:sz="0" w:space="0" w:color="auto"/>
                              </w:divBdr>
                              <w:divsChild>
                                <w:div w:id="1468207946">
                                  <w:marLeft w:val="0"/>
                                  <w:marRight w:val="0"/>
                                  <w:marTop w:val="0"/>
                                  <w:marBottom w:val="0"/>
                                  <w:divBdr>
                                    <w:top w:val="none" w:sz="0" w:space="0" w:color="auto"/>
                                    <w:left w:val="none" w:sz="0" w:space="0" w:color="auto"/>
                                    <w:bottom w:val="none" w:sz="0" w:space="0" w:color="auto"/>
                                    <w:right w:val="none" w:sz="0" w:space="0" w:color="auto"/>
                                  </w:divBdr>
                                  <w:divsChild>
                                    <w:div w:id="1444226977">
                                      <w:marLeft w:val="0"/>
                                      <w:marRight w:val="0"/>
                                      <w:marTop w:val="0"/>
                                      <w:marBottom w:val="0"/>
                                      <w:divBdr>
                                        <w:top w:val="none" w:sz="0" w:space="0" w:color="auto"/>
                                        <w:left w:val="none" w:sz="0" w:space="0" w:color="auto"/>
                                        <w:bottom w:val="none" w:sz="0" w:space="0" w:color="auto"/>
                                        <w:right w:val="none" w:sz="0" w:space="0" w:color="auto"/>
                                      </w:divBdr>
                                      <w:divsChild>
                                        <w:div w:id="172749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2295177">
      <w:bodyDiv w:val="1"/>
      <w:marLeft w:val="0"/>
      <w:marRight w:val="0"/>
      <w:marTop w:val="0"/>
      <w:marBottom w:val="0"/>
      <w:divBdr>
        <w:top w:val="none" w:sz="0" w:space="0" w:color="auto"/>
        <w:left w:val="none" w:sz="0" w:space="0" w:color="auto"/>
        <w:bottom w:val="none" w:sz="0" w:space="0" w:color="auto"/>
        <w:right w:val="none" w:sz="0" w:space="0" w:color="auto"/>
      </w:divBdr>
    </w:div>
    <w:div w:id="430247537">
      <w:bodyDiv w:val="1"/>
      <w:marLeft w:val="0"/>
      <w:marRight w:val="0"/>
      <w:marTop w:val="0"/>
      <w:marBottom w:val="0"/>
      <w:divBdr>
        <w:top w:val="none" w:sz="0" w:space="0" w:color="auto"/>
        <w:left w:val="none" w:sz="0" w:space="0" w:color="auto"/>
        <w:bottom w:val="none" w:sz="0" w:space="0" w:color="auto"/>
        <w:right w:val="none" w:sz="0" w:space="0" w:color="auto"/>
      </w:divBdr>
    </w:div>
    <w:div w:id="566957758">
      <w:bodyDiv w:val="1"/>
      <w:marLeft w:val="0"/>
      <w:marRight w:val="0"/>
      <w:marTop w:val="0"/>
      <w:marBottom w:val="0"/>
      <w:divBdr>
        <w:top w:val="none" w:sz="0" w:space="0" w:color="auto"/>
        <w:left w:val="none" w:sz="0" w:space="0" w:color="auto"/>
        <w:bottom w:val="none" w:sz="0" w:space="0" w:color="auto"/>
        <w:right w:val="none" w:sz="0" w:space="0" w:color="auto"/>
      </w:divBdr>
    </w:div>
    <w:div w:id="567689305">
      <w:bodyDiv w:val="1"/>
      <w:marLeft w:val="0"/>
      <w:marRight w:val="0"/>
      <w:marTop w:val="0"/>
      <w:marBottom w:val="0"/>
      <w:divBdr>
        <w:top w:val="none" w:sz="0" w:space="0" w:color="auto"/>
        <w:left w:val="none" w:sz="0" w:space="0" w:color="auto"/>
        <w:bottom w:val="none" w:sz="0" w:space="0" w:color="auto"/>
        <w:right w:val="none" w:sz="0" w:space="0" w:color="auto"/>
      </w:divBdr>
    </w:div>
    <w:div w:id="666397732">
      <w:bodyDiv w:val="1"/>
      <w:marLeft w:val="0"/>
      <w:marRight w:val="0"/>
      <w:marTop w:val="0"/>
      <w:marBottom w:val="0"/>
      <w:divBdr>
        <w:top w:val="none" w:sz="0" w:space="0" w:color="auto"/>
        <w:left w:val="none" w:sz="0" w:space="0" w:color="auto"/>
        <w:bottom w:val="none" w:sz="0" w:space="0" w:color="auto"/>
        <w:right w:val="none" w:sz="0" w:space="0" w:color="auto"/>
      </w:divBdr>
    </w:div>
    <w:div w:id="709454098">
      <w:bodyDiv w:val="1"/>
      <w:marLeft w:val="0"/>
      <w:marRight w:val="0"/>
      <w:marTop w:val="0"/>
      <w:marBottom w:val="0"/>
      <w:divBdr>
        <w:top w:val="none" w:sz="0" w:space="0" w:color="auto"/>
        <w:left w:val="none" w:sz="0" w:space="0" w:color="auto"/>
        <w:bottom w:val="none" w:sz="0" w:space="0" w:color="auto"/>
        <w:right w:val="none" w:sz="0" w:space="0" w:color="auto"/>
      </w:divBdr>
    </w:div>
    <w:div w:id="958218005">
      <w:bodyDiv w:val="1"/>
      <w:marLeft w:val="0"/>
      <w:marRight w:val="0"/>
      <w:marTop w:val="0"/>
      <w:marBottom w:val="0"/>
      <w:divBdr>
        <w:top w:val="none" w:sz="0" w:space="0" w:color="auto"/>
        <w:left w:val="none" w:sz="0" w:space="0" w:color="auto"/>
        <w:bottom w:val="none" w:sz="0" w:space="0" w:color="auto"/>
        <w:right w:val="none" w:sz="0" w:space="0" w:color="auto"/>
      </w:divBdr>
    </w:div>
    <w:div w:id="1106583440">
      <w:bodyDiv w:val="1"/>
      <w:marLeft w:val="0"/>
      <w:marRight w:val="0"/>
      <w:marTop w:val="0"/>
      <w:marBottom w:val="0"/>
      <w:divBdr>
        <w:top w:val="none" w:sz="0" w:space="0" w:color="auto"/>
        <w:left w:val="none" w:sz="0" w:space="0" w:color="auto"/>
        <w:bottom w:val="none" w:sz="0" w:space="0" w:color="auto"/>
        <w:right w:val="none" w:sz="0" w:space="0" w:color="auto"/>
      </w:divBdr>
    </w:div>
    <w:div w:id="1107045264">
      <w:bodyDiv w:val="1"/>
      <w:marLeft w:val="0"/>
      <w:marRight w:val="0"/>
      <w:marTop w:val="0"/>
      <w:marBottom w:val="0"/>
      <w:divBdr>
        <w:top w:val="none" w:sz="0" w:space="0" w:color="auto"/>
        <w:left w:val="none" w:sz="0" w:space="0" w:color="auto"/>
        <w:bottom w:val="none" w:sz="0" w:space="0" w:color="auto"/>
        <w:right w:val="none" w:sz="0" w:space="0" w:color="auto"/>
      </w:divBdr>
    </w:div>
    <w:div w:id="1381713234">
      <w:bodyDiv w:val="1"/>
      <w:marLeft w:val="0"/>
      <w:marRight w:val="0"/>
      <w:marTop w:val="0"/>
      <w:marBottom w:val="0"/>
      <w:divBdr>
        <w:top w:val="none" w:sz="0" w:space="0" w:color="auto"/>
        <w:left w:val="none" w:sz="0" w:space="0" w:color="auto"/>
        <w:bottom w:val="none" w:sz="0" w:space="0" w:color="auto"/>
        <w:right w:val="none" w:sz="0" w:space="0" w:color="auto"/>
      </w:divBdr>
    </w:div>
    <w:div w:id="1982420841">
      <w:bodyDiv w:val="1"/>
      <w:marLeft w:val="0"/>
      <w:marRight w:val="0"/>
      <w:marTop w:val="0"/>
      <w:marBottom w:val="0"/>
      <w:divBdr>
        <w:top w:val="none" w:sz="0" w:space="0" w:color="auto"/>
        <w:left w:val="none" w:sz="0" w:space="0" w:color="auto"/>
        <w:bottom w:val="none" w:sz="0" w:space="0" w:color="auto"/>
        <w:right w:val="none" w:sz="0" w:space="0" w:color="auto"/>
      </w:divBdr>
    </w:div>
    <w:div w:id="2015306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76BAF-96D5-401F-B780-C00FB79D6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1130</Words>
  <Characters>6785</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2026-08-20T07:07:00Z</dcterms:created>
  <dcterms:modified xsi:type="dcterms:W3CDTF">2026-08-20T07:08:00Z</dcterms:modified>
</cp:coreProperties>
</file>