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5651E0" w14:textId="6DD04357" w:rsidR="008263B7" w:rsidRDefault="005015F0" w:rsidP="00673D48">
      <w:pPr>
        <w:spacing w:line="240" w:lineRule="auto"/>
        <w:jc w:val="center"/>
        <w:rPr>
          <w:b/>
          <w:bCs/>
          <w:sz w:val="20"/>
          <w:szCs w:val="20"/>
        </w:rPr>
      </w:pPr>
      <w:r w:rsidRPr="005015F0">
        <w:rPr>
          <w:b/>
          <w:bCs/>
          <w:sz w:val="20"/>
          <w:szCs w:val="20"/>
        </w:rPr>
        <w:t>Jak sytuacja na rynku nieruchomości biurowych wpływa na strategie firm w Polsce</w:t>
      </w:r>
      <w:r w:rsidR="00673D48">
        <w:rPr>
          <w:b/>
          <w:bCs/>
          <w:sz w:val="20"/>
          <w:szCs w:val="20"/>
        </w:rPr>
        <w:br/>
      </w:r>
      <w:r w:rsidR="008263B7" w:rsidRPr="00673D48">
        <w:rPr>
          <w:i/>
          <w:iCs/>
          <w:sz w:val="20"/>
          <w:szCs w:val="20"/>
        </w:rPr>
        <w:t xml:space="preserve">Cushman &amp; Wakefield o </w:t>
      </w:r>
      <w:r>
        <w:rPr>
          <w:i/>
          <w:iCs/>
          <w:sz w:val="20"/>
          <w:szCs w:val="20"/>
        </w:rPr>
        <w:t>dwóch obliczach</w:t>
      </w:r>
      <w:r w:rsidR="008263B7" w:rsidRPr="00673D48">
        <w:rPr>
          <w:i/>
          <w:iCs/>
          <w:sz w:val="20"/>
          <w:szCs w:val="20"/>
        </w:rPr>
        <w:t xml:space="preserve"> polskiego rynku biurowego</w:t>
      </w:r>
    </w:p>
    <w:p w14:paraId="61E8348C" w14:textId="3C99DA71" w:rsidR="005015F0" w:rsidRDefault="005015F0" w:rsidP="00673D48">
      <w:pPr>
        <w:spacing w:line="240" w:lineRule="auto"/>
        <w:jc w:val="both"/>
        <w:rPr>
          <w:b/>
          <w:bCs/>
          <w:sz w:val="20"/>
          <w:szCs w:val="20"/>
        </w:rPr>
      </w:pPr>
      <w:r w:rsidRPr="005015F0">
        <w:rPr>
          <w:b/>
          <w:bCs/>
          <w:sz w:val="20"/>
          <w:szCs w:val="20"/>
        </w:rPr>
        <w:t xml:space="preserve">Analiza ekspertów Cushman &amp; Wakefield </w:t>
      </w:r>
      <w:r>
        <w:rPr>
          <w:b/>
          <w:bCs/>
          <w:sz w:val="20"/>
          <w:szCs w:val="20"/>
        </w:rPr>
        <w:t xml:space="preserve">w Polsce </w:t>
      </w:r>
      <w:r w:rsidRPr="005015F0">
        <w:rPr>
          <w:b/>
          <w:bCs/>
          <w:sz w:val="20"/>
          <w:szCs w:val="20"/>
        </w:rPr>
        <w:t xml:space="preserve">za pierwsze półrocze 2026 roku wskazuje, że Warszawa i miasta regionalne funkcjonują dziś w odmiennych realiach. W stolicy charakter aktywności firm jest coraz silniej kształtowany przez </w:t>
      </w:r>
      <w:r>
        <w:rPr>
          <w:b/>
          <w:bCs/>
          <w:sz w:val="20"/>
          <w:szCs w:val="20"/>
        </w:rPr>
        <w:t xml:space="preserve">duży popyt i </w:t>
      </w:r>
      <w:r w:rsidRPr="005015F0">
        <w:rPr>
          <w:b/>
          <w:bCs/>
          <w:sz w:val="20"/>
          <w:szCs w:val="20"/>
        </w:rPr>
        <w:t>ograniczon</w:t>
      </w:r>
      <w:r>
        <w:rPr>
          <w:b/>
          <w:bCs/>
          <w:sz w:val="20"/>
          <w:szCs w:val="20"/>
        </w:rPr>
        <w:t>y wybór</w:t>
      </w:r>
      <w:r w:rsidRPr="005015F0">
        <w:rPr>
          <w:b/>
          <w:bCs/>
          <w:sz w:val="20"/>
          <w:szCs w:val="20"/>
        </w:rPr>
        <w:t xml:space="preserve"> najlepszych powierzchni, podczas gdy w regionach większa dostępność daje przedsiębiorstwom większą swobodę relokacji.</w:t>
      </w:r>
    </w:p>
    <w:p w14:paraId="3B57FD44" w14:textId="77777777" w:rsidR="005015F0" w:rsidRDefault="005015F0" w:rsidP="005015F0">
      <w:pPr>
        <w:spacing w:line="240" w:lineRule="auto"/>
        <w:jc w:val="both"/>
        <w:rPr>
          <w:sz w:val="20"/>
          <w:szCs w:val="20"/>
        </w:rPr>
      </w:pPr>
      <w:r w:rsidRPr="005015F0">
        <w:rPr>
          <w:b/>
          <w:bCs/>
          <w:sz w:val="20"/>
          <w:szCs w:val="20"/>
        </w:rPr>
        <w:t>Warszawa pozostaje zdecydowanie największym i najbardziej aktywnym rynkiem biurowym w Polsce.</w:t>
      </w:r>
      <w:r w:rsidRPr="005015F0">
        <w:rPr>
          <w:sz w:val="20"/>
          <w:szCs w:val="20"/>
        </w:rPr>
        <w:t xml:space="preserve"> </w:t>
      </w:r>
    </w:p>
    <w:p w14:paraId="2676F650" w14:textId="018DE35C" w:rsidR="005015F0" w:rsidRPr="005015F0" w:rsidRDefault="005015F0" w:rsidP="005015F0">
      <w:pPr>
        <w:spacing w:line="240" w:lineRule="auto"/>
        <w:jc w:val="both"/>
        <w:rPr>
          <w:sz w:val="20"/>
          <w:szCs w:val="20"/>
        </w:rPr>
      </w:pPr>
      <w:r w:rsidRPr="005015F0">
        <w:rPr>
          <w:sz w:val="20"/>
          <w:szCs w:val="20"/>
        </w:rPr>
        <w:t xml:space="preserve">W pierwszym półroczu 2026 roku całkowity popyt osiągnął 416 600 mkw., co oznacza wzrost o 38% rok do roku. Jednocześnie struktura transakcji pokazuje, że duże firmy często decydują się na pozostanie w dotychczasowych lokalizacjach. Wśród 29 transakcji o powierzchni przekraczającej 3000 mkw., zawartych w I półroczu 2026 roku, 12 stanowiły nowe umowy, a 17 renegocjacje. W przypadku transakcji przekraczających 5000 mkw. przewaga renegocjacji jest jeszcze większa </w:t>
      </w:r>
      <w:r>
        <w:rPr>
          <w:sz w:val="20"/>
          <w:szCs w:val="20"/>
        </w:rPr>
        <w:t xml:space="preserve">– </w:t>
      </w:r>
      <w:r w:rsidRPr="005015F0">
        <w:rPr>
          <w:sz w:val="20"/>
          <w:szCs w:val="20"/>
        </w:rPr>
        <w:t>odnotowano 3 nowe umowy i 7 renegocjacji.</w:t>
      </w:r>
    </w:p>
    <w:p w14:paraId="3CD433DA" w14:textId="54CE8D12" w:rsidR="005015F0" w:rsidRPr="005015F0" w:rsidRDefault="005015F0" w:rsidP="005015F0">
      <w:pPr>
        <w:spacing w:line="240" w:lineRule="auto"/>
        <w:jc w:val="both"/>
        <w:rPr>
          <w:sz w:val="20"/>
          <w:szCs w:val="20"/>
        </w:rPr>
      </w:pPr>
      <w:r w:rsidRPr="005015F0">
        <w:rPr>
          <w:sz w:val="20"/>
          <w:szCs w:val="20"/>
        </w:rPr>
        <w:t xml:space="preserve">Można wnioskować, że istotnym czynnikiem skłaniającym firmy do pozostania w dotychczasowej lokalizacji jest nie tylko wygoda czy bardziej oszczędne podejście do budżetu, ale także wspomniana wcześniej ograniczona dostępność najlepszych powierzchni biurowych. Jednocześnie obserwowane są również nowe transakcje o bardzo dużej skali realizowane w najbardziej prestiżowych lokalizacjach biurowych miasta, takich jak </w:t>
      </w:r>
      <w:r w:rsidR="00124FD9">
        <w:rPr>
          <w:sz w:val="20"/>
          <w:szCs w:val="20"/>
        </w:rPr>
        <w:t xml:space="preserve">granica </w:t>
      </w:r>
      <w:r w:rsidRPr="005015F0">
        <w:rPr>
          <w:sz w:val="20"/>
          <w:szCs w:val="20"/>
        </w:rPr>
        <w:t>Wol</w:t>
      </w:r>
      <w:r w:rsidR="00124FD9">
        <w:rPr>
          <w:sz w:val="20"/>
          <w:szCs w:val="20"/>
        </w:rPr>
        <w:t>i i Śródmieścia, ze szczególnym uwzględnieniem Ronda Daszyńskiego</w:t>
      </w:r>
      <w:r w:rsidRPr="005015F0">
        <w:rPr>
          <w:sz w:val="20"/>
          <w:szCs w:val="20"/>
        </w:rPr>
        <w:t xml:space="preserve">. Potwierdzeniem tego trendu są m.in. </w:t>
      </w:r>
      <w:proofErr w:type="spellStart"/>
      <w:r w:rsidRPr="005015F0">
        <w:rPr>
          <w:sz w:val="20"/>
          <w:szCs w:val="20"/>
        </w:rPr>
        <w:t>przednajem</w:t>
      </w:r>
      <w:proofErr w:type="spellEnd"/>
      <w:r w:rsidRPr="005015F0">
        <w:rPr>
          <w:sz w:val="20"/>
          <w:szCs w:val="20"/>
        </w:rPr>
        <w:t xml:space="preserve"> 20 000 mkw. przez </w:t>
      </w:r>
      <w:proofErr w:type="spellStart"/>
      <w:r w:rsidRPr="005015F0">
        <w:rPr>
          <w:sz w:val="20"/>
          <w:szCs w:val="20"/>
        </w:rPr>
        <w:t>PwC</w:t>
      </w:r>
      <w:proofErr w:type="spellEnd"/>
      <w:r w:rsidRPr="005015F0">
        <w:rPr>
          <w:sz w:val="20"/>
          <w:szCs w:val="20"/>
        </w:rPr>
        <w:t xml:space="preserve"> w </w:t>
      </w:r>
      <w:proofErr w:type="spellStart"/>
      <w:r w:rsidRPr="005015F0">
        <w:rPr>
          <w:sz w:val="20"/>
          <w:szCs w:val="20"/>
        </w:rPr>
        <w:t>Afi</w:t>
      </w:r>
      <w:proofErr w:type="spellEnd"/>
      <w:r w:rsidRPr="005015F0">
        <w:rPr>
          <w:sz w:val="20"/>
          <w:szCs w:val="20"/>
        </w:rPr>
        <w:t xml:space="preserve"> Tower, zawarty w trzecim kwartale 2026 </w:t>
      </w:r>
      <w:proofErr w:type="gramStart"/>
      <w:r w:rsidRPr="005015F0">
        <w:rPr>
          <w:sz w:val="20"/>
          <w:szCs w:val="20"/>
        </w:rPr>
        <w:t>roku,</w:t>
      </w:r>
      <w:proofErr w:type="gramEnd"/>
      <w:r w:rsidRPr="005015F0">
        <w:rPr>
          <w:sz w:val="20"/>
          <w:szCs w:val="20"/>
        </w:rPr>
        <w:t xml:space="preserve"> oraz podpisana w drugim kwartale 2026 roku umowa najmu firmy Visa w The Bridge, obejmująca ok. 17 300 mkw.</w:t>
      </w:r>
    </w:p>
    <w:p w14:paraId="33D61567" w14:textId="77777777" w:rsidR="005015F0" w:rsidRPr="005015F0" w:rsidRDefault="005015F0" w:rsidP="005015F0">
      <w:pPr>
        <w:spacing w:line="240" w:lineRule="auto"/>
        <w:jc w:val="both"/>
        <w:rPr>
          <w:sz w:val="20"/>
          <w:szCs w:val="20"/>
        </w:rPr>
      </w:pPr>
      <w:r w:rsidRPr="005015F0">
        <w:rPr>
          <w:sz w:val="20"/>
          <w:szCs w:val="20"/>
        </w:rPr>
        <w:t>Najważniejsze dane rynkowe w Warszawie:</w:t>
      </w:r>
    </w:p>
    <w:p w14:paraId="36FFD6C7" w14:textId="01D309BC" w:rsidR="005015F0" w:rsidRPr="005015F0" w:rsidRDefault="005015F0" w:rsidP="005015F0">
      <w:pPr>
        <w:pStyle w:val="ListParagraph"/>
        <w:numPr>
          <w:ilvl w:val="0"/>
          <w:numId w:val="18"/>
        </w:numPr>
        <w:spacing w:line="240" w:lineRule="auto"/>
        <w:jc w:val="both"/>
        <w:rPr>
          <w:sz w:val="20"/>
          <w:szCs w:val="20"/>
        </w:rPr>
      </w:pPr>
      <w:r w:rsidRPr="005015F0">
        <w:rPr>
          <w:sz w:val="20"/>
          <w:szCs w:val="20"/>
        </w:rPr>
        <w:t>W I połowie 2026 roku całkowity popyt na powierzchnię biurową w Warszawie osiągnął 416 600 mkw., co oznacza wzrost o 38% r/r.</w:t>
      </w:r>
    </w:p>
    <w:p w14:paraId="0FDF5947" w14:textId="4FC59C23" w:rsidR="005015F0" w:rsidRPr="005015F0" w:rsidRDefault="005015F0" w:rsidP="005015F0">
      <w:pPr>
        <w:pStyle w:val="ListParagraph"/>
        <w:numPr>
          <w:ilvl w:val="0"/>
          <w:numId w:val="18"/>
        </w:numPr>
        <w:spacing w:line="240" w:lineRule="auto"/>
        <w:jc w:val="both"/>
        <w:rPr>
          <w:sz w:val="20"/>
          <w:szCs w:val="20"/>
        </w:rPr>
      </w:pPr>
      <w:r w:rsidRPr="005015F0">
        <w:rPr>
          <w:sz w:val="20"/>
          <w:szCs w:val="20"/>
        </w:rPr>
        <w:t>Renegocjacje odpowiadały za 48% całkowitego popytu w stolicy.</w:t>
      </w:r>
    </w:p>
    <w:p w14:paraId="0670A920" w14:textId="541908DC" w:rsidR="005015F0" w:rsidRPr="005015F0" w:rsidRDefault="005015F0" w:rsidP="005015F0">
      <w:pPr>
        <w:pStyle w:val="ListParagraph"/>
        <w:numPr>
          <w:ilvl w:val="0"/>
          <w:numId w:val="18"/>
        </w:numPr>
        <w:spacing w:line="240" w:lineRule="auto"/>
        <w:jc w:val="both"/>
        <w:rPr>
          <w:sz w:val="20"/>
          <w:szCs w:val="20"/>
        </w:rPr>
      </w:pPr>
      <w:r w:rsidRPr="005015F0">
        <w:rPr>
          <w:sz w:val="20"/>
          <w:szCs w:val="20"/>
        </w:rPr>
        <w:t>Przedłużenia umów zdominowały segment dużych transakcji przekraczających 3000 mkw.</w:t>
      </w:r>
    </w:p>
    <w:p w14:paraId="5C6860A4" w14:textId="4C0F49C5" w:rsidR="005015F0" w:rsidRPr="005015F0" w:rsidRDefault="005015F0" w:rsidP="005015F0">
      <w:pPr>
        <w:pStyle w:val="ListParagraph"/>
        <w:numPr>
          <w:ilvl w:val="0"/>
          <w:numId w:val="18"/>
        </w:numPr>
        <w:spacing w:line="240" w:lineRule="auto"/>
        <w:jc w:val="both"/>
        <w:rPr>
          <w:sz w:val="20"/>
          <w:szCs w:val="20"/>
        </w:rPr>
      </w:pPr>
      <w:r w:rsidRPr="005015F0">
        <w:rPr>
          <w:sz w:val="20"/>
          <w:szCs w:val="20"/>
        </w:rPr>
        <w:t>W segmencie małych biur, poniżej 1000 mkw., przeważały nowe umowy najmu.</w:t>
      </w:r>
    </w:p>
    <w:p w14:paraId="2B50586F" w14:textId="77777777" w:rsidR="005015F0" w:rsidRPr="005015F0" w:rsidRDefault="005015F0" w:rsidP="005015F0">
      <w:pPr>
        <w:spacing w:line="240" w:lineRule="auto"/>
        <w:jc w:val="both"/>
        <w:rPr>
          <w:b/>
          <w:bCs/>
          <w:sz w:val="20"/>
          <w:szCs w:val="20"/>
        </w:rPr>
      </w:pPr>
      <w:r w:rsidRPr="005015F0">
        <w:rPr>
          <w:b/>
          <w:bCs/>
          <w:sz w:val="20"/>
          <w:szCs w:val="20"/>
        </w:rPr>
        <w:t>W regionach większa elastyczność i więcej relokacji</w:t>
      </w:r>
    </w:p>
    <w:p w14:paraId="445D6088" w14:textId="77777777" w:rsidR="005015F0" w:rsidRPr="005015F0" w:rsidRDefault="005015F0" w:rsidP="005015F0">
      <w:pPr>
        <w:spacing w:line="240" w:lineRule="auto"/>
        <w:jc w:val="both"/>
        <w:rPr>
          <w:sz w:val="20"/>
          <w:szCs w:val="20"/>
        </w:rPr>
      </w:pPr>
      <w:r w:rsidRPr="005015F0">
        <w:rPr>
          <w:sz w:val="20"/>
          <w:szCs w:val="20"/>
        </w:rPr>
        <w:t>Na rynkach regionalnych sytuacja wygląda odmiennie. Większa dostępność powierzchni oraz szerszy wybór lokalizacji sprawiają, że firmy częściej decydują się na zmianę biura lub powiększenie zajmowanej powierzchni na korzystniejszych warunkach. Nie oznacza to, że przedsiębiorstwa poza Warszawą są bardziej skłonne do ponoszenia kosztów, lecz to, że lokalne warunki rynkowe dają im większą swobodę działania.</w:t>
      </w:r>
    </w:p>
    <w:p w14:paraId="4D4D22D0" w14:textId="77777777" w:rsidR="005015F0" w:rsidRPr="005015F0" w:rsidRDefault="005015F0" w:rsidP="005015F0">
      <w:pPr>
        <w:spacing w:line="240" w:lineRule="auto"/>
        <w:jc w:val="both"/>
        <w:rPr>
          <w:sz w:val="20"/>
          <w:szCs w:val="20"/>
        </w:rPr>
      </w:pPr>
      <w:r w:rsidRPr="005015F0">
        <w:rPr>
          <w:sz w:val="20"/>
          <w:szCs w:val="20"/>
        </w:rPr>
        <w:t xml:space="preserve">Wielkość transakcji zawieranych przez najemców na rynkach regionalnych również jest znacząca – przykładowo największą transakcją zawartą w pierwszej połowie 2026 roku poza Warszawą była nowa umowa najmu podpisana przez Brown </w:t>
      </w:r>
      <w:proofErr w:type="spellStart"/>
      <w:r w:rsidRPr="005015F0">
        <w:rPr>
          <w:sz w:val="20"/>
          <w:szCs w:val="20"/>
        </w:rPr>
        <w:t>Brothers</w:t>
      </w:r>
      <w:proofErr w:type="spellEnd"/>
      <w:r w:rsidRPr="005015F0">
        <w:rPr>
          <w:sz w:val="20"/>
          <w:szCs w:val="20"/>
        </w:rPr>
        <w:t xml:space="preserve"> Harriman w nowo oddanym krakowskim biurowcu Wita C, obejmująca 13 300 mkw. powierzchni.</w:t>
      </w:r>
    </w:p>
    <w:p w14:paraId="233D6480" w14:textId="77777777" w:rsidR="005015F0" w:rsidRPr="005015F0" w:rsidRDefault="005015F0" w:rsidP="005015F0">
      <w:pPr>
        <w:spacing w:line="240" w:lineRule="auto"/>
        <w:jc w:val="both"/>
        <w:rPr>
          <w:sz w:val="20"/>
          <w:szCs w:val="20"/>
        </w:rPr>
      </w:pPr>
      <w:r w:rsidRPr="005015F0">
        <w:rPr>
          <w:sz w:val="20"/>
          <w:szCs w:val="20"/>
        </w:rPr>
        <w:t>Najważniejsze dane rynkowe w regionach:</w:t>
      </w:r>
    </w:p>
    <w:p w14:paraId="05453B4D" w14:textId="7197F56C" w:rsidR="005015F0" w:rsidRPr="005015F0" w:rsidRDefault="005015F0" w:rsidP="005015F0">
      <w:pPr>
        <w:pStyle w:val="ListParagraph"/>
        <w:numPr>
          <w:ilvl w:val="0"/>
          <w:numId w:val="18"/>
        </w:numPr>
        <w:spacing w:line="240" w:lineRule="auto"/>
        <w:jc w:val="both"/>
        <w:rPr>
          <w:sz w:val="20"/>
          <w:szCs w:val="20"/>
        </w:rPr>
      </w:pPr>
      <w:r w:rsidRPr="005015F0">
        <w:rPr>
          <w:sz w:val="20"/>
          <w:szCs w:val="20"/>
        </w:rPr>
        <w:lastRenderedPageBreak/>
        <w:t>Na rynkach regionalnych udział nowych umów wyniósł 47%, przewyższając renegocjacje na poziomie 41%.</w:t>
      </w:r>
    </w:p>
    <w:p w14:paraId="4F12DE66" w14:textId="53EB0463" w:rsidR="005015F0" w:rsidRPr="005015F0" w:rsidRDefault="005015F0" w:rsidP="005015F0">
      <w:pPr>
        <w:pStyle w:val="ListParagraph"/>
        <w:numPr>
          <w:ilvl w:val="0"/>
          <w:numId w:val="18"/>
        </w:numPr>
        <w:spacing w:line="240" w:lineRule="auto"/>
        <w:jc w:val="both"/>
        <w:rPr>
          <w:sz w:val="20"/>
          <w:szCs w:val="20"/>
        </w:rPr>
      </w:pPr>
      <w:r w:rsidRPr="005015F0">
        <w:rPr>
          <w:sz w:val="20"/>
          <w:szCs w:val="20"/>
        </w:rPr>
        <w:t>Udział ekspansji osiągnął 10% całkowitego popytu. Dla porównania, w Warszawie ekspansje odpowiadały za 5% aktywności najemców.</w:t>
      </w:r>
    </w:p>
    <w:p w14:paraId="21EAD7E2" w14:textId="77777777" w:rsidR="005015F0" w:rsidRPr="005015F0" w:rsidRDefault="005015F0" w:rsidP="005015F0">
      <w:pPr>
        <w:spacing w:line="240" w:lineRule="auto"/>
        <w:jc w:val="both"/>
        <w:rPr>
          <w:b/>
          <w:bCs/>
          <w:sz w:val="20"/>
          <w:szCs w:val="20"/>
        </w:rPr>
      </w:pPr>
      <w:r w:rsidRPr="005015F0">
        <w:rPr>
          <w:b/>
          <w:bCs/>
          <w:sz w:val="20"/>
          <w:szCs w:val="20"/>
        </w:rPr>
        <w:t>Powrót do biur zwiększa znaczenie jakości lokalizacji</w:t>
      </w:r>
    </w:p>
    <w:p w14:paraId="4968B0FF" w14:textId="63AF3A00" w:rsidR="005015F0" w:rsidRPr="005015F0" w:rsidRDefault="005015F0" w:rsidP="005015F0">
      <w:pPr>
        <w:spacing w:line="240" w:lineRule="auto"/>
        <w:jc w:val="both"/>
        <w:rPr>
          <w:sz w:val="20"/>
          <w:szCs w:val="20"/>
        </w:rPr>
      </w:pPr>
      <w:r w:rsidRPr="005015F0">
        <w:rPr>
          <w:sz w:val="20"/>
          <w:szCs w:val="20"/>
        </w:rPr>
        <w:t>Wśród najemców z najwyższym potencjałem ekspansji na rynku biurowym znajdują się firmy z sektora farmaceutycznego i medycznego, technologicznego, obronnego oraz instytucje publiczne. Coraz częściej biuro postrzegane jest nie tylko jako miejsce pracy, ale także narzędzie wspierające współpracę, budowanie kultury organizacyjnej oraz pozyskiwanie talentów.</w:t>
      </w:r>
    </w:p>
    <w:p w14:paraId="505B13CE" w14:textId="77777777" w:rsidR="005015F0" w:rsidRPr="005015F0" w:rsidRDefault="005015F0" w:rsidP="005015F0">
      <w:pPr>
        <w:spacing w:line="240" w:lineRule="auto"/>
        <w:jc w:val="both"/>
        <w:rPr>
          <w:sz w:val="20"/>
          <w:szCs w:val="20"/>
        </w:rPr>
      </w:pPr>
      <w:r w:rsidRPr="005015F0">
        <w:rPr>
          <w:sz w:val="20"/>
          <w:szCs w:val="20"/>
        </w:rPr>
        <w:t xml:space="preserve">– </w:t>
      </w:r>
      <w:r w:rsidRPr="005015F0">
        <w:rPr>
          <w:i/>
          <w:iCs/>
          <w:sz w:val="20"/>
          <w:szCs w:val="20"/>
        </w:rPr>
        <w:t xml:space="preserve">Biuro ponownie zyskuje na znaczeniu jako miejsce współpracy, budowania kultury organizacyjnej i przyciągania pracowników. Firmy nie wracają jednak do rozwiązań sprzed pandemii. Poszukują przestrzeni efektywnych, elastycznych i dobrze skomunikowanych, które uzasadniają przyjazd pracowników do siedziby </w:t>
      </w:r>
      <w:r w:rsidRPr="005015F0">
        <w:rPr>
          <w:sz w:val="20"/>
          <w:szCs w:val="20"/>
        </w:rPr>
        <w:t xml:space="preserve">– mówi </w:t>
      </w:r>
      <w:r w:rsidRPr="005015F0">
        <w:rPr>
          <w:b/>
          <w:bCs/>
          <w:sz w:val="20"/>
          <w:szCs w:val="20"/>
        </w:rPr>
        <w:t>Piotr Capiga, Senior Leasing and Business Development Manager, Cushman &amp; Wakefield</w:t>
      </w:r>
      <w:r w:rsidRPr="005015F0">
        <w:rPr>
          <w:sz w:val="20"/>
          <w:szCs w:val="20"/>
        </w:rPr>
        <w:t>.</w:t>
      </w:r>
    </w:p>
    <w:p w14:paraId="5113B8A0" w14:textId="77777777" w:rsidR="005015F0" w:rsidRPr="005015F0" w:rsidRDefault="005015F0" w:rsidP="005015F0">
      <w:pPr>
        <w:spacing w:line="240" w:lineRule="auto"/>
        <w:jc w:val="both"/>
        <w:rPr>
          <w:sz w:val="20"/>
          <w:szCs w:val="20"/>
        </w:rPr>
      </w:pPr>
      <w:r w:rsidRPr="005015F0">
        <w:rPr>
          <w:sz w:val="20"/>
          <w:szCs w:val="20"/>
        </w:rPr>
        <w:t>Równocześnie firmy planujące rozwój muszą uwzględniać coraz bardziej ograniczoną dostępność najlepszych powierzchni. Dotyczy to nie tylko Warszawy, ale również wybranych miast regionalnych.</w:t>
      </w:r>
    </w:p>
    <w:p w14:paraId="7C9EB673" w14:textId="35A7596D" w:rsidR="005015F0" w:rsidRPr="005015F0" w:rsidRDefault="005015F0" w:rsidP="005015F0">
      <w:pPr>
        <w:pStyle w:val="ListParagraph"/>
        <w:numPr>
          <w:ilvl w:val="0"/>
          <w:numId w:val="18"/>
        </w:numPr>
        <w:spacing w:line="240" w:lineRule="auto"/>
        <w:jc w:val="both"/>
        <w:rPr>
          <w:sz w:val="20"/>
          <w:szCs w:val="20"/>
        </w:rPr>
      </w:pPr>
      <w:r w:rsidRPr="005015F0">
        <w:rPr>
          <w:sz w:val="20"/>
          <w:szCs w:val="20"/>
        </w:rPr>
        <w:t xml:space="preserve">Wskaźnik pustostanów w Warszawie spadł do 8,5% (-2,3 </w:t>
      </w:r>
      <w:proofErr w:type="spellStart"/>
      <w:r w:rsidRPr="005015F0">
        <w:rPr>
          <w:sz w:val="20"/>
          <w:szCs w:val="20"/>
        </w:rPr>
        <w:t>p.p</w:t>
      </w:r>
      <w:proofErr w:type="spellEnd"/>
      <w:r w:rsidRPr="005015F0">
        <w:rPr>
          <w:sz w:val="20"/>
          <w:szCs w:val="20"/>
        </w:rPr>
        <w:t>. r/r).</w:t>
      </w:r>
    </w:p>
    <w:p w14:paraId="6FCA624B" w14:textId="5D83A60F" w:rsidR="005015F0" w:rsidRPr="005015F0" w:rsidRDefault="005015F0" w:rsidP="005015F0">
      <w:pPr>
        <w:pStyle w:val="ListParagraph"/>
        <w:numPr>
          <w:ilvl w:val="0"/>
          <w:numId w:val="18"/>
        </w:numPr>
        <w:spacing w:line="240" w:lineRule="auto"/>
        <w:jc w:val="both"/>
        <w:rPr>
          <w:sz w:val="20"/>
          <w:szCs w:val="20"/>
        </w:rPr>
      </w:pPr>
      <w:r w:rsidRPr="005015F0">
        <w:rPr>
          <w:sz w:val="20"/>
          <w:szCs w:val="20"/>
        </w:rPr>
        <w:t xml:space="preserve">W Poznaniu obniżył się do 11,5% (-3,3 </w:t>
      </w:r>
      <w:proofErr w:type="spellStart"/>
      <w:r w:rsidRPr="005015F0">
        <w:rPr>
          <w:sz w:val="20"/>
          <w:szCs w:val="20"/>
        </w:rPr>
        <w:t>p.p</w:t>
      </w:r>
      <w:proofErr w:type="spellEnd"/>
      <w:r w:rsidRPr="005015F0">
        <w:rPr>
          <w:sz w:val="20"/>
          <w:szCs w:val="20"/>
        </w:rPr>
        <w:t>. r/r).</w:t>
      </w:r>
    </w:p>
    <w:p w14:paraId="59F62BA0" w14:textId="1E0D5731" w:rsidR="005015F0" w:rsidRPr="005015F0" w:rsidRDefault="005015F0" w:rsidP="005015F0">
      <w:pPr>
        <w:pStyle w:val="ListParagraph"/>
        <w:numPr>
          <w:ilvl w:val="0"/>
          <w:numId w:val="18"/>
        </w:numPr>
        <w:spacing w:line="240" w:lineRule="auto"/>
        <w:jc w:val="both"/>
        <w:rPr>
          <w:sz w:val="20"/>
          <w:szCs w:val="20"/>
        </w:rPr>
      </w:pPr>
      <w:r w:rsidRPr="005015F0">
        <w:rPr>
          <w:sz w:val="20"/>
          <w:szCs w:val="20"/>
        </w:rPr>
        <w:t xml:space="preserve">W Trójmieście zmniejszył się do 10,4% (-2,3 </w:t>
      </w:r>
      <w:proofErr w:type="spellStart"/>
      <w:r w:rsidRPr="005015F0">
        <w:rPr>
          <w:sz w:val="20"/>
          <w:szCs w:val="20"/>
        </w:rPr>
        <w:t>p.p</w:t>
      </w:r>
      <w:proofErr w:type="spellEnd"/>
      <w:r w:rsidRPr="005015F0">
        <w:rPr>
          <w:sz w:val="20"/>
          <w:szCs w:val="20"/>
        </w:rPr>
        <w:t>. r/r).</w:t>
      </w:r>
    </w:p>
    <w:p w14:paraId="53F48FA9" w14:textId="77777777" w:rsidR="005015F0" w:rsidRPr="005015F0" w:rsidRDefault="005015F0" w:rsidP="005015F0">
      <w:pPr>
        <w:spacing w:line="240" w:lineRule="auto"/>
        <w:jc w:val="both"/>
        <w:rPr>
          <w:sz w:val="20"/>
          <w:szCs w:val="20"/>
        </w:rPr>
      </w:pPr>
      <w:r w:rsidRPr="005015F0">
        <w:rPr>
          <w:sz w:val="20"/>
          <w:szCs w:val="20"/>
        </w:rPr>
        <w:t>Prognozy wskazują, że w 2027 roku do użytku trafi jedynie 100-120 tys. mkw. nowej powierzchni biurowej w skali kraju.</w:t>
      </w:r>
    </w:p>
    <w:p w14:paraId="123A2783" w14:textId="68382DDE" w:rsidR="003858CE" w:rsidRPr="003858CE" w:rsidRDefault="005015F0" w:rsidP="005015F0">
      <w:pPr>
        <w:spacing w:line="240" w:lineRule="auto"/>
        <w:jc w:val="both"/>
        <w:rPr>
          <w:b/>
          <w:bCs/>
          <w:sz w:val="20"/>
          <w:szCs w:val="20"/>
        </w:rPr>
      </w:pPr>
      <w:r w:rsidRPr="005015F0">
        <w:rPr>
          <w:sz w:val="20"/>
          <w:szCs w:val="20"/>
        </w:rPr>
        <w:t xml:space="preserve">– </w:t>
      </w:r>
      <w:r w:rsidRPr="005015F0">
        <w:rPr>
          <w:i/>
          <w:iCs/>
          <w:sz w:val="20"/>
          <w:szCs w:val="20"/>
        </w:rPr>
        <w:t xml:space="preserve">W dobie trendu </w:t>
      </w:r>
      <w:proofErr w:type="spellStart"/>
      <w:r w:rsidRPr="005015F0">
        <w:rPr>
          <w:i/>
          <w:iCs/>
          <w:sz w:val="20"/>
          <w:szCs w:val="20"/>
        </w:rPr>
        <w:t>flight</w:t>
      </w:r>
      <w:proofErr w:type="spellEnd"/>
      <w:r w:rsidRPr="005015F0">
        <w:rPr>
          <w:i/>
          <w:iCs/>
          <w:sz w:val="20"/>
          <w:szCs w:val="20"/>
        </w:rPr>
        <w:t xml:space="preserve"> to </w:t>
      </w:r>
      <w:proofErr w:type="spellStart"/>
      <w:r w:rsidRPr="005015F0">
        <w:rPr>
          <w:i/>
          <w:iCs/>
          <w:sz w:val="20"/>
          <w:szCs w:val="20"/>
        </w:rPr>
        <w:t>quality</w:t>
      </w:r>
      <w:proofErr w:type="spellEnd"/>
      <w:r w:rsidRPr="005015F0">
        <w:rPr>
          <w:i/>
          <w:iCs/>
          <w:sz w:val="20"/>
          <w:szCs w:val="20"/>
        </w:rPr>
        <w:t xml:space="preserve"> biuro pozostaje kluczowym elementem przyciągania talentów, jednak jego utrzymanie wymaga efektywnego zaplanowania i gospodarowania przestrzenią. Rosnące stawki czynszów </w:t>
      </w:r>
      <w:proofErr w:type="spellStart"/>
      <w:r w:rsidRPr="005015F0">
        <w:rPr>
          <w:i/>
          <w:iCs/>
          <w:sz w:val="20"/>
          <w:szCs w:val="20"/>
        </w:rPr>
        <w:t>premium</w:t>
      </w:r>
      <w:proofErr w:type="spellEnd"/>
      <w:r w:rsidRPr="005015F0">
        <w:rPr>
          <w:i/>
          <w:iCs/>
          <w:sz w:val="20"/>
          <w:szCs w:val="20"/>
        </w:rPr>
        <w:t xml:space="preserve"> stawiają przed firmami wyzwanie dokładnego budżetowania. Stawki </w:t>
      </w:r>
      <w:proofErr w:type="spellStart"/>
      <w:r w:rsidRPr="005015F0">
        <w:rPr>
          <w:i/>
          <w:iCs/>
          <w:sz w:val="20"/>
          <w:szCs w:val="20"/>
        </w:rPr>
        <w:t>premium</w:t>
      </w:r>
      <w:proofErr w:type="spellEnd"/>
      <w:r w:rsidRPr="005015F0">
        <w:rPr>
          <w:i/>
          <w:iCs/>
          <w:sz w:val="20"/>
          <w:szCs w:val="20"/>
        </w:rPr>
        <w:t xml:space="preserve"> w centrum Warszawy wzrosły od początku roku o średnio 0,5 EUR/mkw., osiągając poziom 24,00-29,00 EUR/mkw./miesiąc. Wzrosty stawek odnotowano również na rynkach regionalnych, m.in. w Krakowie i Katowicach, choć w regionach koszty najmu powierzchni biurowych pozostają wyraźnie niższe i wynoszą 14,00-18,00 EUR/mkw./miesiąc.</w:t>
      </w:r>
      <w:r w:rsidRPr="005015F0">
        <w:rPr>
          <w:sz w:val="20"/>
          <w:szCs w:val="20"/>
        </w:rPr>
        <w:t xml:space="preserve"> – dodaje </w:t>
      </w:r>
      <w:r w:rsidRPr="005015F0">
        <w:rPr>
          <w:b/>
          <w:bCs/>
          <w:sz w:val="20"/>
          <w:szCs w:val="20"/>
        </w:rPr>
        <w:t xml:space="preserve">Adam Schroeder, </w:t>
      </w:r>
      <w:proofErr w:type="spellStart"/>
      <w:r w:rsidRPr="005015F0">
        <w:rPr>
          <w:b/>
          <w:bCs/>
          <w:sz w:val="20"/>
          <w:szCs w:val="20"/>
        </w:rPr>
        <w:t>Associate</w:t>
      </w:r>
      <w:proofErr w:type="spellEnd"/>
      <w:r w:rsidRPr="005015F0">
        <w:rPr>
          <w:b/>
          <w:bCs/>
          <w:sz w:val="20"/>
          <w:szCs w:val="20"/>
        </w:rPr>
        <w:t xml:space="preserve">, </w:t>
      </w:r>
      <w:proofErr w:type="spellStart"/>
      <w:r w:rsidRPr="005015F0">
        <w:rPr>
          <w:b/>
          <w:bCs/>
          <w:sz w:val="20"/>
          <w:szCs w:val="20"/>
        </w:rPr>
        <w:t>Head</w:t>
      </w:r>
      <w:proofErr w:type="spellEnd"/>
      <w:r w:rsidRPr="005015F0">
        <w:rPr>
          <w:b/>
          <w:bCs/>
          <w:sz w:val="20"/>
          <w:szCs w:val="20"/>
        </w:rPr>
        <w:t xml:space="preserve"> of Leasing &amp; Business Development, Office Agency, Cushman &amp; Wakefield</w:t>
      </w:r>
      <w:r w:rsidRPr="005015F0">
        <w:rPr>
          <w:sz w:val="20"/>
          <w:szCs w:val="20"/>
        </w:rPr>
        <w:t>.</w:t>
      </w:r>
    </w:p>
    <w:p w14:paraId="6E5BEA49" w14:textId="77777777" w:rsidR="00FB442B" w:rsidRDefault="00345308">
      <w:pPr>
        <w:jc w:val="center"/>
        <w:rPr>
          <w:sz w:val="16"/>
          <w:szCs w:val="16"/>
        </w:rPr>
      </w:pPr>
      <w:r>
        <w:rPr>
          <w:sz w:val="16"/>
          <w:szCs w:val="16"/>
        </w:rPr>
        <w:t xml:space="preserve">- </w:t>
      </w:r>
      <w:r>
        <w:rPr>
          <w:b/>
          <w:bCs/>
          <w:sz w:val="16"/>
          <w:szCs w:val="16"/>
        </w:rPr>
        <w:t>KONIEC -</w:t>
      </w:r>
    </w:p>
    <w:p w14:paraId="5737D98B" w14:textId="77777777" w:rsidR="00FB442B" w:rsidRDefault="00FB442B">
      <w:pPr>
        <w:spacing w:line="240" w:lineRule="auto"/>
        <w:jc w:val="both"/>
        <w:rPr>
          <w:b/>
          <w:bCs/>
          <w:sz w:val="20"/>
          <w:szCs w:val="20"/>
        </w:rPr>
      </w:pPr>
    </w:p>
    <w:p w14:paraId="14A1A069" w14:textId="77777777" w:rsidR="00FB442B" w:rsidRDefault="00345308">
      <w:pPr>
        <w:spacing w:line="240" w:lineRule="auto"/>
        <w:jc w:val="both"/>
        <w:rPr>
          <w:b/>
          <w:bCs/>
          <w:sz w:val="20"/>
          <w:szCs w:val="20"/>
        </w:rPr>
      </w:pPr>
      <w:r>
        <w:rPr>
          <w:b/>
          <w:bCs/>
          <w:sz w:val="16"/>
          <w:szCs w:val="16"/>
        </w:rPr>
        <w:t>O Cushman &amp; Wakefield</w:t>
      </w:r>
    </w:p>
    <w:p w14:paraId="179399BD" w14:textId="77777777" w:rsidR="00FB442B" w:rsidRDefault="00345308">
      <w:pPr>
        <w:pBdr>
          <w:top w:val="nil"/>
          <w:left w:val="nil"/>
          <w:bottom w:val="nil"/>
          <w:right w:val="nil"/>
          <w:between w:val="nil"/>
        </w:pBdr>
        <w:shd w:val="clear" w:color="auto" w:fill="FFFFFF"/>
        <w:spacing w:after="0" w:line="240" w:lineRule="auto"/>
        <w:jc w:val="both"/>
        <w:rPr>
          <w:color w:val="000000"/>
          <w:sz w:val="18"/>
          <w:szCs w:val="18"/>
        </w:rPr>
      </w:pPr>
      <w:r>
        <w:rPr>
          <w:color w:val="000000"/>
          <w:sz w:val="18"/>
          <w:szCs w:val="18"/>
        </w:rPr>
        <w:t xml:space="preserve">Cushman &amp; Wakefield (NYSE: CWK) jest wiodącą na świecie firmą świadczącą usługi na rynku nieruchomości komercyjnych na rzecz najemców i inwestorów. Zatrudnia ok. 53 tys. pracowników w ponad 350 biurach i niemal 60 krajach na całym świecie. W 2025 roku jej przychody wyniosły 10,3 mld USD. Do najważniejszych usług świadczonych przez firmę należą m.in. zarządzanie nieruchomościami, obiektami i projektami, pośrednictwo w wynajmie powierzchni, obsługa </w:t>
      </w:r>
      <w:r>
        <w:rPr>
          <w:color w:val="000000"/>
          <w:sz w:val="18"/>
          <w:szCs w:val="18"/>
        </w:rPr>
        <w:lastRenderedPageBreak/>
        <w:t>transakcji na rynkach kapitałowych oraz wyceny. Za nieustanne dążenie do doskonałości zgodnie z zasadą</w:t>
      </w:r>
      <w:r>
        <w:rPr>
          <w:i/>
          <w:iCs/>
          <w:color w:val="000000"/>
          <w:sz w:val="18"/>
          <w:szCs w:val="18"/>
        </w:rPr>
        <w:t> </w:t>
      </w:r>
      <w:proofErr w:type="spellStart"/>
      <w:r>
        <w:rPr>
          <w:i/>
          <w:iCs/>
          <w:color w:val="000000"/>
          <w:sz w:val="18"/>
          <w:szCs w:val="18"/>
        </w:rPr>
        <w:t>Better</w:t>
      </w:r>
      <w:proofErr w:type="spellEnd"/>
      <w:r>
        <w:rPr>
          <w:i/>
          <w:iCs/>
          <w:color w:val="000000"/>
          <w:sz w:val="18"/>
          <w:szCs w:val="18"/>
        </w:rPr>
        <w:t xml:space="preserve"> </w:t>
      </w:r>
      <w:proofErr w:type="spellStart"/>
      <w:r>
        <w:rPr>
          <w:i/>
          <w:iCs/>
          <w:color w:val="000000"/>
          <w:sz w:val="18"/>
          <w:szCs w:val="18"/>
        </w:rPr>
        <w:t>never</w:t>
      </w:r>
      <w:proofErr w:type="spellEnd"/>
      <w:r>
        <w:rPr>
          <w:i/>
          <w:iCs/>
          <w:color w:val="000000"/>
          <w:sz w:val="18"/>
          <w:szCs w:val="18"/>
        </w:rPr>
        <w:t xml:space="preserve"> </w:t>
      </w:r>
      <w:proofErr w:type="spellStart"/>
      <w:r>
        <w:rPr>
          <w:i/>
          <w:iCs/>
          <w:color w:val="000000"/>
          <w:sz w:val="18"/>
          <w:szCs w:val="18"/>
        </w:rPr>
        <w:t>settles</w:t>
      </w:r>
      <w:proofErr w:type="spellEnd"/>
      <w:r>
        <w:rPr>
          <w:color w:val="000000"/>
          <w:sz w:val="18"/>
          <w:szCs w:val="18"/>
        </w:rPr>
        <w:t> </w:t>
      </w:r>
      <w:proofErr w:type="spellStart"/>
      <w:r>
        <w:rPr>
          <w:color w:val="000000"/>
          <w:sz w:val="18"/>
          <w:szCs w:val="18"/>
        </w:rPr>
        <w:t>Cushman</w:t>
      </w:r>
      <w:proofErr w:type="spellEnd"/>
      <w:r>
        <w:rPr>
          <w:color w:val="000000"/>
          <w:sz w:val="18"/>
          <w:szCs w:val="18"/>
        </w:rPr>
        <w:t xml:space="preserve"> &amp; Wakefield otrzymuje wiele wyróżnień oraz nagród w konkursach branżowych i biznesowych. Dodatkowe informacje na stronie </w:t>
      </w:r>
      <w:hyperlink r:id="rId9">
        <w:r w:rsidR="00FB442B">
          <w:rPr>
            <w:rFonts w:ascii="Times New Roman" w:eastAsia="Times New Roman" w:hAnsi="Times New Roman" w:cs="Times New Roman"/>
            <w:color w:val="4472C4"/>
            <w:sz w:val="18"/>
            <w:szCs w:val="18"/>
            <w:u w:val="single"/>
          </w:rPr>
          <w:t>www.cushmanwakefield.com</w:t>
        </w:r>
      </w:hyperlink>
      <w:r>
        <w:rPr>
          <w:color w:val="000000"/>
          <w:sz w:val="18"/>
          <w:szCs w:val="18"/>
        </w:rPr>
        <w:t>.</w:t>
      </w:r>
    </w:p>
    <w:p w14:paraId="147DA6FA" w14:textId="77777777" w:rsidR="00FB442B" w:rsidRDefault="00FB442B">
      <w:pPr>
        <w:jc w:val="both"/>
        <w:rPr>
          <w:sz w:val="16"/>
          <w:szCs w:val="16"/>
        </w:rPr>
      </w:pPr>
    </w:p>
    <w:sectPr w:rsidR="00FB442B">
      <w:headerReference w:type="default" r:id="rId10"/>
      <w:footerReference w:type="default" r:id="rId11"/>
      <w:headerReference w:type="first" r:id="rId12"/>
      <w:footerReference w:type="first" r:id="rId13"/>
      <w:pgSz w:w="11907" w:h="16839"/>
      <w:pgMar w:top="3600" w:right="1008" w:bottom="2880" w:left="1224" w:header="1800" w:footer="43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CDE6F" w14:textId="77777777" w:rsidR="00B333B5" w:rsidRDefault="00B333B5">
      <w:pPr>
        <w:spacing w:after="0" w:line="240" w:lineRule="auto"/>
      </w:pPr>
      <w:r>
        <w:separator/>
      </w:r>
    </w:p>
  </w:endnote>
  <w:endnote w:type="continuationSeparator" w:id="0">
    <w:p w14:paraId="0EF00C33" w14:textId="77777777" w:rsidR="00B333B5" w:rsidRDefault="00B33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50C07A83-4FF6-9949-A21E-06781417346A}"/>
  </w:font>
  <w:font w:name="Times New Roman">
    <w:panose1 w:val="02020603050405020304"/>
    <w:charset w:val="EE"/>
    <w:family w:val="roman"/>
    <w:pitch w:val="variable"/>
    <w:sig w:usb0="E0002EFF" w:usb1="C000785B" w:usb2="00000009" w:usb3="00000000" w:csb0="000001FF" w:csb1="00000000"/>
    <w:embedRegular r:id="rId2" w:fontKey="{6ED57A93-0568-2940-8EFD-792D00212715}"/>
    <w:embedBold r:id="rId3" w:fontKey="{E0CB8D87-D915-8541-8E5D-6E8E40710DBB}"/>
  </w:font>
  <w:font w:name="Courier New">
    <w:panose1 w:val="02070309020205020404"/>
    <w:charset w:val="EE"/>
    <w:family w:val="modern"/>
    <w:pitch w:val="fixed"/>
    <w:sig w:usb0="E0002EFF" w:usb1="C0007843" w:usb2="00000009" w:usb3="00000000" w:csb0="000001FF" w:csb1="00000000"/>
    <w:embedRegular r:id="rId4" w:fontKey="{20D2989C-FCDE-374B-B575-F5555CA69AFE}"/>
  </w:font>
  <w:font w:name="Wingdings">
    <w:panose1 w:val="05000000000000000000"/>
    <w:charset w:val="4D"/>
    <w:family w:val="decorative"/>
    <w:pitch w:val="variable"/>
    <w:sig w:usb0="00000003" w:usb1="00000000" w:usb2="00000000" w:usb3="00000000" w:csb0="80000001" w:csb1="00000000"/>
    <w:embedRegular r:id="rId5" w:fontKey="{FB82CBAA-74CF-CD4B-B2DB-BA26585F48FA}"/>
  </w:font>
  <w:font w:name="Arial">
    <w:panose1 w:val="020B0604020202020204"/>
    <w:charset w:val="00"/>
    <w:family w:val="swiss"/>
    <w:pitch w:val="variable"/>
    <w:sig w:usb0="E0002AFF" w:usb1="C0007843" w:usb2="00000009" w:usb3="00000000" w:csb0="000001FF" w:csb1="00000000"/>
    <w:embedRegular r:id="rId6" w:fontKey="{30650ABB-60FD-734C-9173-28F9B4363FEF}"/>
    <w:embedBold r:id="rId7" w:fontKey="{31554BB0-9584-614D-8386-478FC11F417E}"/>
    <w:embedItalic r:id="rId8" w:fontKey="{EBEFD768-12E7-364D-82BD-566DB1BCC8C9}"/>
  </w:font>
  <w:font w:name="Calibri">
    <w:panose1 w:val="020F0502020204030204"/>
    <w:charset w:val="00"/>
    <w:family w:val="swiss"/>
    <w:pitch w:val="variable"/>
    <w:sig w:usb0="E0002AFF" w:usb1="C000247B" w:usb2="00000009" w:usb3="00000000" w:csb0="000001FF" w:csb1="00000000"/>
    <w:embedRegular r:id="rId9" w:fontKey="{78392FF1-EB58-2D44-BB06-23ABE4F52A97}"/>
    <w:embedBold r:id="rId10" w:fontKey="{614A1AAC-CBE4-DA46-8221-5F8F9EEA17A1}"/>
  </w:font>
  <w:font w:name="Georgia">
    <w:panose1 w:val="02040502050405020303"/>
    <w:charset w:val="00"/>
    <w:family w:val="roman"/>
    <w:pitch w:val="variable"/>
    <w:sig w:usb0="00000287" w:usb1="00000000" w:usb2="00000000" w:usb3="00000000" w:csb0="0000009F" w:csb1="00000000"/>
    <w:embedItalic r:id="rId11" w:fontKey="{22078234-672F-F747-99E5-A8C4F364F7B0}"/>
  </w:font>
  <w:font w:name="Cambria">
    <w:panose1 w:val="02040503050406030204"/>
    <w:charset w:val="00"/>
    <w:family w:val="roman"/>
    <w:pitch w:val="variable"/>
    <w:sig w:usb0="E00002FF" w:usb1="400004FF" w:usb2="00000000" w:usb3="00000000" w:csb0="0000019F" w:csb1="00000000"/>
    <w:embedRegular r:id="rId12" w:fontKey="{AC0C032C-CB0A-CC4C-9EFC-5241444B88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FAE73" w14:textId="77777777" w:rsidR="00FB442B" w:rsidRDefault="00FB442B">
    <w:pPr>
      <w:widowControl w:val="0"/>
      <w:pBdr>
        <w:top w:val="nil"/>
        <w:left w:val="nil"/>
        <w:bottom w:val="nil"/>
        <w:right w:val="nil"/>
        <w:between w:val="nil"/>
      </w:pBdr>
      <w:spacing w:after="0"/>
      <w:rPr>
        <w:color w:val="000000"/>
      </w:rPr>
    </w:pPr>
  </w:p>
  <w:tbl>
    <w:tblPr>
      <w:tblStyle w:val="a"/>
      <w:tblW w:w="9000" w:type="dxa"/>
      <w:tblInd w:w="0" w:type="dxa"/>
      <w:tblLayout w:type="fixed"/>
      <w:tblLook w:val="0400" w:firstRow="0" w:lastRow="0" w:firstColumn="0" w:lastColumn="0" w:noHBand="0" w:noVBand="1"/>
    </w:tblPr>
    <w:tblGrid>
      <w:gridCol w:w="9000"/>
    </w:tblGrid>
    <w:tr w:rsidR="00FB442B" w14:paraId="73D07674" w14:textId="77777777">
      <w:trPr>
        <w:trHeight w:val="630"/>
      </w:trPr>
      <w:tc>
        <w:tcPr>
          <w:tcW w:w="9000" w:type="dxa"/>
          <w:vAlign w:val="bottom"/>
        </w:tcPr>
        <w:p w14:paraId="4E642AF2" w14:textId="3BC094B2" w:rsidR="00FB442B" w:rsidRDefault="003842BF">
          <w:pPr>
            <w:pStyle w:val="Heading2"/>
            <w:rPr>
              <w:rFonts w:ascii="Arial" w:eastAsia="Arial" w:hAnsi="Arial" w:cs="Arial"/>
              <w:color w:val="000000"/>
            </w:rPr>
          </w:pPr>
          <w:r>
            <w:rPr>
              <w:rFonts w:ascii="Arial" w:eastAsia="Arial" w:hAnsi="Arial" w:cs="Arial"/>
              <w:color w:val="000000"/>
            </w:rPr>
            <w:t>WIĘCEJ INFORMACJI:</w:t>
          </w:r>
        </w:p>
      </w:tc>
    </w:tr>
    <w:tr w:rsidR="00FB442B" w:rsidRPr="00E15730" w14:paraId="3A0CC7CB" w14:textId="77777777">
      <w:trPr>
        <w:trHeight w:val="1260"/>
      </w:trPr>
      <w:tc>
        <w:tcPr>
          <w:tcW w:w="9000" w:type="dxa"/>
        </w:tcPr>
        <w:p w14:paraId="1F5D399A" w14:textId="77777777" w:rsidR="00FB442B" w:rsidRPr="00E15730" w:rsidRDefault="00FB442B">
          <w:pPr>
            <w:widowControl w:val="0"/>
            <w:pBdr>
              <w:top w:val="nil"/>
              <w:left w:val="nil"/>
              <w:bottom w:val="nil"/>
              <w:right w:val="nil"/>
              <w:between w:val="nil"/>
            </w:pBdr>
            <w:spacing w:after="0"/>
            <w:rPr>
              <w:rFonts w:asciiTheme="majorHAnsi" w:hAnsiTheme="majorHAnsi" w:cstheme="majorHAnsi"/>
              <w:color w:val="000000"/>
              <w:sz w:val="18"/>
              <w:szCs w:val="18"/>
            </w:rPr>
          </w:pPr>
        </w:p>
        <w:tbl>
          <w:tblPr>
            <w:tblStyle w:val="a0"/>
            <w:tblW w:w="10095" w:type="dxa"/>
            <w:tblInd w:w="0" w:type="dxa"/>
            <w:tblLayout w:type="fixed"/>
            <w:tblLook w:val="04A0" w:firstRow="1" w:lastRow="0" w:firstColumn="1" w:lastColumn="0" w:noHBand="0" w:noVBand="1"/>
          </w:tblPr>
          <w:tblGrid>
            <w:gridCol w:w="8564"/>
            <w:gridCol w:w="218"/>
            <w:gridCol w:w="218"/>
          </w:tblGrid>
          <w:tr w:rsidR="00FB442B" w:rsidRPr="00E15730" w14:paraId="51FB3917" w14:textId="77777777" w:rsidTr="00FB442B">
            <w:trPr>
              <w:cnfStyle w:val="100000000000" w:firstRow="1" w:lastRow="0" w:firstColumn="0" w:lastColumn="0" w:oddVBand="0" w:evenVBand="0" w:oddHBand="0" w:evenHBand="0" w:firstRowFirstColumn="0" w:firstRowLastColumn="0" w:lastRowFirstColumn="0" w:lastRowLastColumn="0"/>
              <w:trHeight w:val="1164"/>
            </w:trPr>
            <w:tc>
              <w:tcPr>
                <w:cnfStyle w:val="001000000000" w:firstRow="0" w:lastRow="0" w:firstColumn="1" w:lastColumn="0" w:oddVBand="0" w:evenVBand="0" w:oddHBand="0" w:evenHBand="0" w:firstRowFirstColumn="0" w:firstRowLastColumn="0" w:lastRowFirstColumn="0" w:lastRowLastColumn="0"/>
                <w:tcW w:w="3467" w:type="dxa"/>
              </w:tcPr>
              <w:p w14:paraId="56778D5B" w14:textId="77777777" w:rsidR="00FB442B" w:rsidRPr="00E15730" w:rsidRDefault="00FB442B">
                <w:pPr>
                  <w:widowControl w:val="0"/>
                  <w:pBdr>
                    <w:top w:val="nil"/>
                    <w:left w:val="nil"/>
                    <w:bottom w:val="nil"/>
                    <w:right w:val="nil"/>
                    <w:between w:val="nil"/>
                  </w:pBdr>
                  <w:spacing w:line="276" w:lineRule="auto"/>
                  <w:rPr>
                    <w:rFonts w:asciiTheme="majorHAnsi" w:hAnsiTheme="majorHAnsi" w:cstheme="majorHAnsi"/>
                    <w:color w:val="000000"/>
                    <w:sz w:val="18"/>
                    <w:szCs w:val="18"/>
                  </w:rPr>
                </w:pPr>
              </w:p>
              <w:tbl>
                <w:tblPr>
                  <w:tblStyle w:val="a1"/>
                  <w:tblW w:w="23087" w:type="dxa"/>
                  <w:tblInd w:w="27" w:type="dxa"/>
                  <w:tblBorders>
                    <w:top w:val="nil"/>
                    <w:left w:val="nil"/>
                    <w:bottom w:val="nil"/>
                    <w:right w:val="nil"/>
                    <w:insideH w:val="nil"/>
                    <w:insideV w:val="nil"/>
                  </w:tblBorders>
                  <w:tblLayout w:type="fixed"/>
                  <w:tblLook w:val="0400" w:firstRow="0" w:lastRow="0" w:firstColumn="0" w:lastColumn="0" w:noHBand="0" w:noVBand="1"/>
                </w:tblPr>
                <w:tblGrid>
                  <w:gridCol w:w="4829"/>
                  <w:gridCol w:w="6086"/>
                  <w:gridCol w:w="6086"/>
                  <w:gridCol w:w="6086"/>
                </w:tblGrid>
                <w:tr w:rsidR="00FB442B" w:rsidRPr="00E15730" w14:paraId="77BA02A7" w14:textId="77777777" w:rsidTr="00E15730">
                  <w:trPr>
                    <w:trHeight w:val="738"/>
                  </w:trPr>
                  <w:tc>
                    <w:tcPr>
                      <w:tcW w:w="4829" w:type="dxa"/>
                    </w:tcPr>
                    <w:p w14:paraId="4376AFAE" w14:textId="77777777" w:rsidR="00FB442B" w:rsidRPr="00E15730" w:rsidRDefault="00345308">
                      <w:pPr>
                        <w:keepNext/>
                        <w:keepLines/>
                        <w:pBdr>
                          <w:top w:val="nil"/>
                          <w:left w:val="nil"/>
                          <w:bottom w:val="nil"/>
                          <w:right w:val="nil"/>
                          <w:between w:val="nil"/>
                        </w:pBdr>
                        <w:rPr>
                          <w:rFonts w:asciiTheme="majorHAnsi" w:eastAsia="Calibri" w:hAnsiTheme="majorHAnsi" w:cstheme="majorHAnsi"/>
                          <w:b/>
                          <w:bCs/>
                          <w:color w:val="696B6B"/>
                          <w:sz w:val="18"/>
                          <w:szCs w:val="18"/>
                          <w:lang w:val="en-US"/>
                        </w:rPr>
                      </w:pPr>
                      <w:r w:rsidRPr="00E15730">
                        <w:rPr>
                          <w:rFonts w:asciiTheme="majorHAnsi" w:eastAsia="Calibri" w:hAnsiTheme="majorHAnsi" w:cstheme="majorHAnsi"/>
                          <w:b/>
                          <w:bCs/>
                          <w:color w:val="696B6B"/>
                          <w:sz w:val="18"/>
                          <w:szCs w:val="18"/>
                          <w:lang w:val="en-US"/>
                        </w:rPr>
                        <w:t xml:space="preserve">Karolina </w:t>
                      </w:r>
                      <w:proofErr w:type="spellStart"/>
                      <w:r w:rsidRPr="00E15730">
                        <w:rPr>
                          <w:rFonts w:asciiTheme="majorHAnsi" w:eastAsia="Calibri" w:hAnsiTheme="majorHAnsi" w:cstheme="majorHAnsi"/>
                          <w:b/>
                          <w:bCs/>
                          <w:color w:val="696B6B"/>
                          <w:sz w:val="18"/>
                          <w:szCs w:val="18"/>
                          <w:lang w:val="en-US"/>
                        </w:rPr>
                        <w:t>Samczyńska-Fiślak</w:t>
                      </w:r>
                      <w:proofErr w:type="spellEnd"/>
                    </w:p>
                    <w:p w14:paraId="3B3E74F6" w14:textId="77777777" w:rsidR="00FB442B" w:rsidRPr="00E15730" w:rsidRDefault="00345308">
                      <w:pPr>
                        <w:keepNext/>
                        <w:keepLines/>
                        <w:pBdr>
                          <w:top w:val="nil"/>
                          <w:left w:val="nil"/>
                          <w:bottom w:val="nil"/>
                          <w:right w:val="nil"/>
                          <w:between w:val="nil"/>
                        </w:pBdr>
                        <w:rPr>
                          <w:rFonts w:asciiTheme="majorHAnsi" w:eastAsia="Calibri" w:hAnsiTheme="majorHAnsi" w:cstheme="majorHAnsi"/>
                          <w:color w:val="696B6B"/>
                          <w:sz w:val="18"/>
                          <w:szCs w:val="18"/>
                          <w:lang w:val="en-US"/>
                        </w:rPr>
                      </w:pPr>
                      <w:r w:rsidRPr="00E15730">
                        <w:rPr>
                          <w:rFonts w:asciiTheme="majorHAnsi" w:eastAsia="Calibri" w:hAnsiTheme="majorHAnsi" w:cstheme="majorHAnsi"/>
                          <w:color w:val="696B6B"/>
                          <w:sz w:val="18"/>
                          <w:szCs w:val="18"/>
                          <w:lang w:val="en-US"/>
                        </w:rPr>
                        <w:t xml:space="preserve">Cushman &amp; Wakefield </w:t>
                      </w:r>
                    </w:p>
                    <w:p w14:paraId="6619D788" w14:textId="77777777" w:rsidR="00FB442B" w:rsidRPr="00E15730" w:rsidRDefault="00345308">
                      <w:pPr>
                        <w:rPr>
                          <w:rFonts w:asciiTheme="majorHAnsi" w:eastAsia="Calibri" w:hAnsiTheme="majorHAnsi" w:cstheme="majorHAnsi"/>
                          <w:sz w:val="18"/>
                          <w:szCs w:val="18"/>
                          <w:lang w:val="en-US"/>
                        </w:rPr>
                      </w:pPr>
                      <w:r w:rsidRPr="00E15730">
                        <w:rPr>
                          <w:rFonts w:asciiTheme="majorHAnsi" w:eastAsia="Calibri" w:hAnsiTheme="majorHAnsi" w:cstheme="majorHAnsi"/>
                          <w:color w:val="696B6B"/>
                          <w:sz w:val="18"/>
                          <w:szCs w:val="18"/>
                          <w:lang w:val="en-US"/>
                        </w:rPr>
                        <w:t>Tel: + 48 22 820 20 20; 691 060 202</w:t>
                      </w:r>
                    </w:p>
                    <w:p w14:paraId="086E7844" w14:textId="77777777" w:rsidR="00FB442B" w:rsidRPr="00E15730" w:rsidRDefault="00345308">
                      <w:pPr>
                        <w:keepNext/>
                        <w:keepLines/>
                        <w:pBdr>
                          <w:top w:val="nil"/>
                          <w:left w:val="nil"/>
                          <w:bottom w:val="nil"/>
                          <w:right w:val="nil"/>
                          <w:between w:val="nil"/>
                        </w:pBdr>
                        <w:tabs>
                          <w:tab w:val="right" w:pos="4688"/>
                        </w:tabs>
                        <w:rPr>
                          <w:rFonts w:asciiTheme="majorHAnsi" w:eastAsia="Calibri" w:hAnsiTheme="majorHAnsi" w:cstheme="majorHAnsi"/>
                          <w:b/>
                          <w:bCs/>
                          <w:color w:val="696B6B"/>
                          <w:sz w:val="18"/>
                          <w:szCs w:val="18"/>
                          <w:lang w:val="en-US"/>
                        </w:rPr>
                      </w:pPr>
                      <w:r w:rsidRPr="00E15730">
                        <w:rPr>
                          <w:rFonts w:asciiTheme="majorHAnsi" w:eastAsia="Calibri" w:hAnsiTheme="majorHAnsi" w:cstheme="majorHAnsi"/>
                          <w:b/>
                          <w:bCs/>
                          <w:color w:val="696B6B"/>
                          <w:sz w:val="18"/>
                          <w:szCs w:val="18"/>
                          <w:lang w:val="en-US"/>
                        </w:rPr>
                        <w:t xml:space="preserve">e-mail: </w:t>
                      </w:r>
                      <w:hyperlink r:id="rId1">
                        <w:r w:rsidR="00FB442B" w:rsidRPr="00E15730">
                          <w:rPr>
                            <w:rFonts w:asciiTheme="majorHAnsi" w:eastAsia="Calibri" w:hAnsiTheme="majorHAnsi" w:cstheme="majorHAnsi"/>
                            <w:b/>
                            <w:bCs/>
                            <w:color w:val="008B98"/>
                            <w:sz w:val="18"/>
                            <w:szCs w:val="18"/>
                            <w:lang w:val="en-US"/>
                          </w:rPr>
                          <w:t>media.poland@cushwake.pl</w:t>
                        </w:r>
                      </w:hyperlink>
                    </w:p>
                  </w:tc>
                  <w:tc>
                    <w:tcPr>
                      <w:tcW w:w="6086" w:type="dxa"/>
                    </w:tcPr>
                    <w:p w14:paraId="6280FD5F" w14:textId="77777777" w:rsidR="00E15730" w:rsidRPr="00E15730" w:rsidRDefault="00E15730" w:rsidP="00E15730">
                      <w:pPr>
                        <w:rPr>
                          <w:rFonts w:asciiTheme="majorHAnsi" w:hAnsiTheme="majorHAnsi" w:cstheme="majorHAnsi"/>
                          <w:sz w:val="18"/>
                          <w:szCs w:val="18"/>
                          <w:lang w:val="pl-PL"/>
                        </w:rPr>
                      </w:pPr>
                      <w:r w:rsidRPr="00E15730">
                        <w:rPr>
                          <w:rFonts w:asciiTheme="majorHAnsi" w:hAnsiTheme="majorHAnsi" w:cstheme="majorHAnsi"/>
                          <w:sz w:val="18"/>
                          <w:szCs w:val="18"/>
                          <w:lang w:val="pl-PL"/>
                        </w:rPr>
                        <w:t xml:space="preserve">Magdalena Znyk-Ossowska </w:t>
                      </w:r>
                    </w:p>
                    <w:p w14:paraId="09850F9D" w14:textId="77777777" w:rsidR="00E15730" w:rsidRPr="00E15730" w:rsidRDefault="00E15730" w:rsidP="00E15730">
                      <w:pPr>
                        <w:rPr>
                          <w:rFonts w:asciiTheme="majorHAnsi" w:hAnsiTheme="majorHAnsi" w:cstheme="majorHAnsi"/>
                          <w:sz w:val="18"/>
                          <w:szCs w:val="18"/>
                          <w:lang w:val="pl-PL"/>
                        </w:rPr>
                      </w:pPr>
                      <w:proofErr w:type="spellStart"/>
                      <w:r w:rsidRPr="00E15730">
                        <w:rPr>
                          <w:rFonts w:asciiTheme="majorHAnsi" w:hAnsiTheme="majorHAnsi" w:cstheme="majorHAnsi"/>
                          <w:sz w:val="18"/>
                          <w:szCs w:val="18"/>
                          <w:lang w:val="pl-PL"/>
                        </w:rPr>
                        <w:t>Linkleaders</w:t>
                      </w:r>
                      <w:proofErr w:type="spellEnd"/>
                    </w:p>
                    <w:p w14:paraId="50B4B54E" w14:textId="77777777" w:rsidR="00E15730" w:rsidRPr="00E15730" w:rsidRDefault="00E15730" w:rsidP="00E15730">
                      <w:pPr>
                        <w:rPr>
                          <w:rFonts w:asciiTheme="majorHAnsi" w:hAnsiTheme="majorHAnsi" w:cstheme="majorHAnsi"/>
                          <w:sz w:val="18"/>
                          <w:szCs w:val="18"/>
                          <w:lang w:val="pl-PL"/>
                        </w:rPr>
                      </w:pPr>
                      <w:r w:rsidRPr="00E15730">
                        <w:rPr>
                          <w:rFonts w:asciiTheme="majorHAnsi" w:hAnsiTheme="majorHAnsi" w:cstheme="majorHAnsi"/>
                          <w:sz w:val="18"/>
                          <w:szCs w:val="18"/>
                          <w:lang w:val="pl-PL"/>
                        </w:rPr>
                        <w:t>Tel: + 48 502 556 846</w:t>
                      </w:r>
                    </w:p>
                    <w:p w14:paraId="110885D9" w14:textId="3F9C3ED0" w:rsidR="00FB442B" w:rsidRPr="00E15730" w:rsidRDefault="00E15730" w:rsidP="00E15730">
                      <w:pPr>
                        <w:pBdr>
                          <w:top w:val="nil"/>
                          <w:left w:val="nil"/>
                          <w:bottom w:val="nil"/>
                          <w:right w:val="nil"/>
                          <w:between w:val="nil"/>
                        </w:pBdr>
                        <w:rPr>
                          <w:rFonts w:asciiTheme="majorHAnsi" w:eastAsia="Calibri" w:hAnsiTheme="majorHAnsi" w:cstheme="majorHAnsi"/>
                          <w:color w:val="696B6B"/>
                          <w:sz w:val="18"/>
                          <w:szCs w:val="18"/>
                          <w:lang w:val="en-US"/>
                        </w:rPr>
                      </w:pPr>
                      <w:r w:rsidRPr="00E15730">
                        <w:rPr>
                          <w:rFonts w:asciiTheme="majorHAnsi" w:hAnsiTheme="majorHAnsi" w:cstheme="majorHAnsi"/>
                          <w:sz w:val="18"/>
                          <w:szCs w:val="18"/>
                          <w:lang w:val="en-US"/>
                        </w:rPr>
                        <w:t xml:space="preserve">e-mail: </w:t>
                      </w:r>
                      <w:hyperlink r:id="rId2" w:history="1">
                        <w:r w:rsidRPr="00E15730">
                          <w:rPr>
                            <w:rStyle w:val="Hyperlink"/>
                            <w:rFonts w:asciiTheme="majorHAnsi" w:eastAsia="Calibri" w:hAnsiTheme="majorHAnsi" w:cstheme="majorHAnsi"/>
                            <w:b/>
                            <w:bCs/>
                            <w:sz w:val="18"/>
                            <w:szCs w:val="18"/>
                            <w:lang w:val="en-US"/>
                          </w:rPr>
                          <w:t>magdalena.ossowska@linkleaders.pl</w:t>
                        </w:r>
                      </w:hyperlink>
                    </w:p>
                  </w:tc>
                  <w:tc>
                    <w:tcPr>
                      <w:tcW w:w="6086" w:type="dxa"/>
                    </w:tcPr>
                    <w:p w14:paraId="0F0391B4" w14:textId="77777777" w:rsidR="00FB442B" w:rsidRPr="00E15730" w:rsidRDefault="00FB442B">
                      <w:pPr>
                        <w:keepNext/>
                        <w:keepLines/>
                        <w:pBdr>
                          <w:top w:val="nil"/>
                          <w:left w:val="nil"/>
                          <w:bottom w:val="nil"/>
                          <w:right w:val="nil"/>
                          <w:between w:val="nil"/>
                        </w:pBdr>
                        <w:rPr>
                          <w:rFonts w:asciiTheme="majorHAnsi" w:eastAsia="Calibri" w:hAnsiTheme="majorHAnsi" w:cstheme="majorHAnsi"/>
                          <w:b/>
                          <w:bCs/>
                          <w:color w:val="696B6B"/>
                          <w:sz w:val="18"/>
                          <w:szCs w:val="18"/>
                          <w:lang w:val="en-US"/>
                        </w:rPr>
                      </w:pPr>
                    </w:p>
                  </w:tc>
                  <w:tc>
                    <w:tcPr>
                      <w:tcW w:w="6086" w:type="dxa"/>
                    </w:tcPr>
                    <w:p w14:paraId="16F95EE4" w14:textId="77777777" w:rsidR="00FB442B" w:rsidRPr="00E15730" w:rsidRDefault="00FB442B">
                      <w:pPr>
                        <w:keepNext/>
                        <w:keepLines/>
                        <w:pBdr>
                          <w:top w:val="nil"/>
                          <w:left w:val="nil"/>
                          <w:bottom w:val="nil"/>
                          <w:right w:val="nil"/>
                          <w:between w:val="nil"/>
                        </w:pBdr>
                        <w:rPr>
                          <w:rFonts w:asciiTheme="majorHAnsi" w:eastAsia="Calibri" w:hAnsiTheme="majorHAnsi" w:cstheme="majorHAnsi"/>
                          <w:b/>
                          <w:bCs/>
                          <w:color w:val="696B6B"/>
                          <w:sz w:val="18"/>
                          <w:szCs w:val="18"/>
                          <w:lang w:val="en-US"/>
                        </w:rPr>
                      </w:pPr>
                    </w:p>
                  </w:tc>
                </w:tr>
              </w:tbl>
              <w:p w14:paraId="3604B8DB" w14:textId="77777777" w:rsidR="00FB442B" w:rsidRPr="00E15730" w:rsidRDefault="00FB442B">
                <w:pPr>
                  <w:pBdr>
                    <w:top w:val="nil"/>
                    <w:left w:val="nil"/>
                    <w:bottom w:val="nil"/>
                    <w:right w:val="nil"/>
                    <w:between w:val="nil"/>
                  </w:pBdr>
                  <w:spacing w:line="276" w:lineRule="auto"/>
                  <w:rPr>
                    <w:rFonts w:asciiTheme="majorHAnsi" w:eastAsia="Calibri" w:hAnsiTheme="majorHAnsi" w:cstheme="majorHAnsi"/>
                    <w:color w:val="000000"/>
                    <w:sz w:val="18"/>
                    <w:szCs w:val="18"/>
                    <w:lang w:val="en-US"/>
                  </w:rPr>
                </w:pPr>
              </w:p>
            </w:tc>
            <w:tc>
              <w:tcPr>
                <w:tcW w:w="3763" w:type="dxa"/>
              </w:tcPr>
              <w:p w14:paraId="6E346A85" w14:textId="77777777" w:rsidR="00FB442B" w:rsidRPr="00E15730" w:rsidRDefault="00FB442B">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color w:val="696B6B"/>
                    <w:sz w:val="18"/>
                    <w:szCs w:val="18"/>
                    <w:lang w:val="en-US"/>
                  </w:rPr>
                </w:pPr>
              </w:p>
            </w:tc>
            <w:tc>
              <w:tcPr>
                <w:tcW w:w="2865" w:type="dxa"/>
              </w:tcPr>
              <w:p w14:paraId="6BE75CA9" w14:textId="77777777" w:rsidR="00FB442B" w:rsidRPr="00E15730" w:rsidRDefault="00FB442B">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color w:val="000000"/>
                    <w:sz w:val="18"/>
                    <w:szCs w:val="18"/>
                    <w:lang w:val="en-US"/>
                  </w:rPr>
                </w:pPr>
              </w:p>
              <w:p w14:paraId="25DAB269" w14:textId="77777777" w:rsidR="00FB442B" w:rsidRPr="00E15730" w:rsidRDefault="00FB442B">
                <w:pPr>
                  <w:pBdr>
                    <w:top w:val="nil"/>
                    <w:left w:val="nil"/>
                    <w:bottom w:val="nil"/>
                    <w:right w:val="nil"/>
                    <w:between w:val="nil"/>
                  </w:pBdr>
                  <w:spacing w:line="276" w:lineRule="auto"/>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color w:val="000000"/>
                    <w:sz w:val="18"/>
                    <w:szCs w:val="18"/>
                    <w:lang w:val="en-US"/>
                  </w:rPr>
                </w:pPr>
              </w:p>
            </w:tc>
          </w:tr>
        </w:tbl>
        <w:p w14:paraId="2DCA041E" w14:textId="77777777" w:rsidR="00FB442B" w:rsidRPr="00E15730" w:rsidRDefault="00FB442B">
          <w:pPr>
            <w:pBdr>
              <w:top w:val="nil"/>
              <w:left w:val="nil"/>
              <w:bottom w:val="nil"/>
              <w:right w:val="nil"/>
              <w:between w:val="nil"/>
            </w:pBdr>
            <w:spacing w:after="0"/>
            <w:rPr>
              <w:rFonts w:asciiTheme="majorHAnsi" w:eastAsia="Calibri" w:hAnsiTheme="majorHAnsi" w:cstheme="majorHAnsi"/>
              <w:color w:val="000000"/>
              <w:sz w:val="18"/>
              <w:szCs w:val="18"/>
              <w:lang w:val="en-US"/>
            </w:rPr>
          </w:pPr>
        </w:p>
      </w:tc>
    </w:tr>
  </w:tbl>
  <w:p w14:paraId="175988DF" w14:textId="77777777" w:rsidR="00FB442B" w:rsidRPr="003842BF" w:rsidRDefault="00FB442B">
    <w:pPr>
      <w:pBdr>
        <w:top w:val="nil"/>
        <w:left w:val="nil"/>
        <w:bottom w:val="nil"/>
        <w:right w:val="nil"/>
        <w:between w:val="nil"/>
      </w:pBdr>
      <w:tabs>
        <w:tab w:val="center" w:pos="4536"/>
        <w:tab w:val="right" w:pos="9072"/>
      </w:tabs>
      <w:spacing w:after="0" w:line="240" w:lineRule="auto"/>
      <w:rPr>
        <w:color w:val="00000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90C26" w14:textId="77777777" w:rsidR="00FB442B" w:rsidRDefault="00FB442B">
    <w:pPr>
      <w:widowControl w:val="0"/>
      <w:pBdr>
        <w:top w:val="nil"/>
        <w:left w:val="nil"/>
        <w:bottom w:val="nil"/>
        <w:right w:val="nil"/>
        <w:between w:val="nil"/>
      </w:pBdr>
      <w:spacing w:after="0"/>
      <w:rPr>
        <w:color w:val="000000"/>
      </w:rPr>
    </w:pPr>
  </w:p>
  <w:tbl>
    <w:tblPr>
      <w:tblStyle w:val="a2"/>
      <w:tblW w:w="9000" w:type="dxa"/>
      <w:tblInd w:w="0" w:type="dxa"/>
      <w:tblLayout w:type="fixed"/>
      <w:tblLook w:val="0400" w:firstRow="0" w:lastRow="0" w:firstColumn="0" w:lastColumn="0" w:noHBand="0" w:noVBand="1"/>
    </w:tblPr>
    <w:tblGrid>
      <w:gridCol w:w="5670"/>
      <w:gridCol w:w="3330"/>
    </w:tblGrid>
    <w:tr w:rsidR="00FB442B" w14:paraId="059BA095" w14:textId="77777777">
      <w:trPr>
        <w:trHeight w:val="630"/>
      </w:trPr>
      <w:tc>
        <w:tcPr>
          <w:tcW w:w="5670" w:type="dxa"/>
          <w:vAlign w:val="bottom"/>
        </w:tcPr>
        <w:p w14:paraId="7C440C81" w14:textId="77777777" w:rsidR="00FB442B" w:rsidRDefault="00345308">
          <w:pPr>
            <w:pStyle w:val="Heading2"/>
            <w:rPr>
              <w:rFonts w:ascii="Arial" w:eastAsia="Arial" w:hAnsi="Arial" w:cs="Arial"/>
              <w:color w:val="696B6B"/>
            </w:rPr>
          </w:pPr>
          <w:r>
            <w:rPr>
              <w:rFonts w:ascii="Arial" w:eastAsia="Arial" w:hAnsi="Arial" w:cs="Arial"/>
              <w:color w:val="696B6B"/>
            </w:rPr>
            <w:t>Media Contact:</w:t>
          </w:r>
        </w:p>
      </w:tc>
      <w:tc>
        <w:tcPr>
          <w:tcW w:w="3330" w:type="dxa"/>
          <w:vAlign w:val="bottom"/>
        </w:tcPr>
        <w:p w14:paraId="59A0B70F" w14:textId="77777777" w:rsidR="00FB442B" w:rsidRDefault="00FB442B">
          <w:pPr>
            <w:spacing w:after="100" w:line="240" w:lineRule="auto"/>
            <w:rPr>
              <w:b/>
              <w:bCs/>
              <w:color w:val="696B6B"/>
              <w:sz w:val="18"/>
              <w:szCs w:val="18"/>
            </w:rPr>
          </w:pPr>
        </w:p>
      </w:tc>
    </w:tr>
    <w:tr w:rsidR="00FB442B" w:rsidRPr="00E15730" w14:paraId="7C3DBCCD" w14:textId="77777777">
      <w:trPr>
        <w:trHeight w:val="1260"/>
      </w:trPr>
      <w:tc>
        <w:tcPr>
          <w:tcW w:w="5670" w:type="dxa"/>
          <w:vAlign w:val="bottom"/>
        </w:tcPr>
        <w:p w14:paraId="3E6C1758" w14:textId="77777777" w:rsidR="00FB442B" w:rsidRPr="003842BF" w:rsidRDefault="00345308">
          <w:pPr>
            <w:keepNext/>
            <w:keepLines/>
            <w:pBdr>
              <w:top w:val="nil"/>
              <w:left w:val="nil"/>
              <w:bottom w:val="nil"/>
              <w:right w:val="nil"/>
              <w:between w:val="nil"/>
            </w:pBdr>
            <w:spacing w:after="0"/>
            <w:rPr>
              <w:b/>
              <w:bCs/>
              <w:color w:val="696B6B"/>
              <w:sz w:val="18"/>
              <w:szCs w:val="18"/>
              <w:lang w:val="en-US"/>
            </w:rPr>
          </w:pPr>
          <w:r w:rsidRPr="003842BF">
            <w:rPr>
              <w:b/>
              <w:bCs/>
              <w:color w:val="696B6B"/>
              <w:sz w:val="18"/>
              <w:szCs w:val="18"/>
              <w:lang w:val="en-US"/>
            </w:rPr>
            <w:t>Name</w:t>
          </w:r>
        </w:p>
        <w:p w14:paraId="53C8730B" w14:textId="77777777" w:rsidR="00FB442B" w:rsidRPr="003842BF" w:rsidRDefault="00345308">
          <w:pPr>
            <w:pBdr>
              <w:top w:val="nil"/>
              <w:left w:val="nil"/>
              <w:bottom w:val="nil"/>
              <w:right w:val="nil"/>
              <w:between w:val="nil"/>
            </w:pBdr>
            <w:spacing w:after="0"/>
            <w:rPr>
              <w:color w:val="696B6B"/>
              <w:sz w:val="18"/>
              <w:szCs w:val="18"/>
              <w:lang w:val="en-US"/>
            </w:rPr>
          </w:pPr>
          <w:r w:rsidRPr="003842BF">
            <w:rPr>
              <w:color w:val="696B6B"/>
              <w:sz w:val="18"/>
              <w:szCs w:val="18"/>
              <w:lang w:val="en-US"/>
            </w:rPr>
            <w:t>Title</w:t>
          </w:r>
        </w:p>
        <w:p w14:paraId="4BF2524C" w14:textId="77777777" w:rsidR="00FB442B" w:rsidRPr="003842BF" w:rsidRDefault="00345308">
          <w:pPr>
            <w:pBdr>
              <w:top w:val="nil"/>
              <w:left w:val="nil"/>
              <w:bottom w:val="nil"/>
              <w:right w:val="nil"/>
              <w:between w:val="nil"/>
            </w:pBdr>
            <w:spacing w:after="0"/>
            <w:rPr>
              <w:color w:val="696B6B"/>
              <w:sz w:val="18"/>
              <w:szCs w:val="18"/>
              <w:lang w:val="en-US"/>
            </w:rPr>
          </w:pPr>
          <w:r w:rsidRPr="003842BF">
            <w:rPr>
              <w:color w:val="696B6B"/>
              <w:sz w:val="18"/>
              <w:szCs w:val="18"/>
              <w:lang w:val="en-US"/>
            </w:rPr>
            <w:t>+1 000 000 0000</w:t>
          </w:r>
        </w:p>
        <w:p w14:paraId="2A4C1DA1" w14:textId="77777777" w:rsidR="00FB442B" w:rsidRPr="003842BF" w:rsidRDefault="00FB442B">
          <w:pPr>
            <w:pBdr>
              <w:top w:val="nil"/>
              <w:left w:val="nil"/>
              <w:bottom w:val="nil"/>
              <w:right w:val="nil"/>
              <w:between w:val="nil"/>
            </w:pBdr>
            <w:spacing w:after="0"/>
            <w:rPr>
              <w:color w:val="696B6B"/>
              <w:sz w:val="18"/>
              <w:szCs w:val="18"/>
              <w:lang w:val="en-US"/>
            </w:rPr>
          </w:pPr>
          <w:hyperlink r:id="rId1">
            <w:r w:rsidRPr="003842BF">
              <w:rPr>
                <w:color w:val="4472C4"/>
                <w:sz w:val="18"/>
                <w:szCs w:val="18"/>
                <w:u w:val="single"/>
                <w:lang w:val="en-US"/>
              </w:rPr>
              <w:t>first.last@cushwake.com</w:t>
            </w:r>
          </w:hyperlink>
          <w:r w:rsidRPr="003842BF">
            <w:rPr>
              <w:color w:val="696B6B"/>
              <w:sz w:val="18"/>
              <w:szCs w:val="18"/>
              <w:lang w:val="en-US"/>
            </w:rPr>
            <w:t xml:space="preserve"> </w:t>
          </w:r>
        </w:p>
      </w:tc>
      <w:tc>
        <w:tcPr>
          <w:tcW w:w="3330" w:type="dxa"/>
          <w:vAlign w:val="bottom"/>
        </w:tcPr>
        <w:p w14:paraId="4519722B" w14:textId="77777777" w:rsidR="00FB442B" w:rsidRPr="003842BF" w:rsidRDefault="00FB442B">
          <w:pPr>
            <w:pBdr>
              <w:top w:val="nil"/>
              <w:left w:val="nil"/>
              <w:bottom w:val="nil"/>
              <w:right w:val="nil"/>
              <w:between w:val="nil"/>
            </w:pBdr>
            <w:spacing w:after="0"/>
            <w:rPr>
              <w:color w:val="696B6B"/>
              <w:sz w:val="18"/>
              <w:szCs w:val="18"/>
              <w:lang w:val="en-US"/>
            </w:rPr>
          </w:pPr>
        </w:p>
      </w:tc>
    </w:tr>
  </w:tbl>
  <w:p w14:paraId="6780F4DD" w14:textId="77777777" w:rsidR="00FB442B" w:rsidRPr="003842BF" w:rsidRDefault="00FB442B">
    <w:pPr>
      <w:pBdr>
        <w:top w:val="nil"/>
        <w:left w:val="nil"/>
        <w:bottom w:val="nil"/>
        <w:right w:val="nil"/>
        <w:between w:val="nil"/>
      </w:pBdr>
      <w:tabs>
        <w:tab w:val="center" w:pos="4680"/>
        <w:tab w:val="right" w:pos="9360"/>
      </w:tabs>
      <w:spacing w:after="0" w:line="240" w:lineRule="auto"/>
      <w:rPr>
        <w:color w:val="00000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E3E4C" w14:textId="77777777" w:rsidR="00B333B5" w:rsidRDefault="00B333B5">
      <w:pPr>
        <w:spacing w:after="0" w:line="240" w:lineRule="auto"/>
      </w:pPr>
      <w:r>
        <w:separator/>
      </w:r>
    </w:p>
  </w:footnote>
  <w:footnote w:type="continuationSeparator" w:id="0">
    <w:p w14:paraId="024F3FBA" w14:textId="77777777" w:rsidR="00B333B5" w:rsidRDefault="00B333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3142A" w14:textId="77777777" w:rsidR="00FB442B" w:rsidRDefault="00345308">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8240" behindDoc="0" locked="0" layoutInCell="1" hidden="0" allowOverlap="1" wp14:anchorId="660A6031" wp14:editId="37193814">
          <wp:simplePos x="0" y="0"/>
          <wp:positionH relativeFrom="column">
            <wp:posOffset>43134</wp:posOffset>
          </wp:positionH>
          <wp:positionV relativeFrom="paragraph">
            <wp:posOffset>-154973</wp:posOffset>
          </wp:positionV>
          <wp:extent cx="1933575" cy="40767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33575" cy="40767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B35E9" w14:textId="77777777" w:rsidR="00FB442B" w:rsidRDefault="00345308">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9264" behindDoc="0" locked="0" layoutInCell="1" hidden="0" allowOverlap="1" wp14:anchorId="5D892FE8" wp14:editId="72FFAC8C">
          <wp:simplePos x="0" y="0"/>
          <wp:positionH relativeFrom="column">
            <wp:posOffset>3813</wp:posOffset>
          </wp:positionH>
          <wp:positionV relativeFrom="paragraph">
            <wp:posOffset>-201292</wp:posOffset>
          </wp:positionV>
          <wp:extent cx="1933575" cy="40767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33575" cy="40767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A1CA7"/>
    <w:multiLevelType w:val="hybridMultilevel"/>
    <w:tmpl w:val="BABC75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E92630"/>
    <w:multiLevelType w:val="multilevel"/>
    <w:tmpl w:val="6BC01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35A50"/>
    <w:multiLevelType w:val="multilevel"/>
    <w:tmpl w:val="F906F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452D67"/>
    <w:multiLevelType w:val="hybridMultilevel"/>
    <w:tmpl w:val="FEC447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D6307D9"/>
    <w:multiLevelType w:val="hybridMultilevel"/>
    <w:tmpl w:val="633A3920"/>
    <w:lvl w:ilvl="0" w:tplc="67E2B1E2">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767936"/>
    <w:multiLevelType w:val="hybridMultilevel"/>
    <w:tmpl w:val="9A009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40260F"/>
    <w:multiLevelType w:val="hybridMultilevel"/>
    <w:tmpl w:val="6DC242A6"/>
    <w:lvl w:ilvl="0" w:tplc="67E2B1E2">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655AB1"/>
    <w:multiLevelType w:val="multilevel"/>
    <w:tmpl w:val="E20EC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782485"/>
    <w:multiLevelType w:val="multilevel"/>
    <w:tmpl w:val="5E8A2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F62E47"/>
    <w:multiLevelType w:val="hybridMultilevel"/>
    <w:tmpl w:val="3968D1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A41229"/>
    <w:multiLevelType w:val="multilevel"/>
    <w:tmpl w:val="ABBAA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EC2884"/>
    <w:multiLevelType w:val="hybridMultilevel"/>
    <w:tmpl w:val="F336FF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6DF2810"/>
    <w:multiLevelType w:val="hybridMultilevel"/>
    <w:tmpl w:val="606EC3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DB14379"/>
    <w:multiLevelType w:val="hybridMultilevel"/>
    <w:tmpl w:val="8A4633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791125B"/>
    <w:multiLevelType w:val="multilevel"/>
    <w:tmpl w:val="DE4CA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413162"/>
    <w:multiLevelType w:val="multilevel"/>
    <w:tmpl w:val="8BF2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A743D4"/>
    <w:multiLevelType w:val="multilevel"/>
    <w:tmpl w:val="C016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8A5F2C"/>
    <w:multiLevelType w:val="hybridMultilevel"/>
    <w:tmpl w:val="A5DA1C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7FA0672"/>
    <w:multiLevelType w:val="multilevel"/>
    <w:tmpl w:val="F77E2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F17B30"/>
    <w:multiLevelType w:val="hybridMultilevel"/>
    <w:tmpl w:val="C67AE38E"/>
    <w:lvl w:ilvl="0" w:tplc="67E2B1E2">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7021559">
    <w:abstractNumId w:val="16"/>
  </w:num>
  <w:num w:numId="2" w16cid:durableId="1447236045">
    <w:abstractNumId w:val="14"/>
  </w:num>
  <w:num w:numId="3" w16cid:durableId="79371778">
    <w:abstractNumId w:val="1"/>
  </w:num>
  <w:num w:numId="4" w16cid:durableId="868182190">
    <w:abstractNumId w:val="15"/>
  </w:num>
  <w:num w:numId="5" w16cid:durableId="317543548">
    <w:abstractNumId w:val="17"/>
  </w:num>
  <w:num w:numId="6" w16cid:durableId="1772818204">
    <w:abstractNumId w:val="13"/>
  </w:num>
  <w:num w:numId="7" w16cid:durableId="1312363488">
    <w:abstractNumId w:val="7"/>
  </w:num>
  <w:num w:numId="8" w16cid:durableId="1059209091">
    <w:abstractNumId w:val="11"/>
  </w:num>
  <w:num w:numId="9" w16cid:durableId="1209101457">
    <w:abstractNumId w:val="8"/>
  </w:num>
  <w:num w:numId="10" w16cid:durableId="1286545549">
    <w:abstractNumId w:val="10"/>
  </w:num>
  <w:num w:numId="11" w16cid:durableId="455948954">
    <w:abstractNumId w:val="2"/>
  </w:num>
  <w:num w:numId="12" w16cid:durableId="1692411693">
    <w:abstractNumId w:val="18"/>
  </w:num>
  <w:num w:numId="13" w16cid:durableId="1062024106">
    <w:abstractNumId w:val="12"/>
  </w:num>
  <w:num w:numId="14" w16cid:durableId="809370363">
    <w:abstractNumId w:val="0"/>
  </w:num>
  <w:num w:numId="15" w16cid:durableId="2117551926">
    <w:abstractNumId w:val="3"/>
  </w:num>
  <w:num w:numId="16" w16cid:durableId="2067685260">
    <w:abstractNumId w:val="9"/>
  </w:num>
  <w:num w:numId="17" w16cid:durableId="805464071">
    <w:abstractNumId w:val="5"/>
  </w:num>
  <w:num w:numId="18" w16cid:durableId="395327292">
    <w:abstractNumId w:val="19"/>
  </w:num>
  <w:num w:numId="19" w16cid:durableId="1970277537">
    <w:abstractNumId w:val="4"/>
  </w:num>
  <w:num w:numId="20" w16cid:durableId="9162116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42B"/>
    <w:rsid w:val="00093633"/>
    <w:rsid w:val="000D681E"/>
    <w:rsid w:val="00124FD9"/>
    <w:rsid w:val="0014087E"/>
    <w:rsid w:val="001675D7"/>
    <w:rsid w:val="002252F3"/>
    <w:rsid w:val="0027330C"/>
    <w:rsid w:val="002B0B98"/>
    <w:rsid w:val="00345308"/>
    <w:rsid w:val="00375367"/>
    <w:rsid w:val="00383BAA"/>
    <w:rsid w:val="003842BF"/>
    <w:rsid w:val="003858CE"/>
    <w:rsid w:val="00400294"/>
    <w:rsid w:val="00443371"/>
    <w:rsid w:val="00462FD8"/>
    <w:rsid w:val="004B3E1A"/>
    <w:rsid w:val="005015F0"/>
    <w:rsid w:val="005130FB"/>
    <w:rsid w:val="005219D1"/>
    <w:rsid w:val="00535469"/>
    <w:rsid w:val="005B6B6B"/>
    <w:rsid w:val="005C6952"/>
    <w:rsid w:val="00645331"/>
    <w:rsid w:val="00671790"/>
    <w:rsid w:val="00673D48"/>
    <w:rsid w:val="00700E7A"/>
    <w:rsid w:val="00721BBE"/>
    <w:rsid w:val="0075656D"/>
    <w:rsid w:val="008263B7"/>
    <w:rsid w:val="0088540C"/>
    <w:rsid w:val="008E2521"/>
    <w:rsid w:val="00907C19"/>
    <w:rsid w:val="0098753C"/>
    <w:rsid w:val="00A056FD"/>
    <w:rsid w:val="00A52441"/>
    <w:rsid w:val="00A654A1"/>
    <w:rsid w:val="00A679DF"/>
    <w:rsid w:val="00AD3C83"/>
    <w:rsid w:val="00AE1EE5"/>
    <w:rsid w:val="00B333B5"/>
    <w:rsid w:val="00B369BA"/>
    <w:rsid w:val="00B75E20"/>
    <w:rsid w:val="00B86381"/>
    <w:rsid w:val="00B938A7"/>
    <w:rsid w:val="00C24863"/>
    <w:rsid w:val="00CB1075"/>
    <w:rsid w:val="00D90771"/>
    <w:rsid w:val="00DA4393"/>
    <w:rsid w:val="00DC2942"/>
    <w:rsid w:val="00E05CAE"/>
    <w:rsid w:val="00E15730"/>
    <w:rsid w:val="00E56FA1"/>
    <w:rsid w:val="00EB7B88"/>
    <w:rsid w:val="00EC5BB8"/>
    <w:rsid w:val="00ED1D0B"/>
    <w:rsid w:val="00F31C5F"/>
    <w:rsid w:val="00FB442B"/>
    <w:rsid w:val="00FB4A5D"/>
    <w:rsid w:val="00FF13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445F5"/>
  <w15:docId w15:val="{ABB11931-6BAB-4220-BF6F-097F99F3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rFonts w:ascii="Calibri" w:eastAsia="Calibri" w:hAnsi="Calibri" w:cs="Calibri"/>
      <w:color w:val="2F5496"/>
      <w:sz w:val="32"/>
      <w:szCs w:val="32"/>
    </w:rPr>
  </w:style>
  <w:style w:type="paragraph" w:styleId="Heading2">
    <w:name w:val="heading 2"/>
    <w:basedOn w:val="Normal"/>
    <w:next w:val="Normal"/>
    <w:uiPriority w:val="9"/>
    <w:unhideWhenUsed/>
    <w:qFormat/>
    <w:pPr>
      <w:keepNext/>
      <w:keepLines/>
      <w:spacing w:after="100"/>
      <w:outlineLvl w:val="1"/>
    </w:pPr>
    <w:rPr>
      <w:rFonts w:ascii="Calibri" w:eastAsia="Calibri" w:hAnsi="Calibri" w:cs="Calibri"/>
      <w:b/>
      <w:bCs/>
      <w:smallCaps/>
      <w:color w:val="008B98"/>
      <w:sz w:val="18"/>
      <w:szCs w:val="18"/>
    </w:rPr>
  </w:style>
  <w:style w:type="paragraph" w:styleId="Heading3">
    <w:name w:val="heading 3"/>
    <w:basedOn w:val="Normal"/>
    <w:next w:val="Normal"/>
    <w:uiPriority w:val="9"/>
    <w:semiHidden/>
    <w:unhideWhenUsed/>
    <w:qFormat/>
    <w:pPr>
      <w:keepNext/>
      <w:keepLines/>
      <w:spacing w:before="40" w:after="0"/>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3842B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42BF"/>
  </w:style>
  <w:style w:type="paragraph" w:styleId="Footer">
    <w:name w:val="footer"/>
    <w:basedOn w:val="Normal"/>
    <w:link w:val="FooterChar"/>
    <w:uiPriority w:val="99"/>
    <w:unhideWhenUsed/>
    <w:rsid w:val="003842B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42BF"/>
  </w:style>
  <w:style w:type="paragraph" w:styleId="Revision">
    <w:name w:val="Revision"/>
    <w:hidden/>
    <w:uiPriority w:val="99"/>
    <w:semiHidden/>
    <w:rsid w:val="00B369BA"/>
    <w:pPr>
      <w:spacing w:after="0" w:line="240" w:lineRule="auto"/>
    </w:pPr>
  </w:style>
  <w:style w:type="character" w:styleId="CommentReference">
    <w:name w:val="annotation reference"/>
    <w:basedOn w:val="DefaultParagraphFont"/>
    <w:uiPriority w:val="99"/>
    <w:semiHidden/>
    <w:unhideWhenUsed/>
    <w:rsid w:val="00375367"/>
    <w:rPr>
      <w:sz w:val="16"/>
      <w:szCs w:val="16"/>
    </w:rPr>
  </w:style>
  <w:style w:type="paragraph" w:styleId="CommentText">
    <w:name w:val="annotation text"/>
    <w:basedOn w:val="Normal"/>
    <w:link w:val="CommentTextChar"/>
    <w:uiPriority w:val="99"/>
    <w:semiHidden/>
    <w:unhideWhenUsed/>
    <w:rsid w:val="00375367"/>
    <w:pPr>
      <w:spacing w:line="240" w:lineRule="auto"/>
    </w:pPr>
    <w:rPr>
      <w:sz w:val="20"/>
      <w:szCs w:val="20"/>
    </w:rPr>
  </w:style>
  <w:style w:type="character" w:customStyle="1" w:styleId="CommentTextChar">
    <w:name w:val="Comment Text Char"/>
    <w:basedOn w:val="DefaultParagraphFont"/>
    <w:link w:val="CommentText"/>
    <w:uiPriority w:val="99"/>
    <w:semiHidden/>
    <w:rsid w:val="00375367"/>
    <w:rPr>
      <w:sz w:val="20"/>
      <w:szCs w:val="20"/>
    </w:rPr>
  </w:style>
  <w:style w:type="paragraph" w:styleId="CommentSubject">
    <w:name w:val="annotation subject"/>
    <w:basedOn w:val="CommentText"/>
    <w:next w:val="CommentText"/>
    <w:link w:val="CommentSubjectChar"/>
    <w:uiPriority w:val="99"/>
    <w:semiHidden/>
    <w:unhideWhenUsed/>
    <w:rsid w:val="00375367"/>
    <w:rPr>
      <w:b/>
      <w:bCs/>
    </w:rPr>
  </w:style>
  <w:style w:type="character" w:customStyle="1" w:styleId="CommentSubjectChar">
    <w:name w:val="Comment Subject Char"/>
    <w:basedOn w:val="CommentTextChar"/>
    <w:link w:val="CommentSubject"/>
    <w:uiPriority w:val="99"/>
    <w:semiHidden/>
    <w:rsid w:val="00375367"/>
    <w:rPr>
      <w:b/>
      <w:bCs/>
      <w:sz w:val="20"/>
      <w:szCs w:val="20"/>
    </w:rPr>
  </w:style>
  <w:style w:type="paragraph" w:styleId="ListParagraph">
    <w:name w:val="List Paragraph"/>
    <w:basedOn w:val="Normal"/>
    <w:uiPriority w:val="34"/>
    <w:qFormat/>
    <w:rsid w:val="00A52441"/>
    <w:pPr>
      <w:ind w:left="720"/>
      <w:contextualSpacing/>
    </w:pPr>
  </w:style>
  <w:style w:type="character" w:styleId="Hyperlink">
    <w:name w:val="Hyperlink"/>
    <w:basedOn w:val="DefaultParagraphFont"/>
    <w:uiPriority w:val="99"/>
    <w:unhideWhenUsed/>
    <w:rsid w:val="00E157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862090">
      <w:bodyDiv w:val="1"/>
      <w:marLeft w:val="0"/>
      <w:marRight w:val="0"/>
      <w:marTop w:val="0"/>
      <w:marBottom w:val="0"/>
      <w:divBdr>
        <w:top w:val="none" w:sz="0" w:space="0" w:color="auto"/>
        <w:left w:val="none" w:sz="0" w:space="0" w:color="auto"/>
        <w:bottom w:val="none" w:sz="0" w:space="0" w:color="auto"/>
        <w:right w:val="none" w:sz="0" w:space="0" w:color="auto"/>
      </w:divBdr>
    </w:div>
    <w:div w:id="362558669">
      <w:bodyDiv w:val="1"/>
      <w:marLeft w:val="0"/>
      <w:marRight w:val="0"/>
      <w:marTop w:val="0"/>
      <w:marBottom w:val="0"/>
      <w:divBdr>
        <w:top w:val="none" w:sz="0" w:space="0" w:color="auto"/>
        <w:left w:val="none" w:sz="0" w:space="0" w:color="auto"/>
        <w:bottom w:val="none" w:sz="0" w:space="0" w:color="auto"/>
        <w:right w:val="none" w:sz="0" w:space="0" w:color="auto"/>
      </w:divBdr>
      <w:divsChild>
        <w:div w:id="1853185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4428297">
      <w:bodyDiv w:val="1"/>
      <w:marLeft w:val="0"/>
      <w:marRight w:val="0"/>
      <w:marTop w:val="0"/>
      <w:marBottom w:val="0"/>
      <w:divBdr>
        <w:top w:val="none" w:sz="0" w:space="0" w:color="auto"/>
        <w:left w:val="none" w:sz="0" w:space="0" w:color="auto"/>
        <w:bottom w:val="none" w:sz="0" w:space="0" w:color="auto"/>
        <w:right w:val="none" w:sz="0" w:space="0" w:color="auto"/>
      </w:divBdr>
    </w:div>
    <w:div w:id="516504076">
      <w:bodyDiv w:val="1"/>
      <w:marLeft w:val="0"/>
      <w:marRight w:val="0"/>
      <w:marTop w:val="0"/>
      <w:marBottom w:val="0"/>
      <w:divBdr>
        <w:top w:val="none" w:sz="0" w:space="0" w:color="auto"/>
        <w:left w:val="none" w:sz="0" w:space="0" w:color="auto"/>
        <w:bottom w:val="none" w:sz="0" w:space="0" w:color="auto"/>
        <w:right w:val="none" w:sz="0" w:space="0" w:color="auto"/>
      </w:divBdr>
      <w:divsChild>
        <w:div w:id="1921913988">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688994103">
      <w:bodyDiv w:val="1"/>
      <w:marLeft w:val="0"/>
      <w:marRight w:val="0"/>
      <w:marTop w:val="0"/>
      <w:marBottom w:val="0"/>
      <w:divBdr>
        <w:top w:val="none" w:sz="0" w:space="0" w:color="auto"/>
        <w:left w:val="none" w:sz="0" w:space="0" w:color="auto"/>
        <w:bottom w:val="none" w:sz="0" w:space="0" w:color="auto"/>
        <w:right w:val="none" w:sz="0" w:space="0" w:color="auto"/>
      </w:divBdr>
      <w:divsChild>
        <w:div w:id="4917177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9617811">
      <w:bodyDiv w:val="1"/>
      <w:marLeft w:val="0"/>
      <w:marRight w:val="0"/>
      <w:marTop w:val="0"/>
      <w:marBottom w:val="0"/>
      <w:divBdr>
        <w:top w:val="none" w:sz="0" w:space="0" w:color="auto"/>
        <w:left w:val="none" w:sz="0" w:space="0" w:color="auto"/>
        <w:bottom w:val="none" w:sz="0" w:space="0" w:color="auto"/>
        <w:right w:val="none" w:sz="0" w:space="0" w:color="auto"/>
      </w:divBdr>
    </w:div>
    <w:div w:id="1018577790">
      <w:bodyDiv w:val="1"/>
      <w:marLeft w:val="0"/>
      <w:marRight w:val="0"/>
      <w:marTop w:val="0"/>
      <w:marBottom w:val="0"/>
      <w:divBdr>
        <w:top w:val="none" w:sz="0" w:space="0" w:color="auto"/>
        <w:left w:val="none" w:sz="0" w:space="0" w:color="auto"/>
        <w:bottom w:val="none" w:sz="0" w:space="0" w:color="auto"/>
        <w:right w:val="none" w:sz="0" w:space="0" w:color="auto"/>
      </w:divBdr>
      <w:divsChild>
        <w:div w:id="838884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3620397">
      <w:bodyDiv w:val="1"/>
      <w:marLeft w:val="0"/>
      <w:marRight w:val="0"/>
      <w:marTop w:val="0"/>
      <w:marBottom w:val="0"/>
      <w:divBdr>
        <w:top w:val="none" w:sz="0" w:space="0" w:color="auto"/>
        <w:left w:val="none" w:sz="0" w:space="0" w:color="auto"/>
        <w:bottom w:val="none" w:sz="0" w:space="0" w:color="auto"/>
        <w:right w:val="none" w:sz="0" w:space="0" w:color="auto"/>
      </w:divBdr>
      <w:divsChild>
        <w:div w:id="1482232138">
          <w:marLeft w:val="60"/>
          <w:marRight w:val="60"/>
          <w:marTop w:val="0"/>
          <w:marBottom w:val="0"/>
          <w:divBdr>
            <w:top w:val="none" w:sz="0" w:space="0" w:color="auto"/>
            <w:left w:val="none" w:sz="0" w:space="0" w:color="auto"/>
            <w:bottom w:val="none" w:sz="0" w:space="0" w:color="auto"/>
            <w:right w:val="none" w:sz="0" w:space="0" w:color="auto"/>
          </w:divBdr>
        </w:div>
      </w:divsChild>
    </w:div>
    <w:div w:id="1444156517">
      <w:bodyDiv w:val="1"/>
      <w:marLeft w:val="0"/>
      <w:marRight w:val="0"/>
      <w:marTop w:val="0"/>
      <w:marBottom w:val="0"/>
      <w:divBdr>
        <w:top w:val="none" w:sz="0" w:space="0" w:color="auto"/>
        <w:left w:val="none" w:sz="0" w:space="0" w:color="auto"/>
        <w:bottom w:val="none" w:sz="0" w:space="0" w:color="auto"/>
        <w:right w:val="none" w:sz="0" w:space="0" w:color="auto"/>
      </w:divBdr>
    </w:div>
    <w:div w:id="1542128105">
      <w:bodyDiv w:val="1"/>
      <w:marLeft w:val="0"/>
      <w:marRight w:val="0"/>
      <w:marTop w:val="0"/>
      <w:marBottom w:val="0"/>
      <w:divBdr>
        <w:top w:val="none" w:sz="0" w:space="0" w:color="auto"/>
        <w:left w:val="none" w:sz="0" w:space="0" w:color="auto"/>
        <w:bottom w:val="none" w:sz="0" w:space="0" w:color="auto"/>
        <w:right w:val="none" w:sz="0" w:space="0" w:color="auto"/>
      </w:divBdr>
      <w:divsChild>
        <w:div w:id="1048383078">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660815294">
      <w:bodyDiv w:val="1"/>
      <w:marLeft w:val="0"/>
      <w:marRight w:val="0"/>
      <w:marTop w:val="0"/>
      <w:marBottom w:val="0"/>
      <w:divBdr>
        <w:top w:val="none" w:sz="0" w:space="0" w:color="auto"/>
        <w:left w:val="none" w:sz="0" w:space="0" w:color="auto"/>
        <w:bottom w:val="none" w:sz="0" w:space="0" w:color="auto"/>
        <w:right w:val="none" w:sz="0" w:space="0" w:color="auto"/>
      </w:divBdr>
      <w:divsChild>
        <w:div w:id="795878425">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788544928">
      <w:bodyDiv w:val="1"/>
      <w:marLeft w:val="0"/>
      <w:marRight w:val="0"/>
      <w:marTop w:val="0"/>
      <w:marBottom w:val="0"/>
      <w:divBdr>
        <w:top w:val="none" w:sz="0" w:space="0" w:color="auto"/>
        <w:left w:val="none" w:sz="0" w:space="0" w:color="auto"/>
        <w:bottom w:val="none" w:sz="0" w:space="0" w:color="auto"/>
        <w:right w:val="none" w:sz="0" w:space="0" w:color="auto"/>
      </w:divBdr>
      <w:divsChild>
        <w:div w:id="618024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3412475">
      <w:bodyDiv w:val="1"/>
      <w:marLeft w:val="0"/>
      <w:marRight w:val="0"/>
      <w:marTop w:val="0"/>
      <w:marBottom w:val="0"/>
      <w:divBdr>
        <w:top w:val="none" w:sz="0" w:space="0" w:color="auto"/>
        <w:left w:val="none" w:sz="0" w:space="0" w:color="auto"/>
        <w:bottom w:val="none" w:sz="0" w:space="0" w:color="auto"/>
        <w:right w:val="none" w:sz="0" w:space="0" w:color="auto"/>
      </w:divBdr>
    </w:div>
    <w:div w:id="2068841073">
      <w:bodyDiv w:val="1"/>
      <w:marLeft w:val="0"/>
      <w:marRight w:val="0"/>
      <w:marTop w:val="0"/>
      <w:marBottom w:val="0"/>
      <w:divBdr>
        <w:top w:val="none" w:sz="0" w:space="0" w:color="auto"/>
        <w:left w:val="none" w:sz="0" w:space="0" w:color="auto"/>
        <w:bottom w:val="none" w:sz="0" w:space="0" w:color="auto"/>
        <w:right w:val="none" w:sz="0" w:space="0" w:color="auto"/>
      </w:divBdr>
      <w:divsChild>
        <w:div w:id="1143886877">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2142192151">
      <w:bodyDiv w:val="1"/>
      <w:marLeft w:val="0"/>
      <w:marRight w:val="0"/>
      <w:marTop w:val="0"/>
      <w:marBottom w:val="0"/>
      <w:divBdr>
        <w:top w:val="none" w:sz="0" w:space="0" w:color="auto"/>
        <w:left w:val="none" w:sz="0" w:space="0" w:color="auto"/>
        <w:bottom w:val="none" w:sz="0" w:space="0" w:color="auto"/>
        <w:right w:val="none" w:sz="0" w:space="0" w:color="auto"/>
      </w:divBdr>
      <w:divsChild>
        <w:div w:id="342518418">
          <w:marLeft w:val="60"/>
          <w:marRight w:val="60"/>
          <w:marTop w:val="0"/>
          <w:marBottom w:val="0"/>
          <w:divBdr>
            <w:top w:val="none" w:sz="0" w:space="0" w:color="auto"/>
            <w:left w:val="none" w:sz="0" w:space="0" w:color="auto"/>
            <w:bottom w:val="none" w:sz="0" w:space="0" w:color="auto"/>
            <w:right w:val="none" w:sz="0" w:space="0" w:color="auto"/>
          </w:divBdr>
        </w:div>
      </w:divsChild>
    </w:div>
    <w:div w:id="2144157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cushmanwakefield.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hyperlink" Target="mailto:magdalena.ossowska@linkleaders.pl" TargetMode="External"/><Relationship Id="rId1" Type="http://schemas.openxmlformats.org/officeDocument/2006/relationships/hyperlink" Target="mailto:media.poland@cushwake.p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first.last@cushwak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LH3g41c62BlYuVsM5iJobQ0+ng==">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</go:docsCustomData>
</go:gDocsCustomXmlDataStorage>
</file>

<file path=customXml/itemProps1.xml><?xml version="1.0" encoding="utf-8"?>
<ds:datastoreItem xmlns:ds="http://schemas.openxmlformats.org/officeDocument/2006/customXml" ds:itemID="{92D59F47-2B58-4507-BE38-4A8B4E48111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910</Words>
  <Characters>5187</Characters>
  <Application>Microsoft Office Word</Application>
  <DocSecurity>0</DocSecurity>
  <Lines>43</Lines>
  <Paragraphs>12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 Capiga/POL</dc:creator>
  <cp:lastModifiedBy>magdalena ossowska</cp:lastModifiedBy>
  <cp:revision>2</cp:revision>
  <dcterms:created xsi:type="dcterms:W3CDTF">2026-08-17T14:30:00Z</dcterms:created>
  <dcterms:modified xsi:type="dcterms:W3CDTF">2026-08-17T14:30:00Z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01c4386eb9a1dc9de2fec12738f87015bcc4ef4c8803dccae430c9e60e042de1</vt:lpwstr>
  </property>
  <property fmtid="{D5CDD505-2E9C-101B-9397-08002B2CF9AE}" pid="3" name="ContentTypeId">
    <vt:lpwstr>0x0101008C644759602BBA4D87EA697FDCE602B5</vt:lpwstr>
  </property>
  <property fmtid="{D5CDD505-2E9C-101B-9397-08002B2CF9AE}" pid="4" name="MediaServiceImageTags">
    <vt:lpwstr>MediaServiceImageTags</vt:lpwstr>
  </property>
  <property fmtid="{D5CDD505-2E9C-101B-9397-08002B2CF9AE}" pid="5" name="xd_ProgID">
    <vt:lpwstr>xd_ProgID</vt:lpwstr>
  </property>
  <property fmtid="{D5CDD505-2E9C-101B-9397-08002B2CF9AE}" pid="6" name="ComplianceAssetId">
    <vt:lpwstr>ComplianceAssetId</vt:lpwstr>
  </property>
  <property fmtid="{D5CDD505-2E9C-101B-9397-08002B2CF9AE}" pid="7" name="TemplateUrl">
    <vt:lpwstr>TemplateUrl</vt:lpwstr>
  </property>
  <property fmtid="{D5CDD505-2E9C-101B-9397-08002B2CF9AE}" pid="8" name="_ExtendedDescription">
    <vt:lpwstr>_ExtendedDescription</vt:lpwstr>
  </property>
  <property fmtid="{D5CDD505-2E9C-101B-9397-08002B2CF9AE}" pid="9" name="TriggerFlowInfo">
    <vt:lpwstr>TriggerFlowInfo</vt:lpwstr>
  </property>
  <property fmtid="{D5CDD505-2E9C-101B-9397-08002B2CF9AE}" pid="10" name="xd_Signature">
    <vt:lpwstr>false</vt:lpwstr>
  </property>
</Properties>
</file>