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39E9F7" w14:textId="77777777" w:rsidR="006C2215" w:rsidRPr="00BF4EF9" w:rsidRDefault="006C2215" w:rsidP="006C2215">
      <w:pPr>
        <w:jc w:val="center"/>
        <w:rPr>
          <w:rFonts w:ascii="Arial" w:hAnsi="Arial" w:cs="Arial"/>
          <w:b/>
          <w:bCs/>
          <w:sz w:val="24"/>
          <w:szCs w:val="24"/>
          <w:lang w:val="pl-PL"/>
        </w:rPr>
      </w:pPr>
      <w:bookmarkStart w:id="0" w:name="_Hlk82005360"/>
      <w:bookmarkStart w:id="1" w:name="_Hlk98792970"/>
      <w:r w:rsidRPr="00BF4EF9">
        <w:rPr>
          <w:rFonts w:ascii="Arial" w:hAnsi="Arial" w:cs="Arial"/>
          <w:b/>
          <w:bCs/>
          <w:sz w:val="24"/>
          <w:szCs w:val="24"/>
          <w:lang w:val="pl-PL"/>
        </w:rPr>
        <w:t>Rekordy kredytowe i wciąż wysoka aktywność deweloperska</w:t>
      </w:r>
    </w:p>
    <w:p w14:paraId="43D17695" w14:textId="77777777" w:rsidR="006C2215" w:rsidRPr="00802515" w:rsidRDefault="006C2215" w:rsidP="006C2215">
      <w:pPr>
        <w:jc w:val="both"/>
        <w:rPr>
          <w:rFonts w:ascii="Arial" w:hAnsi="Arial" w:cs="Arial"/>
          <w:b/>
          <w:bCs/>
          <w:sz w:val="20"/>
          <w:szCs w:val="20"/>
          <w:lang w:val="pl-PL"/>
        </w:rPr>
      </w:pPr>
      <w:r w:rsidRPr="00802515">
        <w:rPr>
          <w:rFonts w:ascii="Arial" w:hAnsi="Arial" w:cs="Arial"/>
          <w:b/>
          <w:bCs/>
          <w:sz w:val="20"/>
          <w:szCs w:val="20"/>
          <w:lang w:val="pl-PL"/>
        </w:rPr>
        <w:t>Drugi kwartał 2026 roku przyniósł dalszy wzrost aktywności na polskim rynku mieszkaniowym. Istotnym wskaźnikiem kondycji sektora pozostawał popyt kredytowy. W czerwcu 2026 roku wartość zapytań o kredyty mieszkaniowe wzrosła o 15,8% r/r, liczba wnioskujących wyniosła 42,8 tys. osób, a średnia wartość wnioskowanego kredytu hipotecznego osiągnęła rekordowy poziom 506,6 tys. PLN, tj. o 6,2% więcej niż rok wcześniej. Rynek mieszkaniowy pozostawał aktywny zarówno po stronie popytu, jak i podaży, choć sytuacja w poszczególnych aglomeracjach była zróżnicowana.</w:t>
      </w:r>
    </w:p>
    <w:p w14:paraId="55BF0167" w14:textId="77777777" w:rsidR="006C2215" w:rsidRPr="00802515" w:rsidRDefault="006C2215" w:rsidP="006C2215">
      <w:pPr>
        <w:jc w:val="both"/>
        <w:rPr>
          <w:rFonts w:ascii="Arial" w:hAnsi="Arial" w:cs="Arial"/>
          <w:sz w:val="20"/>
          <w:szCs w:val="20"/>
          <w:highlight w:val="yellow"/>
          <w:lang w:val="pl-PL"/>
        </w:rPr>
      </w:pPr>
      <w:r w:rsidRPr="00802515">
        <w:rPr>
          <w:rFonts w:ascii="Arial" w:hAnsi="Arial" w:cs="Arial"/>
          <w:sz w:val="20"/>
          <w:szCs w:val="20"/>
          <w:lang w:val="pl-PL"/>
        </w:rPr>
        <w:t>W Warszawie zgodnie z danymi NBP średnia cena ofertowa mieszkań na rynku pierwotnym wyniosła w drugim kwartale 2026 roku 18 488 PLN/mkw., co oznacza wzrost 7% r/r, w pozostałych największych miastach dynamika cen na rynku pierwotnym była wyraźnie zróżnicowana. Najsilniejszy wzrost odnotowano w Gdańsku, gdzie średnia cena ofertowa wzrosła o ok. 8% r/r, osiągając 17 116 PLN/mkw., w Poznaniu wzrost o 5%, a na pozostałych rynkach zmiany cen były ograniczone.</w:t>
      </w:r>
    </w:p>
    <w:p w14:paraId="1BA5AD01" w14:textId="77777777" w:rsidR="006C2215" w:rsidRPr="00802515" w:rsidRDefault="006C2215" w:rsidP="006C2215">
      <w:pPr>
        <w:jc w:val="both"/>
        <w:rPr>
          <w:rFonts w:ascii="Arial" w:hAnsi="Arial" w:cs="Arial"/>
          <w:sz w:val="20"/>
          <w:szCs w:val="20"/>
          <w:lang w:val="pl-PL"/>
        </w:rPr>
      </w:pPr>
      <w:r w:rsidRPr="00802515">
        <w:rPr>
          <w:rFonts w:ascii="Arial" w:hAnsi="Arial" w:cs="Arial"/>
          <w:sz w:val="20"/>
          <w:szCs w:val="20"/>
          <w:lang w:val="pl-PL"/>
        </w:rPr>
        <w:t>Dobra sytuacja na rynku mieszkaniowym jest wspierana przez relatywnie korzystne uwarunkowania makroekonomiczne, w tym solidne perspektywy wzrostu gospodarczego (3,7% w 2026 roku według NBP), spadek inflacji konsumenckiej do poziomu celu inflacyjnego NBP (2,5% r/r w czerwcu) oraz obniżenie stóp procentowych do 3,75%. Choć impuls wynikający z obniżek stóp jest obecnie słabszy niż rok wcześniej, warunki finansowania pozostają wyraźnie korzystniejsze niż w okresie najwyższych kosztów kredytu. Jednocześnie polska gospodarka pozostaje podatna na potencjalne wahania koniunktury oraz niepewność w otoczeniu globalnym.</w:t>
      </w:r>
    </w:p>
    <w:p w14:paraId="3DEAB802" w14:textId="77777777" w:rsidR="006C2215" w:rsidRPr="00802515" w:rsidRDefault="006C2215" w:rsidP="006C2215">
      <w:pPr>
        <w:jc w:val="both"/>
        <w:rPr>
          <w:rFonts w:ascii="Arial" w:hAnsi="Arial" w:cs="Arial"/>
          <w:sz w:val="20"/>
          <w:szCs w:val="20"/>
          <w:lang w:val="pl-PL"/>
        </w:rPr>
      </w:pPr>
      <w:r w:rsidRPr="00802515">
        <w:rPr>
          <w:rFonts w:ascii="Arial" w:hAnsi="Arial" w:cs="Arial"/>
          <w:sz w:val="20"/>
          <w:szCs w:val="20"/>
          <w:lang w:val="pl-PL"/>
        </w:rPr>
        <w:t xml:space="preserve">W II kwartale 2026 roku na siedmiu największych rynkach deweloperskich sprzedano ok. 13 tys. mieszkań, przy czym po słabszym początku kwartału sprzedaż w maju i czerwcu utrzymywała się na poziomie ok. 4,5 tys. lokali miesięcznie, zgodnie z danymi </w:t>
      </w:r>
      <w:proofErr w:type="spellStart"/>
      <w:r w:rsidRPr="00802515">
        <w:rPr>
          <w:rFonts w:ascii="Arial" w:hAnsi="Arial" w:cs="Arial"/>
          <w:sz w:val="20"/>
          <w:szCs w:val="20"/>
          <w:lang w:val="pl-PL"/>
        </w:rPr>
        <w:t>otodom</w:t>
      </w:r>
      <w:proofErr w:type="spellEnd"/>
      <w:r w:rsidRPr="00802515">
        <w:rPr>
          <w:rFonts w:ascii="Arial" w:hAnsi="Arial" w:cs="Arial"/>
          <w:sz w:val="20"/>
          <w:szCs w:val="20"/>
          <w:lang w:val="pl-PL"/>
        </w:rPr>
        <w:t>. Po stronie podaży aktywność deweloperów była wyższa niż na początku roku: liczba mieszkań wprowadzonych do sprzedaży w II kwartale wyniosła ok. 13,1 tys., czyli była o ok. 50% wyższa niż w I kwartale. Jednocześnie dostępna oferta, po kilku miesiącach stopniowego spadku, ustabilizowała się i na koniec czerwca ponownie przekroczyła 60 tys. lokali.</w:t>
      </w:r>
    </w:p>
    <w:p w14:paraId="70A20ADA" w14:textId="77777777" w:rsidR="006C2215" w:rsidRPr="00802515" w:rsidRDefault="006C2215" w:rsidP="006C2215">
      <w:pPr>
        <w:jc w:val="both"/>
        <w:rPr>
          <w:rFonts w:ascii="Arial" w:hAnsi="Arial" w:cs="Arial"/>
          <w:sz w:val="20"/>
          <w:szCs w:val="20"/>
          <w:lang w:val="pl-PL"/>
        </w:rPr>
      </w:pPr>
      <w:r w:rsidRPr="00802515">
        <w:rPr>
          <w:rFonts w:ascii="Arial" w:hAnsi="Arial" w:cs="Arial"/>
          <w:sz w:val="20"/>
          <w:szCs w:val="20"/>
          <w:lang w:val="pl-PL"/>
        </w:rPr>
        <w:t>W czerwcu 2026 roku wartość zapytań o kredyty mieszkaniowe wzrosła o 15,8% rok do roku. Liczba osób wnioskujących o finansowanie hipoteczne osiągnęła poziom 42,8 tys., co stanowi wzrost o 14,5% względem analogicznego okresu ubiegłego roku. Symbolicznym momentem było przekroczenie bariery pół miliona złotych przez średnią kwotę wnioskowanego kredytu, która osiągnęła poziom 506,6 tys. PLN.</w:t>
      </w:r>
    </w:p>
    <w:p w14:paraId="13873D24" w14:textId="77777777" w:rsidR="006C2215" w:rsidRPr="00802515" w:rsidRDefault="006C2215" w:rsidP="006C2215">
      <w:pPr>
        <w:jc w:val="both"/>
        <w:rPr>
          <w:rFonts w:ascii="Arial" w:hAnsi="Arial" w:cs="Arial"/>
          <w:sz w:val="20"/>
          <w:szCs w:val="20"/>
          <w:lang w:val="pl-PL"/>
        </w:rPr>
      </w:pPr>
      <w:r w:rsidRPr="00802515">
        <w:rPr>
          <w:rFonts w:ascii="Arial" w:hAnsi="Arial" w:cs="Arial"/>
          <w:sz w:val="20"/>
          <w:szCs w:val="20"/>
          <w:lang w:val="pl-PL"/>
        </w:rPr>
        <w:t>– </w:t>
      </w:r>
      <w:r w:rsidRPr="00802515">
        <w:rPr>
          <w:rFonts w:ascii="Arial" w:hAnsi="Arial" w:cs="Arial"/>
          <w:i/>
          <w:iCs/>
          <w:sz w:val="20"/>
          <w:szCs w:val="20"/>
          <w:lang w:val="pl-PL"/>
        </w:rPr>
        <w:t>Obserwowany w drugim kwartale wzrost aktywności kredytowej wynikał zarówno z większej liczby gospodarstw domowych podejmujących decyzje zakupowe, jak i z utrzymującego się wzrostu kwot finansowania. Zgodnie z oceną BIK, w kolejnych miesiącach dynamika popytu może jednak stopniowo wygasać ze względu na efekt wysokiej bazy statystycznej</w:t>
      </w:r>
      <w:r w:rsidRPr="00802515">
        <w:rPr>
          <w:rFonts w:ascii="Arial" w:hAnsi="Arial" w:cs="Arial"/>
          <w:sz w:val="20"/>
          <w:szCs w:val="20"/>
          <w:lang w:val="pl-PL"/>
        </w:rPr>
        <w:t> – komentuje </w:t>
      </w:r>
      <w:r w:rsidRPr="00802515">
        <w:rPr>
          <w:rFonts w:ascii="Arial" w:hAnsi="Arial" w:cs="Arial"/>
          <w:b/>
          <w:bCs/>
          <w:sz w:val="20"/>
          <w:szCs w:val="20"/>
          <w:lang w:val="pl-PL"/>
        </w:rPr>
        <w:t>Ewa Derlatka-</w:t>
      </w:r>
      <w:proofErr w:type="spellStart"/>
      <w:r w:rsidRPr="00802515">
        <w:rPr>
          <w:rFonts w:ascii="Arial" w:hAnsi="Arial" w:cs="Arial"/>
          <w:b/>
          <w:bCs/>
          <w:sz w:val="20"/>
          <w:szCs w:val="20"/>
          <w:lang w:val="pl-PL"/>
        </w:rPr>
        <w:t>Chilewicz</w:t>
      </w:r>
      <w:proofErr w:type="spellEnd"/>
      <w:r w:rsidRPr="00802515">
        <w:rPr>
          <w:rFonts w:ascii="Arial" w:hAnsi="Arial" w:cs="Arial"/>
          <w:b/>
          <w:bCs/>
          <w:sz w:val="20"/>
          <w:szCs w:val="20"/>
          <w:lang w:val="pl-PL"/>
        </w:rPr>
        <w:t xml:space="preserve">, </w:t>
      </w:r>
      <w:proofErr w:type="spellStart"/>
      <w:r w:rsidRPr="00802515">
        <w:rPr>
          <w:rFonts w:ascii="Arial" w:hAnsi="Arial" w:cs="Arial"/>
          <w:b/>
          <w:bCs/>
          <w:sz w:val="20"/>
          <w:szCs w:val="20"/>
          <w:lang w:val="pl-PL"/>
        </w:rPr>
        <w:t>Head</w:t>
      </w:r>
      <w:proofErr w:type="spellEnd"/>
      <w:r w:rsidRPr="00802515">
        <w:rPr>
          <w:rFonts w:ascii="Arial" w:hAnsi="Arial" w:cs="Arial"/>
          <w:b/>
          <w:bCs/>
          <w:sz w:val="20"/>
          <w:szCs w:val="20"/>
          <w:lang w:val="pl-PL"/>
        </w:rPr>
        <w:t xml:space="preserve"> of </w:t>
      </w:r>
      <w:proofErr w:type="spellStart"/>
      <w:r w:rsidRPr="00802515">
        <w:rPr>
          <w:rFonts w:ascii="Arial" w:hAnsi="Arial" w:cs="Arial"/>
          <w:b/>
          <w:bCs/>
          <w:sz w:val="20"/>
          <w:szCs w:val="20"/>
          <w:lang w:val="pl-PL"/>
        </w:rPr>
        <w:t>Research</w:t>
      </w:r>
      <w:proofErr w:type="spellEnd"/>
      <w:r w:rsidRPr="00802515">
        <w:rPr>
          <w:rFonts w:ascii="Arial" w:hAnsi="Arial" w:cs="Arial"/>
          <w:b/>
          <w:bCs/>
          <w:sz w:val="20"/>
          <w:szCs w:val="20"/>
          <w:lang w:val="pl-PL"/>
        </w:rPr>
        <w:t xml:space="preserve"> Poland, </w:t>
      </w:r>
      <w:proofErr w:type="spellStart"/>
      <w:r w:rsidRPr="00802515">
        <w:rPr>
          <w:rFonts w:ascii="Arial" w:hAnsi="Arial" w:cs="Arial"/>
          <w:b/>
          <w:bCs/>
          <w:sz w:val="20"/>
          <w:szCs w:val="20"/>
          <w:lang w:val="pl-PL"/>
        </w:rPr>
        <w:t>Associate</w:t>
      </w:r>
      <w:proofErr w:type="spellEnd"/>
      <w:r w:rsidRPr="00802515">
        <w:rPr>
          <w:rFonts w:ascii="Arial" w:hAnsi="Arial" w:cs="Arial"/>
          <w:b/>
          <w:bCs/>
          <w:sz w:val="20"/>
          <w:szCs w:val="20"/>
          <w:lang w:val="pl-PL"/>
        </w:rPr>
        <w:t xml:space="preserve"> </w:t>
      </w:r>
      <w:proofErr w:type="spellStart"/>
      <w:r w:rsidRPr="00802515">
        <w:rPr>
          <w:rFonts w:ascii="Arial" w:hAnsi="Arial" w:cs="Arial"/>
          <w:b/>
          <w:bCs/>
          <w:sz w:val="20"/>
          <w:szCs w:val="20"/>
          <w:lang w:val="pl-PL"/>
        </w:rPr>
        <w:t>Director</w:t>
      </w:r>
      <w:proofErr w:type="spellEnd"/>
      <w:r w:rsidRPr="00802515">
        <w:rPr>
          <w:rFonts w:ascii="Arial" w:hAnsi="Arial" w:cs="Arial"/>
          <w:b/>
          <w:bCs/>
          <w:sz w:val="20"/>
          <w:szCs w:val="20"/>
          <w:lang w:val="pl-PL"/>
        </w:rPr>
        <w:t xml:space="preserve"> w </w:t>
      </w:r>
      <w:proofErr w:type="spellStart"/>
      <w:r w:rsidRPr="00802515">
        <w:rPr>
          <w:rFonts w:ascii="Arial" w:hAnsi="Arial" w:cs="Arial"/>
          <w:b/>
          <w:bCs/>
          <w:sz w:val="20"/>
          <w:szCs w:val="20"/>
          <w:lang w:val="pl-PL"/>
        </w:rPr>
        <w:t>Cushman</w:t>
      </w:r>
      <w:proofErr w:type="spellEnd"/>
      <w:r w:rsidRPr="00802515">
        <w:rPr>
          <w:rFonts w:ascii="Arial" w:hAnsi="Arial" w:cs="Arial"/>
          <w:b/>
          <w:bCs/>
          <w:sz w:val="20"/>
          <w:szCs w:val="20"/>
          <w:lang w:val="pl-PL"/>
        </w:rPr>
        <w:t xml:space="preserve"> &amp; Wakefield</w:t>
      </w:r>
      <w:r w:rsidRPr="00802515">
        <w:rPr>
          <w:rFonts w:ascii="Arial" w:hAnsi="Arial" w:cs="Arial"/>
          <w:sz w:val="20"/>
          <w:szCs w:val="20"/>
          <w:lang w:val="pl-PL"/>
        </w:rPr>
        <w:t>.</w:t>
      </w:r>
    </w:p>
    <w:p w14:paraId="46414FF1" w14:textId="77777777" w:rsidR="006C2215" w:rsidRPr="00802515" w:rsidRDefault="006C2215" w:rsidP="006C2215">
      <w:pPr>
        <w:jc w:val="both"/>
        <w:rPr>
          <w:rFonts w:ascii="Arial" w:hAnsi="Arial" w:cs="Arial"/>
          <w:b/>
          <w:bCs/>
          <w:sz w:val="20"/>
          <w:szCs w:val="20"/>
          <w:lang w:val="pl-PL"/>
        </w:rPr>
      </w:pPr>
      <w:r w:rsidRPr="00802515">
        <w:rPr>
          <w:rFonts w:ascii="Arial" w:hAnsi="Arial" w:cs="Arial"/>
          <w:b/>
          <w:bCs/>
          <w:sz w:val="20"/>
          <w:szCs w:val="20"/>
          <w:lang w:val="pl-PL"/>
        </w:rPr>
        <w:lastRenderedPageBreak/>
        <w:t>Rynek pierwotny: wysoka podaż i stabilizacja cenowa</w:t>
      </w:r>
    </w:p>
    <w:p w14:paraId="52A49D6D" w14:textId="77777777" w:rsidR="006C2215" w:rsidRPr="00802515" w:rsidRDefault="006C2215" w:rsidP="006C2215">
      <w:pPr>
        <w:jc w:val="both"/>
        <w:rPr>
          <w:rFonts w:ascii="Arial" w:hAnsi="Arial" w:cs="Arial"/>
          <w:sz w:val="20"/>
          <w:szCs w:val="20"/>
          <w:lang w:val="pl-PL"/>
        </w:rPr>
      </w:pPr>
      <w:r w:rsidRPr="00802515">
        <w:rPr>
          <w:rFonts w:ascii="Arial" w:hAnsi="Arial" w:cs="Arial"/>
          <w:sz w:val="20"/>
          <w:szCs w:val="20"/>
          <w:lang w:val="pl-PL"/>
        </w:rPr>
        <w:t>Silny popyt kupujących utrzymuje się równolegle z wysoką aktywnością deweloperów, zarówno pod względem liczby mieszkań rozpoczynanych, jak i oddawanych do użytkowania. W pierwszym półroczu 2026 roku rozpoczęto budowę ponad 69,6 tys. mieszkań, co oznacza wzrost o 2% względem analogicznego okresu 2025 roku oraz o 3% w porównaniu ze średnią dla pierwszych półroczy w latach 2018-2025, czyli okresu największej aktywności deweloperskiej w historii polskiego rynku mieszkaniowego.</w:t>
      </w:r>
    </w:p>
    <w:p w14:paraId="10384660" w14:textId="77777777" w:rsidR="006C2215" w:rsidRPr="00802515" w:rsidRDefault="006C2215" w:rsidP="006C2215">
      <w:pPr>
        <w:jc w:val="both"/>
        <w:rPr>
          <w:rFonts w:ascii="Arial" w:hAnsi="Arial" w:cs="Arial"/>
          <w:sz w:val="20"/>
          <w:szCs w:val="20"/>
          <w:lang w:val="pl-PL"/>
        </w:rPr>
      </w:pPr>
      <w:r w:rsidRPr="00802515">
        <w:rPr>
          <w:rFonts w:ascii="Arial" w:hAnsi="Arial" w:cs="Arial"/>
          <w:sz w:val="20"/>
          <w:szCs w:val="20"/>
          <w:lang w:val="pl-PL"/>
        </w:rPr>
        <w:t>W tym samym czasie ukończono niemal 57,4 tys. mieszkań. Choć oznacza to jedynie nieznaczny wzrost względem pierwszego półrocza 2025 roku (o 0,7% r/r), wynik ten pozostaje o 19% wyższy niż w analogicznym okresie 2018 roku, poprzedzającym rekordową falę podaży przypadającą na lata 2019-2023. Tak wysoki poziom oddawanych mieszkań jest w dużej mierze efektem finalizacji projektów rozpoczętych jeszcze w okresie wyjątkowo wysokiej aktywności inwestycyjnej w poprzednich latach.</w:t>
      </w:r>
    </w:p>
    <w:p w14:paraId="59F09A4E" w14:textId="77777777" w:rsidR="006C2215" w:rsidRPr="00802515" w:rsidRDefault="006C2215" w:rsidP="006C2215">
      <w:pPr>
        <w:jc w:val="both"/>
        <w:rPr>
          <w:rFonts w:ascii="Arial" w:hAnsi="Arial" w:cs="Arial"/>
          <w:sz w:val="20"/>
          <w:szCs w:val="20"/>
          <w:u w:val="single"/>
          <w:lang w:val="pl-PL"/>
        </w:rPr>
      </w:pPr>
      <w:r w:rsidRPr="00802515">
        <w:rPr>
          <w:rFonts w:ascii="Arial" w:hAnsi="Arial" w:cs="Arial"/>
          <w:sz w:val="20"/>
          <w:szCs w:val="20"/>
          <w:u w:val="single"/>
          <w:lang w:val="pl-PL"/>
        </w:rPr>
        <w:t>Ceny ofertowe</w:t>
      </w:r>
    </w:p>
    <w:p w14:paraId="7E5C7C79" w14:textId="77777777" w:rsidR="006C2215" w:rsidRPr="00802515" w:rsidRDefault="006C2215" w:rsidP="006C2215">
      <w:pPr>
        <w:jc w:val="both"/>
        <w:rPr>
          <w:rFonts w:ascii="Arial" w:hAnsi="Arial" w:cs="Arial"/>
          <w:sz w:val="20"/>
          <w:szCs w:val="20"/>
          <w:lang w:val="pl-PL"/>
        </w:rPr>
      </w:pPr>
      <w:r w:rsidRPr="00802515">
        <w:rPr>
          <w:rFonts w:ascii="Arial" w:hAnsi="Arial" w:cs="Arial"/>
          <w:sz w:val="20"/>
          <w:szCs w:val="20"/>
          <w:lang w:val="pl-PL"/>
        </w:rPr>
        <w:t>Zestawienie średnich cen na rynku pierwotnym w kluczowych miastach (dane za II kwartał 2026) przygotowane na podstawie danych NBP:</w:t>
      </w:r>
    </w:p>
    <w:p w14:paraId="3D201B81" w14:textId="77777777" w:rsidR="006C2215" w:rsidRPr="00802515" w:rsidRDefault="006C2215" w:rsidP="006C2215">
      <w:pPr>
        <w:pStyle w:val="ListParagraph"/>
        <w:numPr>
          <w:ilvl w:val="0"/>
          <w:numId w:val="3"/>
        </w:numPr>
        <w:jc w:val="both"/>
        <w:rPr>
          <w:rFonts w:ascii="Arial" w:hAnsi="Arial" w:cs="Arial"/>
          <w:sz w:val="20"/>
          <w:szCs w:val="20"/>
          <w:lang w:val="pl-PL"/>
        </w:rPr>
      </w:pPr>
      <w:r w:rsidRPr="00802515">
        <w:rPr>
          <w:rFonts w:ascii="Arial" w:hAnsi="Arial" w:cs="Arial"/>
          <w:sz w:val="20"/>
          <w:szCs w:val="20"/>
          <w:lang w:val="pl-PL"/>
        </w:rPr>
        <w:t>Warszawa: ok. 18 488 PLN/mkw. (+7% r/r)</w:t>
      </w:r>
    </w:p>
    <w:p w14:paraId="13CBECEC" w14:textId="77777777" w:rsidR="006C2215" w:rsidRPr="00802515" w:rsidRDefault="006C2215" w:rsidP="006C2215">
      <w:pPr>
        <w:pStyle w:val="ListParagraph"/>
        <w:numPr>
          <w:ilvl w:val="0"/>
          <w:numId w:val="3"/>
        </w:numPr>
        <w:jc w:val="both"/>
        <w:rPr>
          <w:rFonts w:ascii="Arial" w:hAnsi="Arial" w:cs="Arial"/>
          <w:sz w:val="20"/>
          <w:szCs w:val="20"/>
          <w:lang w:val="pl-PL"/>
        </w:rPr>
      </w:pPr>
      <w:r w:rsidRPr="00802515">
        <w:rPr>
          <w:rFonts w:ascii="Arial" w:hAnsi="Arial" w:cs="Arial"/>
          <w:sz w:val="20"/>
          <w:szCs w:val="20"/>
          <w:lang w:val="pl-PL"/>
        </w:rPr>
        <w:t xml:space="preserve">Gdańsk: ok. 17 116 PLN/mkw. (+8% r/r) – miasto pozostaje liderem rocznych wzrostów, w czerwcu 2026 roku pierwsze mieszkanie za 1 mln zł (zgodnie z </w:t>
      </w:r>
      <w:proofErr w:type="spellStart"/>
      <w:r w:rsidRPr="00802515">
        <w:rPr>
          <w:rFonts w:ascii="Arial" w:hAnsi="Arial" w:cs="Arial"/>
          <w:sz w:val="20"/>
          <w:szCs w:val="20"/>
          <w:lang w:val="pl-PL"/>
        </w:rPr>
        <w:t>otodom</w:t>
      </w:r>
      <w:proofErr w:type="spellEnd"/>
      <w:r w:rsidRPr="00802515">
        <w:rPr>
          <w:rFonts w:ascii="Arial" w:hAnsi="Arial" w:cs="Arial"/>
          <w:sz w:val="20"/>
          <w:szCs w:val="20"/>
          <w:lang w:val="pl-PL"/>
        </w:rPr>
        <w:t>)</w:t>
      </w:r>
    </w:p>
    <w:p w14:paraId="114CD109" w14:textId="77777777" w:rsidR="006C2215" w:rsidRPr="00802515" w:rsidRDefault="006C2215" w:rsidP="006C2215">
      <w:pPr>
        <w:pStyle w:val="ListParagraph"/>
        <w:numPr>
          <w:ilvl w:val="0"/>
          <w:numId w:val="3"/>
        </w:numPr>
        <w:jc w:val="both"/>
        <w:rPr>
          <w:rFonts w:ascii="Arial" w:hAnsi="Arial" w:cs="Arial"/>
          <w:sz w:val="20"/>
          <w:szCs w:val="20"/>
          <w:lang w:val="pl-PL"/>
        </w:rPr>
      </w:pPr>
      <w:r w:rsidRPr="00802515">
        <w:rPr>
          <w:rFonts w:ascii="Arial" w:hAnsi="Arial" w:cs="Arial"/>
          <w:sz w:val="20"/>
          <w:szCs w:val="20"/>
          <w:lang w:val="pl-PL"/>
        </w:rPr>
        <w:t>Kraków: ok. 16 867 PLN/mkw. (+1% r/r)</w:t>
      </w:r>
    </w:p>
    <w:p w14:paraId="4AFBFBB1" w14:textId="77777777" w:rsidR="006C2215" w:rsidRPr="00802515" w:rsidRDefault="006C2215" w:rsidP="006C2215">
      <w:pPr>
        <w:pStyle w:val="ListParagraph"/>
        <w:numPr>
          <w:ilvl w:val="0"/>
          <w:numId w:val="3"/>
        </w:numPr>
        <w:jc w:val="both"/>
        <w:rPr>
          <w:rFonts w:ascii="Arial" w:hAnsi="Arial" w:cs="Arial"/>
          <w:sz w:val="20"/>
          <w:szCs w:val="20"/>
          <w:lang w:val="pl-PL"/>
        </w:rPr>
      </w:pPr>
      <w:r w:rsidRPr="00802515">
        <w:rPr>
          <w:rFonts w:ascii="Arial" w:hAnsi="Arial" w:cs="Arial"/>
          <w:sz w:val="20"/>
          <w:szCs w:val="20"/>
          <w:lang w:val="pl-PL"/>
        </w:rPr>
        <w:t>Wrocław: ok. 15 575 PLN/mkw. (0% r/r)</w:t>
      </w:r>
    </w:p>
    <w:p w14:paraId="3FF3A2B2" w14:textId="77777777" w:rsidR="006C2215" w:rsidRPr="00802515" w:rsidRDefault="006C2215" w:rsidP="006C2215">
      <w:pPr>
        <w:pStyle w:val="ListParagraph"/>
        <w:numPr>
          <w:ilvl w:val="0"/>
          <w:numId w:val="3"/>
        </w:numPr>
        <w:jc w:val="both"/>
        <w:rPr>
          <w:rFonts w:ascii="Arial" w:hAnsi="Arial" w:cs="Arial"/>
          <w:sz w:val="20"/>
          <w:szCs w:val="20"/>
          <w:lang w:val="pl-PL"/>
        </w:rPr>
      </w:pPr>
      <w:r w:rsidRPr="00802515">
        <w:rPr>
          <w:rFonts w:ascii="Arial" w:hAnsi="Arial" w:cs="Arial"/>
          <w:sz w:val="20"/>
          <w:szCs w:val="20"/>
          <w:lang w:val="pl-PL"/>
        </w:rPr>
        <w:t xml:space="preserve">Poznań: ok. 13 909 PLN/mkw. (5% r/r) – miasto zanotowało w czerwcu 2026 historyczny rekord sprzedanych mieszkań (zgodnie z </w:t>
      </w:r>
      <w:proofErr w:type="spellStart"/>
      <w:r w:rsidRPr="00802515">
        <w:rPr>
          <w:rFonts w:ascii="Arial" w:hAnsi="Arial" w:cs="Arial"/>
          <w:sz w:val="20"/>
          <w:szCs w:val="20"/>
          <w:lang w:val="pl-PL"/>
        </w:rPr>
        <w:t>otodom</w:t>
      </w:r>
      <w:proofErr w:type="spellEnd"/>
      <w:r w:rsidRPr="00802515">
        <w:rPr>
          <w:rFonts w:ascii="Arial" w:hAnsi="Arial" w:cs="Arial"/>
          <w:sz w:val="20"/>
          <w:szCs w:val="20"/>
          <w:lang w:val="pl-PL"/>
        </w:rPr>
        <w:t>)</w:t>
      </w:r>
    </w:p>
    <w:p w14:paraId="00B56800" w14:textId="77777777" w:rsidR="006C2215" w:rsidRPr="00802515" w:rsidRDefault="006C2215" w:rsidP="006C2215">
      <w:pPr>
        <w:pStyle w:val="ListParagraph"/>
        <w:numPr>
          <w:ilvl w:val="0"/>
          <w:numId w:val="3"/>
        </w:numPr>
        <w:jc w:val="both"/>
        <w:rPr>
          <w:rFonts w:ascii="Arial" w:hAnsi="Arial" w:cs="Arial"/>
          <w:sz w:val="20"/>
          <w:szCs w:val="20"/>
          <w:lang w:val="pl-PL"/>
        </w:rPr>
      </w:pPr>
      <w:r w:rsidRPr="00802515">
        <w:rPr>
          <w:rFonts w:ascii="Arial" w:hAnsi="Arial" w:cs="Arial"/>
          <w:sz w:val="20"/>
          <w:szCs w:val="20"/>
          <w:lang w:val="pl-PL"/>
        </w:rPr>
        <w:t>Łódź: ok. 11 837 PLN/mkw. (+1% r/r)</w:t>
      </w:r>
    </w:p>
    <w:p w14:paraId="4A63799A" w14:textId="77777777" w:rsidR="006C2215" w:rsidRPr="00802515" w:rsidRDefault="006C2215" w:rsidP="006C2215">
      <w:pPr>
        <w:jc w:val="both"/>
        <w:rPr>
          <w:rFonts w:ascii="Arial" w:hAnsi="Arial" w:cs="Arial"/>
          <w:sz w:val="20"/>
          <w:szCs w:val="20"/>
          <w:lang w:val="pl-PL"/>
        </w:rPr>
      </w:pPr>
      <w:r w:rsidRPr="00802515">
        <w:rPr>
          <w:rFonts w:ascii="Arial" w:hAnsi="Arial" w:cs="Arial"/>
          <w:sz w:val="20"/>
          <w:szCs w:val="20"/>
          <w:lang w:val="pl-PL"/>
        </w:rPr>
        <w:t>Umiarkowana dynamika cenowa występuje mimo rosnącej presji kosztowej po stronie realizacyjnej. Deweloperzy muszą uwzględniać w budżetach nowe wymogi dotyczące projektowania miejsc doraźnego schronienia, zaostrzone normy akustyczne oraz utrzymujące się wysokie ceny gruntów inwestycyjnych.</w:t>
      </w:r>
    </w:p>
    <w:p w14:paraId="653CEC39" w14:textId="77777777" w:rsidR="006C2215" w:rsidRPr="00802515" w:rsidRDefault="006C2215" w:rsidP="006C2215">
      <w:pPr>
        <w:jc w:val="both"/>
        <w:rPr>
          <w:rFonts w:ascii="Arial" w:hAnsi="Arial" w:cs="Arial"/>
          <w:sz w:val="20"/>
          <w:szCs w:val="20"/>
          <w:lang w:val="pl-PL"/>
        </w:rPr>
      </w:pPr>
      <w:r w:rsidRPr="00802515">
        <w:rPr>
          <w:rFonts w:ascii="Arial" w:hAnsi="Arial" w:cs="Arial"/>
          <w:sz w:val="20"/>
          <w:szCs w:val="20"/>
          <w:lang w:val="pl-PL"/>
        </w:rPr>
        <w:t>– </w:t>
      </w:r>
      <w:r w:rsidRPr="00802515">
        <w:rPr>
          <w:rFonts w:ascii="Arial" w:hAnsi="Arial" w:cs="Arial"/>
          <w:i/>
          <w:iCs/>
          <w:sz w:val="20"/>
          <w:szCs w:val="20"/>
          <w:lang w:val="pl-PL"/>
        </w:rPr>
        <w:t>Drugi kwartał przypieczętował powrót optymizmu na większości rynków mieszkaniowych. Wysoki popyt oraz aktywność kredytobiorców dały deweloperom jasny sygnał do działania. Rosnąca liczba rozpoczynanych budów oraz uzyskanych pozwoleń potwierdzają, że branża ma chęć i gotowość do uruchamiania kolejnych projektów</w:t>
      </w:r>
      <w:r w:rsidRPr="00802515">
        <w:rPr>
          <w:rFonts w:ascii="Arial" w:hAnsi="Arial" w:cs="Arial"/>
          <w:sz w:val="20"/>
          <w:szCs w:val="20"/>
          <w:lang w:val="pl-PL"/>
        </w:rPr>
        <w:t> – wskazuje </w:t>
      </w:r>
      <w:r w:rsidRPr="00802515">
        <w:rPr>
          <w:rFonts w:ascii="Arial" w:hAnsi="Arial" w:cs="Arial"/>
          <w:b/>
          <w:bCs/>
          <w:sz w:val="20"/>
          <w:szCs w:val="20"/>
          <w:lang w:val="pl-PL"/>
        </w:rPr>
        <w:t xml:space="preserve">Karolina Furmańska, Residential &amp; </w:t>
      </w:r>
      <w:proofErr w:type="spellStart"/>
      <w:r w:rsidRPr="00802515">
        <w:rPr>
          <w:rFonts w:ascii="Arial" w:hAnsi="Arial" w:cs="Arial"/>
          <w:b/>
          <w:bCs/>
          <w:sz w:val="20"/>
          <w:szCs w:val="20"/>
          <w:lang w:val="pl-PL"/>
        </w:rPr>
        <w:t>Living</w:t>
      </w:r>
      <w:proofErr w:type="spellEnd"/>
      <w:r w:rsidRPr="00802515">
        <w:rPr>
          <w:rFonts w:ascii="Arial" w:hAnsi="Arial" w:cs="Arial"/>
          <w:b/>
          <w:bCs/>
          <w:sz w:val="20"/>
          <w:szCs w:val="20"/>
          <w:lang w:val="pl-PL"/>
        </w:rPr>
        <w:t xml:space="preserve"> </w:t>
      </w:r>
      <w:proofErr w:type="spellStart"/>
      <w:r w:rsidRPr="00802515">
        <w:rPr>
          <w:rFonts w:ascii="Arial" w:hAnsi="Arial" w:cs="Arial"/>
          <w:b/>
          <w:bCs/>
          <w:sz w:val="20"/>
          <w:szCs w:val="20"/>
          <w:lang w:val="pl-PL"/>
        </w:rPr>
        <w:t>Sector</w:t>
      </w:r>
      <w:proofErr w:type="spellEnd"/>
      <w:r w:rsidRPr="00802515">
        <w:rPr>
          <w:rFonts w:ascii="Arial" w:hAnsi="Arial" w:cs="Arial"/>
          <w:b/>
          <w:bCs/>
          <w:sz w:val="20"/>
          <w:szCs w:val="20"/>
          <w:lang w:val="pl-PL"/>
        </w:rPr>
        <w:t xml:space="preserve"> Manager w </w:t>
      </w:r>
      <w:proofErr w:type="spellStart"/>
      <w:r w:rsidRPr="00802515">
        <w:rPr>
          <w:rFonts w:ascii="Arial" w:hAnsi="Arial" w:cs="Arial"/>
          <w:b/>
          <w:bCs/>
          <w:sz w:val="20"/>
          <w:szCs w:val="20"/>
          <w:lang w:val="pl-PL"/>
        </w:rPr>
        <w:t>Cushman</w:t>
      </w:r>
      <w:proofErr w:type="spellEnd"/>
      <w:r w:rsidRPr="00802515">
        <w:rPr>
          <w:rFonts w:ascii="Arial" w:hAnsi="Arial" w:cs="Arial"/>
          <w:b/>
          <w:bCs/>
          <w:sz w:val="20"/>
          <w:szCs w:val="20"/>
          <w:lang w:val="pl-PL"/>
        </w:rPr>
        <w:t xml:space="preserve"> &amp; Wakefield</w:t>
      </w:r>
    </w:p>
    <w:p w14:paraId="6D3F45DC" w14:textId="77777777" w:rsidR="006C2215" w:rsidRPr="00802515" w:rsidRDefault="006C2215" w:rsidP="006C2215">
      <w:pPr>
        <w:jc w:val="both"/>
        <w:rPr>
          <w:rFonts w:ascii="Arial" w:hAnsi="Arial" w:cs="Arial"/>
          <w:b/>
          <w:bCs/>
          <w:sz w:val="20"/>
          <w:szCs w:val="20"/>
          <w:lang w:val="pl-PL"/>
        </w:rPr>
      </w:pPr>
      <w:r w:rsidRPr="00802515">
        <w:rPr>
          <w:rFonts w:ascii="Arial" w:hAnsi="Arial" w:cs="Arial"/>
          <w:b/>
          <w:bCs/>
          <w:sz w:val="20"/>
          <w:szCs w:val="20"/>
          <w:lang w:val="pl-PL"/>
        </w:rPr>
        <w:t>Rynek wtórny: selektywność nabywców i stabilność ofertowa</w:t>
      </w:r>
    </w:p>
    <w:p w14:paraId="2F67EC21" w14:textId="77777777" w:rsidR="006C2215" w:rsidRPr="00802515" w:rsidRDefault="006C2215" w:rsidP="006C2215">
      <w:pPr>
        <w:jc w:val="both"/>
        <w:rPr>
          <w:rFonts w:ascii="Arial" w:hAnsi="Arial" w:cs="Arial"/>
          <w:sz w:val="20"/>
          <w:szCs w:val="20"/>
          <w:lang w:val="pl-PL"/>
        </w:rPr>
      </w:pPr>
      <w:r w:rsidRPr="00802515">
        <w:rPr>
          <w:rFonts w:ascii="Arial" w:hAnsi="Arial" w:cs="Arial"/>
          <w:sz w:val="20"/>
          <w:szCs w:val="20"/>
          <w:lang w:val="pl-PL"/>
        </w:rPr>
        <w:lastRenderedPageBreak/>
        <w:t>W segmencie mieszkań używanych w drugim kwartale 2026 roku kluczową rolę zaczęła odgrywać jakość i standard wykończenia nieruchomości. Kupujący coraz częściej uzależniają swoją decyzję od realnej wartości użytkowej lokalu, co wymusza na sprzedających bardziej racjonalne podejście do wycen ofertowych.</w:t>
      </w:r>
    </w:p>
    <w:p w14:paraId="40DA7459" w14:textId="77777777" w:rsidR="006C2215" w:rsidRPr="00802515" w:rsidRDefault="006C2215" w:rsidP="006C2215">
      <w:pPr>
        <w:jc w:val="both"/>
        <w:rPr>
          <w:rFonts w:ascii="Arial" w:hAnsi="Arial" w:cs="Arial"/>
          <w:sz w:val="20"/>
          <w:szCs w:val="20"/>
          <w:lang w:val="pl-PL"/>
        </w:rPr>
      </w:pPr>
      <w:r w:rsidRPr="00802515">
        <w:rPr>
          <w:rFonts w:ascii="Arial" w:hAnsi="Arial" w:cs="Arial"/>
          <w:sz w:val="20"/>
          <w:szCs w:val="20"/>
          <w:lang w:val="pl-PL"/>
        </w:rPr>
        <w:t>Średnie ceny nominalne na rynku wtórnym kształtowały się następująco:</w:t>
      </w:r>
    </w:p>
    <w:p w14:paraId="17AE4351" w14:textId="77777777" w:rsidR="006C2215" w:rsidRPr="00802515" w:rsidRDefault="006C2215" w:rsidP="006C2215">
      <w:pPr>
        <w:pStyle w:val="ListParagraph"/>
        <w:numPr>
          <w:ilvl w:val="0"/>
          <w:numId w:val="4"/>
        </w:numPr>
        <w:jc w:val="both"/>
        <w:rPr>
          <w:rFonts w:ascii="Arial" w:hAnsi="Arial" w:cs="Arial"/>
          <w:sz w:val="20"/>
          <w:szCs w:val="20"/>
        </w:rPr>
      </w:pPr>
      <w:r w:rsidRPr="00802515">
        <w:rPr>
          <w:rFonts w:ascii="Arial" w:hAnsi="Arial" w:cs="Arial"/>
          <w:sz w:val="20"/>
          <w:szCs w:val="20"/>
        </w:rPr>
        <w:t>Warszawa: ok. 19 059 PLN/</w:t>
      </w:r>
      <w:proofErr w:type="spellStart"/>
      <w:r w:rsidRPr="00802515">
        <w:rPr>
          <w:rFonts w:ascii="Arial" w:hAnsi="Arial" w:cs="Arial"/>
          <w:sz w:val="20"/>
          <w:szCs w:val="20"/>
        </w:rPr>
        <w:t>mkw</w:t>
      </w:r>
      <w:proofErr w:type="spellEnd"/>
      <w:r w:rsidRPr="00802515">
        <w:rPr>
          <w:rFonts w:ascii="Arial" w:hAnsi="Arial" w:cs="Arial"/>
          <w:sz w:val="20"/>
          <w:szCs w:val="20"/>
        </w:rPr>
        <w:t>.</w:t>
      </w:r>
    </w:p>
    <w:p w14:paraId="13592AC2" w14:textId="77777777" w:rsidR="006C2215" w:rsidRPr="00802515" w:rsidRDefault="006C2215" w:rsidP="006C2215">
      <w:pPr>
        <w:pStyle w:val="ListParagraph"/>
        <w:numPr>
          <w:ilvl w:val="0"/>
          <w:numId w:val="4"/>
        </w:numPr>
        <w:jc w:val="both"/>
        <w:rPr>
          <w:rFonts w:ascii="Arial" w:hAnsi="Arial" w:cs="Arial"/>
          <w:sz w:val="20"/>
          <w:szCs w:val="20"/>
        </w:rPr>
      </w:pPr>
      <w:r w:rsidRPr="00802515">
        <w:rPr>
          <w:rFonts w:ascii="Arial" w:hAnsi="Arial" w:cs="Arial"/>
          <w:sz w:val="20"/>
          <w:szCs w:val="20"/>
        </w:rPr>
        <w:t>Kraków: ok. 16 838 PLN/</w:t>
      </w:r>
      <w:proofErr w:type="spellStart"/>
      <w:r w:rsidRPr="00802515">
        <w:rPr>
          <w:rFonts w:ascii="Arial" w:hAnsi="Arial" w:cs="Arial"/>
          <w:sz w:val="20"/>
          <w:szCs w:val="20"/>
        </w:rPr>
        <w:t>mkw</w:t>
      </w:r>
      <w:proofErr w:type="spellEnd"/>
      <w:r w:rsidRPr="00802515">
        <w:rPr>
          <w:rFonts w:ascii="Arial" w:hAnsi="Arial" w:cs="Arial"/>
          <w:sz w:val="20"/>
          <w:szCs w:val="20"/>
        </w:rPr>
        <w:t>.</w:t>
      </w:r>
    </w:p>
    <w:p w14:paraId="5ECA0E05" w14:textId="77777777" w:rsidR="006C2215" w:rsidRPr="00802515" w:rsidRDefault="006C2215" w:rsidP="006C2215">
      <w:pPr>
        <w:pStyle w:val="ListParagraph"/>
        <w:numPr>
          <w:ilvl w:val="0"/>
          <w:numId w:val="4"/>
        </w:numPr>
        <w:jc w:val="both"/>
        <w:rPr>
          <w:rFonts w:ascii="Arial" w:hAnsi="Arial" w:cs="Arial"/>
          <w:sz w:val="20"/>
          <w:szCs w:val="20"/>
        </w:rPr>
      </w:pPr>
      <w:proofErr w:type="spellStart"/>
      <w:r w:rsidRPr="00802515">
        <w:rPr>
          <w:rFonts w:ascii="Arial" w:hAnsi="Arial" w:cs="Arial"/>
          <w:sz w:val="20"/>
          <w:szCs w:val="20"/>
        </w:rPr>
        <w:t>Gdańsk</w:t>
      </w:r>
      <w:proofErr w:type="spellEnd"/>
      <w:r w:rsidRPr="00802515">
        <w:rPr>
          <w:rFonts w:ascii="Arial" w:hAnsi="Arial" w:cs="Arial"/>
          <w:sz w:val="20"/>
          <w:szCs w:val="20"/>
        </w:rPr>
        <w:t>: ok. 16 384 PLN/</w:t>
      </w:r>
      <w:proofErr w:type="spellStart"/>
      <w:r w:rsidRPr="00802515">
        <w:rPr>
          <w:rFonts w:ascii="Arial" w:hAnsi="Arial" w:cs="Arial"/>
          <w:sz w:val="20"/>
          <w:szCs w:val="20"/>
        </w:rPr>
        <w:t>mkw</w:t>
      </w:r>
      <w:proofErr w:type="spellEnd"/>
      <w:r w:rsidRPr="00802515">
        <w:rPr>
          <w:rFonts w:ascii="Arial" w:hAnsi="Arial" w:cs="Arial"/>
          <w:sz w:val="20"/>
          <w:szCs w:val="20"/>
        </w:rPr>
        <w:t>.</w:t>
      </w:r>
    </w:p>
    <w:p w14:paraId="0888C2D7" w14:textId="77777777" w:rsidR="006C2215" w:rsidRPr="00802515" w:rsidRDefault="006C2215" w:rsidP="006C2215">
      <w:pPr>
        <w:spacing w:after="0" w:line="300" w:lineRule="atLeast"/>
        <w:rPr>
          <w:rFonts w:ascii="Arial" w:eastAsia="Times New Roman" w:hAnsi="Arial" w:cs="Arial"/>
          <w:sz w:val="20"/>
          <w:szCs w:val="20"/>
          <w:lang w:val="pl-PL"/>
        </w:rPr>
      </w:pPr>
      <w:r w:rsidRPr="00802515">
        <w:rPr>
          <w:rFonts w:ascii="Arial" w:eastAsia="Times New Roman" w:hAnsi="Arial" w:cs="Arial"/>
          <w:sz w:val="20"/>
          <w:szCs w:val="20"/>
          <w:lang w:val="pl-PL"/>
        </w:rPr>
        <w:t xml:space="preserve">– </w:t>
      </w:r>
      <w:r w:rsidRPr="00802515">
        <w:rPr>
          <w:rFonts w:ascii="Arial" w:eastAsia="Times New Roman" w:hAnsi="Arial" w:cs="Arial"/>
          <w:i/>
          <w:iCs/>
          <w:sz w:val="20"/>
          <w:szCs w:val="20"/>
          <w:lang w:val="pl-PL"/>
        </w:rPr>
        <w:t>W drugim kwartale 2026 roku rynek wtórny charakteryzował się większą stabilnością cen niż rynek pierwotny. Kupujący pozostają aktywni, ale bardziej selektywni, dlatego o tempie sprzedaży coraz częściej decydują jakość mieszkania, lokalizacja i realistyczna wycena. Najwyższe roczne wzrosty cen ofertowych na rynku wtórnym odnotowano w Poznaniu i Gdańsku, po ok. 5% r/r, natomiast w Warszawie ceny wzrosły o ok. 4% r/r</w:t>
      </w:r>
      <w:r w:rsidRPr="00802515">
        <w:rPr>
          <w:rFonts w:ascii="Arial" w:eastAsia="Times New Roman" w:hAnsi="Arial" w:cs="Arial"/>
          <w:sz w:val="20"/>
          <w:szCs w:val="20"/>
          <w:lang w:val="pl-PL"/>
        </w:rPr>
        <w:t xml:space="preserve"> – wskazuje </w:t>
      </w:r>
      <w:proofErr w:type="spellStart"/>
      <w:r w:rsidRPr="00802515">
        <w:rPr>
          <w:rFonts w:ascii="Arial" w:eastAsia="Times New Roman" w:hAnsi="Arial" w:cs="Arial"/>
          <w:b/>
          <w:bCs/>
          <w:sz w:val="20"/>
          <w:szCs w:val="20"/>
          <w:lang w:val="pl-PL"/>
        </w:rPr>
        <w:t>Vitalii</w:t>
      </w:r>
      <w:proofErr w:type="spellEnd"/>
      <w:r w:rsidRPr="00802515">
        <w:rPr>
          <w:rFonts w:ascii="Arial" w:eastAsia="Times New Roman" w:hAnsi="Arial" w:cs="Arial"/>
          <w:b/>
          <w:bCs/>
          <w:sz w:val="20"/>
          <w:szCs w:val="20"/>
          <w:lang w:val="pl-PL"/>
        </w:rPr>
        <w:t xml:space="preserve"> </w:t>
      </w:r>
      <w:proofErr w:type="spellStart"/>
      <w:r w:rsidRPr="00802515">
        <w:rPr>
          <w:rFonts w:ascii="Arial" w:eastAsia="Times New Roman" w:hAnsi="Arial" w:cs="Arial"/>
          <w:b/>
          <w:bCs/>
          <w:sz w:val="20"/>
          <w:szCs w:val="20"/>
          <w:lang w:val="pl-PL"/>
        </w:rPr>
        <w:t>Arkhypenko</w:t>
      </w:r>
      <w:proofErr w:type="spellEnd"/>
      <w:r w:rsidRPr="00802515">
        <w:rPr>
          <w:rFonts w:ascii="Arial" w:eastAsia="Times New Roman" w:hAnsi="Arial" w:cs="Arial"/>
          <w:b/>
          <w:bCs/>
          <w:sz w:val="20"/>
          <w:szCs w:val="20"/>
          <w:lang w:val="pl-PL"/>
        </w:rPr>
        <w:t xml:space="preserve">, Senior </w:t>
      </w:r>
      <w:proofErr w:type="spellStart"/>
      <w:r w:rsidRPr="00802515">
        <w:rPr>
          <w:rFonts w:ascii="Arial" w:eastAsia="Times New Roman" w:hAnsi="Arial" w:cs="Arial"/>
          <w:b/>
          <w:bCs/>
          <w:sz w:val="20"/>
          <w:szCs w:val="20"/>
          <w:lang w:val="pl-PL"/>
        </w:rPr>
        <w:t>Research</w:t>
      </w:r>
      <w:proofErr w:type="spellEnd"/>
      <w:r w:rsidRPr="00802515">
        <w:rPr>
          <w:rFonts w:ascii="Arial" w:eastAsia="Times New Roman" w:hAnsi="Arial" w:cs="Arial"/>
          <w:b/>
          <w:bCs/>
          <w:sz w:val="20"/>
          <w:szCs w:val="20"/>
          <w:lang w:val="pl-PL"/>
        </w:rPr>
        <w:t xml:space="preserve"> </w:t>
      </w:r>
      <w:proofErr w:type="spellStart"/>
      <w:r w:rsidRPr="00802515">
        <w:rPr>
          <w:rFonts w:ascii="Arial" w:eastAsia="Times New Roman" w:hAnsi="Arial" w:cs="Arial"/>
          <w:b/>
          <w:bCs/>
          <w:sz w:val="20"/>
          <w:szCs w:val="20"/>
          <w:lang w:val="pl-PL"/>
        </w:rPr>
        <w:t>Analyst</w:t>
      </w:r>
      <w:proofErr w:type="spellEnd"/>
      <w:r w:rsidRPr="00802515">
        <w:rPr>
          <w:rFonts w:ascii="Arial" w:eastAsia="Times New Roman" w:hAnsi="Arial" w:cs="Arial"/>
          <w:b/>
          <w:bCs/>
          <w:sz w:val="20"/>
          <w:szCs w:val="20"/>
          <w:lang w:val="pl-PL"/>
        </w:rPr>
        <w:t xml:space="preserve"> w </w:t>
      </w:r>
      <w:proofErr w:type="spellStart"/>
      <w:r w:rsidRPr="00802515">
        <w:rPr>
          <w:rFonts w:ascii="Arial" w:eastAsia="Times New Roman" w:hAnsi="Arial" w:cs="Arial"/>
          <w:b/>
          <w:bCs/>
          <w:sz w:val="20"/>
          <w:szCs w:val="20"/>
          <w:lang w:val="pl-PL"/>
        </w:rPr>
        <w:t>Cushman</w:t>
      </w:r>
      <w:proofErr w:type="spellEnd"/>
      <w:r w:rsidRPr="00802515">
        <w:rPr>
          <w:rFonts w:ascii="Arial" w:eastAsia="Times New Roman" w:hAnsi="Arial" w:cs="Arial"/>
          <w:b/>
          <w:bCs/>
          <w:sz w:val="20"/>
          <w:szCs w:val="20"/>
          <w:lang w:val="pl-PL"/>
        </w:rPr>
        <w:t xml:space="preserve"> &amp; Wakefield</w:t>
      </w:r>
      <w:r w:rsidRPr="00802515">
        <w:rPr>
          <w:rFonts w:ascii="Arial" w:eastAsia="Times New Roman" w:hAnsi="Arial" w:cs="Arial"/>
          <w:sz w:val="20"/>
          <w:szCs w:val="20"/>
          <w:lang w:val="pl-PL"/>
        </w:rPr>
        <w:t>.</w:t>
      </w:r>
    </w:p>
    <w:p w14:paraId="112395CA" w14:textId="77777777" w:rsidR="000108EB" w:rsidRPr="006C2215" w:rsidRDefault="000108EB" w:rsidP="000108EB">
      <w:pPr>
        <w:tabs>
          <w:tab w:val="left" w:pos="5630"/>
        </w:tabs>
        <w:spacing w:after="0"/>
        <w:jc w:val="both"/>
        <w:rPr>
          <w:rFonts w:ascii="Arial" w:hAnsi="Arial" w:cs="Arial"/>
          <w:bCs/>
          <w:sz w:val="20"/>
          <w:szCs w:val="20"/>
          <w:lang w:val="pl-PL"/>
        </w:rPr>
      </w:pPr>
    </w:p>
    <w:p w14:paraId="020F55D3" w14:textId="168358CE" w:rsidR="006B6114" w:rsidRPr="006C2215" w:rsidRDefault="00573968" w:rsidP="00573968">
      <w:pPr>
        <w:tabs>
          <w:tab w:val="left" w:pos="5630"/>
        </w:tabs>
        <w:rPr>
          <w:rFonts w:ascii="Arial" w:hAnsi="Arial" w:cs="Arial"/>
          <w:bCs/>
          <w:sz w:val="20"/>
          <w:szCs w:val="20"/>
          <w:lang w:val="pl-PL"/>
        </w:rPr>
      </w:pPr>
      <w:r w:rsidRPr="006C2215">
        <w:rPr>
          <w:rFonts w:ascii="Arial" w:hAnsi="Arial" w:cs="Arial"/>
          <w:bCs/>
          <w:sz w:val="20"/>
          <w:szCs w:val="20"/>
          <w:lang w:val="pl-PL"/>
        </w:rPr>
        <w:t xml:space="preserve"> </w:t>
      </w:r>
    </w:p>
    <w:bookmarkEnd w:id="0"/>
    <w:bookmarkEnd w:id="1"/>
    <w:p w14:paraId="258EF7D2" w14:textId="383354BB" w:rsidR="008942DD" w:rsidRPr="00802515" w:rsidRDefault="008942DD" w:rsidP="008942DD">
      <w:pPr>
        <w:spacing w:after="0"/>
        <w:jc w:val="center"/>
        <w:rPr>
          <w:rFonts w:ascii="Arial" w:eastAsia="Microsoft JhengHei" w:hAnsi="Arial" w:cs="Arial"/>
          <w:b/>
          <w:color w:val="4E5050"/>
          <w:sz w:val="18"/>
          <w:szCs w:val="18"/>
          <w:lang w:val="pl-PL"/>
        </w:rPr>
      </w:pPr>
      <w:r w:rsidRPr="00802515">
        <w:rPr>
          <w:rFonts w:ascii="Arial" w:eastAsia="Microsoft JhengHei" w:hAnsi="Arial" w:cs="Arial"/>
          <w:b/>
          <w:color w:val="4E5050"/>
          <w:sz w:val="18"/>
          <w:szCs w:val="18"/>
          <w:lang w:val="pl-PL"/>
        </w:rPr>
        <w:t>-</w:t>
      </w:r>
      <w:r w:rsidR="00CF540F" w:rsidRPr="00802515">
        <w:rPr>
          <w:rFonts w:ascii="Arial" w:eastAsia="Microsoft JhengHei" w:hAnsi="Arial" w:cs="Arial"/>
          <w:b/>
          <w:color w:val="4E5050"/>
          <w:sz w:val="18"/>
          <w:szCs w:val="18"/>
          <w:lang w:val="pl-PL"/>
        </w:rPr>
        <w:t>KONIEC</w:t>
      </w:r>
      <w:r w:rsidRPr="00802515">
        <w:rPr>
          <w:rFonts w:ascii="Arial" w:eastAsia="Microsoft JhengHei" w:hAnsi="Arial" w:cs="Arial"/>
          <w:b/>
          <w:color w:val="4E5050"/>
          <w:sz w:val="18"/>
          <w:szCs w:val="18"/>
          <w:lang w:val="pl-PL"/>
        </w:rPr>
        <w:t>-</w:t>
      </w:r>
    </w:p>
    <w:p w14:paraId="0F57C59E" w14:textId="3815DB24" w:rsidR="0065599F" w:rsidRPr="00802515" w:rsidRDefault="00CF540F" w:rsidP="0065599F">
      <w:pPr>
        <w:pStyle w:val="NormalWeb"/>
        <w:rPr>
          <w:rFonts w:ascii="Arial" w:hAnsi="Arial" w:cs="Arial"/>
          <w:b/>
          <w:bCs/>
          <w:sz w:val="18"/>
          <w:szCs w:val="18"/>
          <w:bdr w:val="none" w:sz="0" w:space="0" w:color="auto" w:frame="1"/>
          <w:shd w:val="clear" w:color="auto" w:fill="FFFFFF"/>
          <w:lang w:val="pl-PL"/>
        </w:rPr>
      </w:pPr>
      <w:r w:rsidRPr="00802515">
        <w:rPr>
          <w:rFonts w:ascii="Arial" w:hAnsi="Arial" w:cs="Arial"/>
          <w:b/>
          <w:bCs/>
          <w:sz w:val="18"/>
          <w:szCs w:val="18"/>
          <w:bdr w:val="none" w:sz="0" w:space="0" w:color="auto" w:frame="1"/>
          <w:shd w:val="clear" w:color="auto" w:fill="FFFFFF"/>
          <w:lang w:val="pl-PL"/>
        </w:rPr>
        <w:t>O</w:t>
      </w:r>
      <w:r w:rsidR="0065599F" w:rsidRPr="00802515">
        <w:rPr>
          <w:rFonts w:ascii="Arial" w:hAnsi="Arial" w:cs="Arial"/>
          <w:b/>
          <w:bCs/>
          <w:sz w:val="18"/>
          <w:szCs w:val="18"/>
          <w:bdr w:val="none" w:sz="0" w:space="0" w:color="auto" w:frame="1"/>
          <w:shd w:val="clear" w:color="auto" w:fill="FFFFFF"/>
          <w:lang w:val="pl-PL"/>
        </w:rPr>
        <w:t xml:space="preserve"> Cushman &amp; Wakefield</w:t>
      </w:r>
    </w:p>
    <w:p w14:paraId="5984CEB9" w14:textId="3CDC361A" w:rsidR="0065599F" w:rsidRPr="00802515" w:rsidRDefault="00A31E54" w:rsidP="0065599F">
      <w:pPr>
        <w:pStyle w:val="NormalWeb"/>
        <w:rPr>
          <w:rFonts w:ascii="Arial" w:hAnsi="Arial" w:cs="Arial"/>
          <w:sz w:val="18"/>
          <w:szCs w:val="18"/>
          <w:bdr w:val="none" w:sz="0" w:space="0" w:color="auto" w:frame="1"/>
          <w:shd w:val="clear" w:color="auto" w:fill="FFFFFF"/>
          <w:lang w:val="pl-PL"/>
        </w:rPr>
      </w:pPr>
      <w:r w:rsidRPr="00802515">
        <w:rPr>
          <w:rFonts w:ascii="Arial" w:hAnsi="Arial" w:cs="Arial"/>
          <w:sz w:val="18"/>
          <w:szCs w:val="18"/>
          <w:bdr w:val="none" w:sz="0" w:space="0" w:color="auto" w:frame="1"/>
          <w:shd w:val="clear" w:color="auto" w:fill="FFFFFF"/>
          <w:lang w:val="pl-PL"/>
        </w:rPr>
        <w:t>Cushman &amp; Wakefield (NYSE: CWK) jest wiodącą na świecie firmą świadczącą usługi na rzecz właścicieli i najemców nieruchomości komercyjnych. Zatrudnia ok. 52 tys. pracowników w niemal 400 biurach i 60 krajach na całym świecie. W 2024 roku jej przychody wyniosły 9,4 mld USD. Do najważniejszych usług świadczonych przez firmę należą m.in. zarządzanie nieruchomościami, obiektami i projektami, pośrednictwo w wynajmie powierzchni, obsługa transakcji na rynkach kapitałowych oraz wyceny. Za nieustanne dążenie do doskonałości zgodnie z zasadą </w:t>
      </w:r>
      <w:proofErr w:type="spellStart"/>
      <w:r w:rsidRPr="00802515">
        <w:rPr>
          <w:rFonts w:ascii="Arial" w:hAnsi="Arial" w:cs="Arial"/>
          <w:i/>
          <w:iCs/>
          <w:sz w:val="18"/>
          <w:szCs w:val="18"/>
          <w:bdr w:val="none" w:sz="0" w:space="0" w:color="auto" w:frame="1"/>
          <w:shd w:val="clear" w:color="auto" w:fill="FFFFFF"/>
          <w:lang w:val="pl-PL"/>
        </w:rPr>
        <w:t>Better</w:t>
      </w:r>
      <w:proofErr w:type="spellEnd"/>
      <w:r w:rsidRPr="00802515">
        <w:rPr>
          <w:rFonts w:ascii="Arial" w:hAnsi="Arial" w:cs="Arial"/>
          <w:i/>
          <w:iCs/>
          <w:sz w:val="18"/>
          <w:szCs w:val="18"/>
          <w:bdr w:val="none" w:sz="0" w:space="0" w:color="auto" w:frame="1"/>
          <w:shd w:val="clear" w:color="auto" w:fill="FFFFFF"/>
          <w:lang w:val="pl-PL"/>
        </w:rPr>
        <w:t xml:space="preserve"> </w:t>
      </w:r>
      <w:proofErr w:type="spellStart"/>
      <w:r w:rsidRPr="00802515">
        <w:rPr>
          <w:rFonts w:ascii="Arial" w:hAnsi="Arial" w:cs="Arial"/>
          <w:i/>
          <w:iCs/>
          <w:sz w:val="18"/>
          <w:szCs w:val="18"/>
          <w:bdr w:val="none" w:sz="0" w:space="0" w:color="auto" w:frame="1"/>
          <w:shd w:val="clear" w:color="auto" w:fill="FFFFFF"/>
          <w:lang w:val="pl-PL"/>
        </w:rPr>
        <w:t>never</w:t>
      </w:r>
      <w:proofErr w:type="spellEnd"/>
      <w:r w:rsidRPr="00802515">
        <w:rPr>
          <w:rFonts w:ascii="Arial" w:hAnsi="Arial" w:cs="Arial"/>
          <w:i/>
          <w:iCs/>
          <w:sz w:val="18"/>
          <w:szCs w:val="18"/>
          <w:bdr w:val="none" w:sz="0" w:space="0" w:color="auto" w:frame="1"/>
          <w:shd w:val="clear" w:color="auto" w:fill="FFFFFF"/>
          <w:lang w:val="pl-PL"/>
        </w:rPr>
        <w:t xml:space="preserve"> </w:t>
      </w:r>
      <w:proofErr w:type="spellStart"/>
      <w:r w:rsidRPr="00802515">
        <w:rPr>
          <w:rFonts w:ascii="Arial" w:hAnsi="Arial" w:cs="Arial"/>
          <w:i/>
          <w:iCs/>
          <w:sz w:val="18"/>
          <w:szCs w:val="18"/>
          <w:bdr w:val="none" w:sz="0" w:space="0" w:color="auto" w:frame="1"/>
          <w:shd w:val="clear" w:color="auto" w:fill="FFFFFF"/>
          <w:lang w:val="pl-PL"/>
        </w:rPr>
        <w:t>settles</w:t>
      </w:r>
      <w:proofErr w:type="spellEnd"/>
      <w:r w:rsidRPr="00802515">
        <w:rPr>
          <w:rFonts w:ascii="Arial" w:hAnsi="Arial" w:cs="Arial"/>
          <w:sz w:val="18"/>
          <w:szCs w:val="18"/>
          <w:bdr w:val="none" w:sz="0" w:space="0" w:color="auto" w:frame="1"/>
          <w:shd w:val="clear" w:color="auto" w:fill="FFFFFF"/>
          <w:lang w:val="pl-PL"/>
        </w:rPr>
        <w:t> </w:t>
      </w:r>
      <w:proofErr w:type="spellStart"/>
      <w:r w:rsidRPr="00802515">
        <w:rPr>
          <w:rFonts w:ascii="Arial" w:hAnsi="Arial" w:cs="Arial"/>
          <w:sz w:val="18"/>
          <w:szCs w:val="18"/>
          <w:bdr w:val="none" w:sz="0" w:space="0" w:color="auto" w:frame="1"/>
          <w:shd w:val="clear" w:color="auto" w:fill="FFFFFF"/>
          <w:lang w:val="pl-PL"/>
        </w:rPr>
        <w:t>Cushman</w:t>
      </w:r>
      <w:proofErr w:type="spellEnd"/>
      <w:r w:rsidRPr="00802515">
        <w:rPr>
          <w:rFonts w:ascii="Arial" w:hAnsi="Arial" w:cs="Arial"/>
          <w:sz w:val="18"/>
          <w:szCs w:val="18"/>
          <w:bdr w:val="none" w:sz="0" w:space="0" w:color="auto" w:frame="1"/>
          <w:shd w:val="clear" w:color="auto" w:fill="FFFFFF"/>
          <w:lang w:val="pl-PL"/>
        </w:rPr>
        <w:t xml:space="preserve"> &amp; Wakefield otrzymuje wiele wyróżnień oraz nagród w konkursach branżowych i biznesowych. Dodatkowe informacje na stronie </w:t>
      </w:r>
      <w:hyperlink r:id="rId8" w:history="1">
        <w:r w:rsidR="0065599F" w:rsidRPr="00802515">
          <w:rPr>
            <w:rStyle w:val="Hyperlink"/>
            <w:rFonts w:ascii="Arial" w:hAnsi="Arial" w:cs="Arial"/>
            <w:sz w:val="18"/>
            <w:szCs w:val="18"/>
            <w:bdr w:val="none" w:sz="0" w:space="0" w:color="auto" w:frame="1"/>
            <w:shd w:val="clear" w:color="auto" w:fill="FFFFFF"/>
            <w:lang w:val="pl-PL"/>
          </w:rPr>
          <w:t>www.cushmanwakefield.com</w:t>
        </w:r>
      </w:hyperlink>
      <w:r w:rsidR="0065599F" w:rsidRPr="00802515">
        <w:rPr>
          <w:rFonts w:ascii="Arial" w:hAnsi="Arial" w:cs="Arial"/>
          <w:sz w:val="18"/>
          <w:szCs w:val="18"/>
          <w:bdr w:val="none" w:sz="0" w:space="0" w:color="auto" w:frame="1"/>
          <w:shd w:val="clear" w:color="auto" w:fill="FFFFFF"/>
          <w:lang w:val="pl-PL"/>
        </w:rPr>
        <w:t xml:space="preserve"> </w:t>
      </w:r>
    </w:p>
    <w:p w14:paraId="4AB07F79" w14:textId="77777777" w:rsidR="00753BBA" w:rsidRPr="00352F50" w:rsidRDefault="00753BBA">
      <w:pPr>
        <w:rPr>
          <w:lang w:val="pl-PL"/>
        </w:rPr>
      </w:pPr>
    </w:p>
    <w:sectPr w:rsidR="00753BBA" w:rsidRPr="00352F50" w:rsidSect="009E1244">
      <w:headerReference w:type="default" r:id="rId9"/>
      <w:footerReference w:type="default" r:id="rId10"/>
      <w:headerReference w:type="first" r:id="rId11"/>
      <w:footerReference w:type="first" r:id="rId12"/>
      <w:pgSz w:w="11909" w:h="16834" w:code="9"/>
      <w:pgMar w:top="3600" w:right="1008" w:bottom="2880" w:left="1224" w:header="1800" w:footer="2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247298" w14:textId="77777777" w:rsidR="0036300F" w:rsidRDefault="0036300F" w:rsidP="001E5EDD">
      <w:pPr>
        <w:spacing w:after="0" w:line="240" w:lineRule="auto"/>
      </w:pPr>
      <w:r>
        <w:separator/>
      </w:r>
    </w:p>
  </w:endnote>
  <w:endnote w:type="continuationSeparator" w:id="0">
    <w:p w14:paraId="5DF2B5FF" w14:textId="77777777" w:rsidR="0036300F" w:rsidRDefault="0036300F" w:rsidP="001E5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00" w:type="dxa"/>
      <w:tblLayout w:type="fixed"/>
      <w:tblLook w:val="0400" w:firstRow="0" w:lastRow="0" w:firstColumn="0" w:lastColumn="0" w:noHBand="0" w:noVBand="1"/>
    </w:tblPr>
    <w:tblGrid>
      <w:gridCol w:w="9000"/>
    </w:tblGrid>
    <w:tr w:rsidR="00802515" w:rsidRPr="00394677" w14:paraId="338483EC" w14:textId="77777777" w:rsidTr="00940992">
      <w:trPr>
        <w:trHeight w:val="1260"/>
      </w:trPr>
      <w:tc>
        <w:tcPr>
          <w:tcW w:w="9000" w:type="dxa"/>
          <w:tcBorders>
            <w:top w:val="single" w:sz="4" w:space="0" w:color="FFFFFF" w:themeColor="background1"/>
          </w:tcBorders>
        </w:tcPr>
        <w:p w14:paraId="2B4DE995" w14:textId="77777777" w:rsidR="00802515" w:rsidRPr="00394677" w:rsidRDefault="00802515" w:rsidP="00802515">
          <w:pPr>
            <w:widowControl w:val="0"/>
            <w:pBdr>
              <w:top w:val="nil"/>
              <w:left w:val="nil"/>
              <w:bottom w:val="nil"/>
              <w:right w:val="nil"/>
              <w:between w:val="nil"/>
            </w:pBdr>
            <w:rPr>
              <w:rFonts w:ascii="Arial" w:hAnsi="Arial" w:cs="Arial"/>
              <w:color w:val="000000"/>
            </w:rPr>
          </w:pPr>
        </w:p>
        <w:tbl>
          <w:tblPr>
            <w:tblW w:w="8780" w:type="dxa"/>
            <w:tblLayout w:type="fixed"/>
            <w:tblLook w:val="04A0" w:firstRow="1" w:lastRow="0" w:firstColumn="1" w:lastColumn="0" w:noHBand="0" w:noVBand="1"/>
          </w:tblPr>
          <w:tblGrid>
            <w:gridCol w:w="8564"/>
            <w:gridCol w:w="220"/>
          </w:tblGrid>
          <w:tr w:rsidR="00802515" w:rsidRPr="00802515" w14:paraId="096A0421" w14:textId="77777777" w:rsidTr="00940992">
            <w:trPr>
              <w:trHeight w:val="1164"/>
            </w:trPr>
            <w:tc>
              <w:tcPr>
                <w:tcW w:w="8560" w:type="dxa"/>
              </w:tcPr>
              <w:p w14:paraId="6706C914" w14:textId="77777777" w:rsidR="00802515" w:rsidRPr="00802515" w:rsidRDefault="00802515" w:rsidP="00802515">
                <w:pPr>
                  <w:widowControl w:val="0"/>
                  <w:pBdr>
                    <w:top w:val="nil"/>
                    <w:left w:val="nil"/>
                    <w:bottom w:val="nil"/>
                    <w:right w:val="nil"/>
                    <w:between w:val="nil"/>
                  </w:pBdr>
                  <w:spacing w:line="240" w:lineRule="auto"/>
                  <w:rPr>
                    <w:rFonts w:ascii="Arial" w:hAnsi="Arial" w:cs="Arial"/>
                    <w:color w:val="000000"/>
                    <w:sz w:val="18"/>
                    <w:szCs w:val="18"/>
                  </w:rPr>
                </w:pPr>
              </w:p>
              <w:tbl>
                <w:tblPr>
                  <w:tblW w:w="11827" w:type="dxa"/>
                  <w:tblLayout w:type="fixed"/>
                  <w:tblLook w:val="0400" w:firstRow="0" w:lastRow="0" w:firstColumn="0" w:lastColumn="0" w:noHBand="0" w:noVBand="1"/>
                </w:tblPr>
                <w:tblGrid>
                  <w:gridCol w:w="4004"/>
                  <w:gridCol w:w="710"/>
                  <w:gridCol w:w="7113"/>
                </w:tblGrid>
                <w:tr w:rsidR="00802515" w:rsidRPr="00802515" w14:paraId="6F070478" w14:textId="77777777" w:rsidTr="00940992">
                  <w:trPr>
                    <w:trHeight w:val="738"/>
                  </w:trPr>
                  <w:tc>
                    <w:tcPr>
                      <w:tcW w:w="1693" w:type="pct"/>
                    </w:tcPr>
                    <w:p w14:paraId="041A4B5E" w14:textId="4274C0C7" w:rsidR="00802515" w:rsidRPr="00802515" w:rsidRDefault="00802515" w:rsidP="00802515">
                      <w:pPr>
                        <w:spacing w:line="240" w:lineRule="auto"/>
                        <w:rPr>
                          <w:rFonts w:ascii="Arial" w:hAnsi="Arial" w:cs="Arial"/>
                          <w:sz w:val="18"/>
                          <w:szCs w:val="18"/>
                          <w:lang w:val="en-US"/>
                        </w:rPr>
                      </w:pPr>
                      <w:r w:rsidRPr="00802515">
                        <w:rPr>
                          <w:rFonts w:ascii="Arial" w:hAnsi="Arial" w:cs="Arial"/>
                          <w:sz w:val="18"/>
                          <w:szCs w:val="18"/>
                          <w:lang w:val="en-US"/>
                        </w:rPr>
                        <w:t xml:space="preserve">Karolina </w:t>
                      </w:r>
                      <w:proofErr w:type="spellStart"/>
                      <w:r w:rsidRPr="00802515">
                        <w:rPr>
                          <w:rFonts w:ascii="Arial" w:hAnsi="Arial" w:cs="Arial"/>
                          <w:sz w:val="18"/>
                          <w:szCs w:val="18"/>
                          <w:lang w:val="en-US"/>
                        </w:rPr>
                        <w:t>Samczyńska-Fiślak</w:t>
                      </w:r>
                      <w:proofErr w:type="spellEnd"/>
                      <w:r>
                        <w:rPr>
                          <w:rFonts w:ascii="Arial" w:hAnsi="Arial" w:cs="Arial"/>
                          <w:sz w:val="18"/>
                          <w:szCs w:val="18"/>
                          <w:lang w:val="en-US"/>
                        </w:rPr>
                        <w:br/>
                      </w:r>
                      <w:r w:rsidRPr="00802515">
                        <w:rPr>
                          <w:rFonts w:ascii="Arial" w:hAnsi="Arial" w:cs="Arial"/>
                          <w:sz w:val="18"/>
                          <w:szCs w:val="18"/>
                          <w:lang w:val="en-US"/>
                        </w:rPr>
                        <w:t xml:space="preserve">Cushman &amp; Wakefield </w:t>
                      </w:r>
                      <w:r>
                        <w:rPr>
                          <w:rFonts w:ascii="Arial" w:hAnsi="Arial" w:cs="Arial"/>
                          <w:sz w:val="18"/>
                          <w:szCs w:val="18"/>
                          <w:lang w:val="en-US"/>
                        </w:rPr>
                        <w:br/>
                      </w:r>
                      <w:r w:rsidRPr="00802515">
                        <w:rPr>
                          <w:rFonts w:ascii="Arial" w:hAnsi="Arial" w:cs="Arial"/>
                          <w:sz w:val="18"/>
                          <w:szCs w:val="18"/>
                          <w:lang w:val="en-US"/>
                        </w:rPr>
                        <w:t>Tel: + 48 22 820 20 20; 691 060</w:t>
                      </w:r>
                      <w:r>
                        <w:rPr>
                          <w:rFonts w:ascii="Arial" w:hAnsi="Arial" w:cs="Arial"/>
                          <w:sz w:val="18"/>
                          <w:szCs w:val="18"/>
                          <w:lang w:val="en-US"/>
                        </w:rPr>
                        <w:t> </w:t>
                      </w:r>
                      <w:r w:rsidRPr="00802515">
                        <w:rPr>
                          <w:rFonts w:ascii="Arial" w:hAnsi="Arial" w:cs="Arial"/>
                          <w:sz w:val="18"/>
                          <w:szCs w:val="18"/>
                          <w:lang w:val="en-US"/>
                        </w:rPr>
                        <w:t>202</w:t>
                      </w:r>
                      <w:r>
                        <w:rPr>
                          <w:rFonts w:ascii="Arial" w:hAnsi="Arial" w:cs="Arial"/>
                          <w:sz w:val="18"/>
                          <w:szCs w:val="18"/>
                          <w:lang w:val="en-US"/>
                        </w:rPr>
                        <w:br/>
                      </w:r>
                      <w:proofErr w:type="spellStart"/>
                      <w:r w:rsidRPr="00802515">
                        <w:rPr>
                          <w:rFonts w:ascii="Arial" w:hAnsi="Arial" w:cs="Arial"/>
                          <w:sz w:val="18"/>
                          <w:szCs w:val="18"/>
                          <w:lang w:val="de-DE"/>
                        </w:rPr>
                        <w:t>e-mail</w:t>
                      </w:r>
                      <w:proofErr w:type="spellEnd"/>
                      <w:r w:rsidRPr="00802515">
                        <w:rPr>
                          <w:rFonts w:ascii="Arial" w:hAnsi="Arial" w:cs="Arial"/>
                          <w:sz w:val="18"/>
                          <w:szCs w:val="18"/>
                          <w:lang w:val="de-DE"/>
                        </w:rPr>
                        <w:t xml:space="preserve">: </w:t>
                      </w:r>
                      <w:hyperlink r:id="rId1" w:history="1">
                        <w:r w:rsidRPr="00802515">
                          <w:rPr>
                            <w:rStyle w:val="Hyperlink"/>
                            <w:rFonts w:ascii="Arial" w:hAnsi="Arial" w:cs="Arial"/>
                            <w:sz w:val="18"/>
                            <w:szCs w:val="18"/>
                            <w:lang w:val="de-DE"/>
                          </w:rPr>
                          <w:t>karolina.samczynska@cushwake.com</w:t>
                        </w:r>
                      </w:hyperlink>
                      <w:r w:rsidRPr="00802515">
                        <w:rPr>
                          <w:rFonts w:ascii="Arial" w:hAnsi="Arial" w:cs="Arial"/>
                          <w:color w:val="008B98"/>
                          <w:sz w:val="18"/>
                          <w:szCs w:val="18"/>
                          <w:lang w:val="de-DE"/>
                        </w:rPr>
                        <w:t xml:space="preserve"> </w:t>
                      </w:r>
                    </w:p>
                  </w:tc>
                  <w:tc>
                    <w:tcPr>
                      <w:tcW w:w="300" w:type="pct"/>
                    </w:tcPr>
                    <w:p w14:paraId="7FCA021A" w14:textId="77777777" w:rsidR="00802515" w:rsidRPr="00802515" w:rsidRDefault="00802515" w:rsidP="00802515">
                      <w:pPr>
                        <w:spacing w:line="240" w:lineRule="auto"/>
                        <w:rPr>
                          <w:rFonts w:ascii="Arial" w:hAnsi="Arial" w:cs="Arial"/>
                          <w:sz w:val="18"/>
                          <w:szCs w:val="18"/>
                          <w:lang w:val="de-DE"/>
                        </w:rPr>
                      </w:pPr>
                    </w:p>
                  </w:tc>
                  <w:tc>
                    <w:tcPr>
                      <w:tcW w:w="3007" w:type="pct"/>
                    </w:tcPr>
                    <w:p w14:paraId="4F5AF21C" w14:textId="6F528CB9" w:rsidR="00802515" w:rsidRPr="00802515" w:rsidRDefault="00802515" w:rsidP="00802515">
                      <w:pPr>
                        <w:spacing w:line="240" w:lineRule="auto"/>
                        <w:rPr>
                          <w:rFonts w:ascii="Arial" w:hAnsi="Arial" w:cs="Arial"/>
                          <w:sz w:val="18"/>
                          <w:szCs w:val="18"/>
                          <w:lang w:val="pl-PL"/>
                        </w:rPr>
                      </w:pPr>
                      <w:r w:rsidRPr="00802515">
                        <w:rPr>
                          <w:rFonts w:ascii="Arial" w:hAnsi="Arial" w:cs="Arial"/>
                          <w:sz w:val="18"/>
                          <w:szCs w:val="18"/>
                          <w:lang w:val="pl-PL"/>
                        </w:rPr>
                        <w:t xml:space="preserve">Magdalena Znyk-Ossowska </w:t>
                      </w:r>
                      <w:r>
                        <w:rPr>
                          <w:rFonts w:ascii="Arial" w:hAnsi="Arial" w:cs="Arial"/>
                          <w:sz w:val="18"/>
                          <w:szCs w:val="18"/>
                          <w:lang w:val="pl-PL"/>
                        </w:rPr>
                        <w:br/>
                      </w:r>
                      <w:proofErr w:type="spellStart"/>
                      <w:r w:rsidRPr="00802515">
                        <w:rPr>
                          <w:rFonts w:ascii="Arial" w:hAnsi="Arial" w:cs="Arial"/>
                          <w:sz w:val="18"/>
                          <w:szCs w:val="18"/>
                          <w:lang w:val="pl-PL"/>
                        </w:rPr>
                        <w:t>Linkleaders</w:t>
                      </w:r>
                      <w:proofErr w:type="spellEnd"/>
                      <w:r>
                        <w:rPr>
                          <w:rFonts w:ascii="Arial" w:hAnsi="Arial" w:cs="Arial"/>
                          <w:sz w:val="18"/>
                          <w:szCs w:val="18"/>
                          <w:lang w:val="pl-PL"/>
                        </w:rPr>
                        <w:br/>
                      </w:r>
                      <w:r w:rsidRPr="00802515">
                        <w:rPr>
                          <w:rFonts w:ascii="Arial" w:hAnsi="Arial" w:cs="Arial"/>
                          <w:sz w:val="18"/>
                          <w:szCs w:val="18"/>
                          <w:lang w:val="pl-PL"/>
                        </w:rPr>
                        <w:t>Tel: + 48 502 556</w:t>
                      </w:r>
                      <w:r>
                        <w:rPr>
                          <w:rFonts w:ascii="Arial" w:hAnsi="Arial" w:cs="Arial"/>
                          <w:sz w:val="18"/>
                          <w:szCs w:val="18"/>
                          <w:lang w:val="pl-PL"/>
                        </w:rPr>
                        <w:t> </w:t>
                      </w:r>
                      <w:r w:rsidRPr="00802515">
                        <w:rPr>
                          <w:rFonts w:ascii="Arial" w:hAnsi="Arial" w:cs="Arial"/>
                          <w:sz w:val="18"/>
                          <w:szCs w:val="18"/>
                          <w:lang w:val="pl-PL"/>
                        </w:rPr>
                        <w:t>846</w:t>
                      </w:r>
                      <w:r>
                        <w:rPr>
                          <w:rFonts w:ascii="Arial" w:hAnsi="Arial" w:cs="Arial"/>
                          <w:sz w:val="18"/>
                          <w:szCs w:val="18"/>
                          <w:lang w:val="pl-PL"/>
                        </w:rPr>
                        <w:br/>
                      </w:r>
                      <w:proofErr w:type="spellStart"/>
                      <w:r w:rsidRPr="00802515">
                        <w:rPr>
                          <w:rFonts w:ascii="Arial" w:hAnsi="Arial" w:cs="Arial"/>
                          <w:sz w:val="18"/>
                          <w:szCs w:val="18"/>
                          <w:lang w:val="de-DE"/>
                        </w:rPr>
                        <w:t>e-mail</w:t>
                      </w:r>
                      <w:proofErr w:type="spellEnd"/>
                      <w:r w:rsidRPr="00802515">
                        <w:rPr>
                          <w:rFonts w:ascii="Arial" w:hAnsi="Arial" w:cs="Arial"/>
                          <w:sz w:val="18"/>
                          <w:szCs w:val="18"/>
                          <w:lang w:val="de-DE"/>
                        </w:rPr>
                        <w:t xml:space="preserve">: </w:t>
                      </w:r>
                      <w:hyperlink r:id="rId2" w:history="1">
                        <w:r w:rsidRPr="00802515">
                          <w:rPr>
                            <w:rStyle w:val="Hyperlink"/>
                            <w:rFonts w:ascii="Arial" w:eastAsia="Calibri" w:hAnsi="Arial" w:cs="Arial"/>
                            <w:b/>
                            <w:bCs/>
                            <w:sz w:val="18"/>
                            <w:szCs w:val="18"/>
                            <w:lang w:val="de-DE"/>
                          </w:rPr>
                          <w:t>magdalena.ossowska@linkleaders.pl</w:t>
                        </w:r>
                      </w:hyperlink>
                    </w:p>
                  </w:tc>
                </w:tr>
              </w:tbl>
              <w:p w14:paraId="7B4369CC"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tc>
            <w:tc>
              <w:tcPr>
                <w:tcW w:w="220" w:type="dxa"/>
              </w:tcPr>
              <w:p w14:paraId="643EC133"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p w14:paraId="5686B8BD"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tc>
          </w:tr>
        </w:tbl>
        <w:p w14:paraId="432D14D2" w14:textId="77777777" w:rsidR="00802515" w:rsidRPr="00394677" w:rsidRDefault="00802515" w:rsidP="00802515">
          <w:pPr>
            <w:pBdr>
              <w:top w:val="nil"/>
              <w:left w:val="nil"/>
              <w:bottom w:val="nil"/>
              <w:right w:val="nil"/>
              <w:between w:val="nil"/>
            </w:pBdr>
            <w:rPr>
              <w:rFonts w:ascii="Arial" w:eastAsia="Calibri" w:hAnsi="Arial" w:cs="Arial"/>
              <w:color w:val="000000"/>
              <w:sz w:val="18"/>
              <w:szCs w:val="18"/>
              <w:lang w:val="de-DE"/>
            </w:rPr>
          </w:pPr>
        </w:p>
      </w:tc>
    </w:tr>
  </w:tbl>
  <w:p w14:paraId="3C11815C" w14:textId="77777777" w:rsidR="00104CC1" w:rsidRDefault="00104C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6130" w:type="dxa"/>
      <w:tblLayout w:type="fixed"/>
      <w:tblCellMar>
        <w:left w:w="0" w:type="dxa"/>
        <w:right w:w="0" w:type="dxa"/>
      </w:tblCellMar>
      <w:tblLook w:val="04A0" w:firstRow="1" w:lastRow="0" w:firstColumn="1" w:lastColumn="0" w:noHBand="0" w:noVBand="1"/>
    </w:tblPr>
    <w:tblGrid>
      <w:gridCol w:w="3065"/>
      <w:gridCol w:w="3065"/>
    </w:tblGrid>
    <w:tr w:rsidR="001E5EDD" w:rsidRPr="001E5EDD" w14:paraId="0D5F9232" w14:textId="77777777" w:rsidTr="00AE6F33">
      <w:trPr>
        <w:trHeight w:val="650"/>
      </w:trPr>
      <w:tc>
        <w:tcPr>
          <w:tcW w:w="6130" w:type="dxa"/>
          <w:gridSpan w:val="2"/>
          <w:vAlign w:val="bottom"/>
        </w:tcPr>
        <w:p w14:paraId="3896D469" w14:textId="34388226" w:rsidR="001E5EDD" w:rsidRPr="001E5EDD" w:rsidRDefault="00CF540F" w:rsidP="001E5EDD">
          <w:pPr>
            <w:keepNext/>
            <w:keepLines/>
            <w:spacing w:after="100" w:line="240" w:lineRule="atLeast"/>
            <w:outlineLvl w:val="1"/>
            <w:rPr>
              <w:rFonts w:ascii="Arial" w:eastAsia="Times New Roman" w:hAnsi="Arial" w:cs="Arial"/>
              <w:b/>
              <w:bCs/>
              <w:caps/>
              <w:color w:val="4E5050"/>
              <w:sz w:val="18"/>
              <w:szCs w:val="26"/>
              <w:lang w:eastAsia="en-GB"/>
            </w:rPr>
          </w:pPr>
          <w:r w:rsidRPr="00CF540F">
            <w:rPr>
              <w:rFonts w:ascii="Arial" w:eastAsia="Times New Roman" w:hAnsi="Arial" w:cs="Arial"/>
              <w:b/>
              <w:bCs/>
              <w:color w:val="4E5050"/>
              <w:sz w:val="18"/>
              <w:szCs w:val="26"/>
              <w:lang w:val="pl-PL" w:eastAsia="en-GB"/>
            </w:rPr>
            <w:t>Dodatkowe informacje</w:t>
          </w:r>
          <w:r w:rsidR="001E5EDD" w:rsidRPr="001E5EDD">
            <w:rPr>
              <w:rFonts w:ascii="Arial" w:eastAsia="Times New Roman" w:hAnsi="Arial" w:cs="Arial"/>
              <w:b/>
              <w:bCs/>
              <w:color w:val="4E5050"/>
              <w:sz w:val="18"/>
              <w:szCs w:val="26"/>
              <w:lang w:eastAsia="en-GB"/>
            </w:rPr>
            <w:t>:</w:t>
          </w:r>
        </w:p>
      </w:tc>
    </w:tr>
    <w:tr w:rsidR="001E5EDD" w:rsidRPr="001E5EDD" w14:paraId="76C3C1CA" w14:textId="77777777" w:rsidTr="00AE6F33">
      <w:trPr>
        <w:trHeight w:val="1300"/>
      </w:trPr>
      <w:tc>
        <w:tcPr>
          <w:tcW w:w="3065" w:type="dxa"/>
          <w:vAlign w:val="bottom"/>
        </w:tcPr>
        <w:p w14:paraId="267837AC" w14:textId="7B6642F0" w:rsidR="001E5EDD" w:rsidRPr="001E5EDD" w:rsidRDefault="00AE6F33" w:rsidP="001E5EDD">
          <w:pPr>
            <w:keepNext/>
            <w:keepLines/>
            <w:spacing w:after="0" w:line="216" w:lineRule="atLeast"/>
            <w:outlineLvl w:val="2"/>
            <w:rPr>
              <w:rFonts w:ascii="Arial" w:eastAsia="Times New Roman" w:hAnsi="Arial" w:cs="Arial"/>
              <w:b/>
              <w:bCs/>
              <w:color w:val="696B6B"/>
              <w:sz w:val="18"/>
              <w:szCs w:val="18"/>
              <w:lang w:eastAsia="en-GB"/>
            </w:rPr>
          </w:pPr>
          <w:r>
            <w:rPr>
              <w:rFonts w:ascii="Arial" w:eastAsia="Times New Roman" w:hAnsi="Arial" w:cs="Arial"/>
              <w:b/>
              <w:bCs/>
              <w:color w:val="696B6B"/>
              <w:sz w:val="18"/>
              <w:szCs w:val="18"/>
              <w:lang w:eastAsia="en-GB"/>
            </w:rPr>
            <w:t>Lauren</w:t>
          </w:r>
          <w:r w:rsidR="001E5EDD" w:rsidRPr="001E5EDD">
            <w:rPr>
              <w:rFonts w:ascii="Arial" w:eastAsia="Times New Roman" w:hAnsi="Arial" w:cs="Arial"/>
              <w:b/>
              <w:bCs/>
              <w:color w:val="696B6B"/>
              <w:sz w:val="18"/>
              <w:szCs w:val="18"/>
              <w:lang w:eastAsia="en-GB"/>
            </w:rPr>
            <w:t xml:space="preserve"> </w:t>
          </w:r>
          <w:r>
            <w:rPr>
              <w:rFonts w:ascii="Arial" w:eastAsia="Times New Roman" w:hAnsi="Arial" w:cs="Arial"/>
              <w:b/>
              <w:bCs/>
              <w:color w:val="696B6B"/>
              <w:sz w:val="18"/>
              <w:szCs w:val="18"/>
              <w:lang w:eastAsia="en-GB"/>
            </w:rPr>
            <w:t>Joselyn</w:t>
          </w:r>
        </w:p>
        <w:p w14:paraId="6CFC7B1A" w14:textId="331BBF84" w:rsidR="001E5EDD" w:rsidRPr="001E5EDD" w:rsidRDefault="00AE6F33" w:rsidP="001E5EDD">
          <w:pPr>
            <w:spacing w:after="0" w:line="216" w:lineRule="atLeast"/>
            <w:rPr>
              <w:rFonts w:ascii="Arial" w:eastAsia="Times New Roman" w:hAnsi="Arial" w:cs="Arial"/>
              <w:color w:val="696B6B"/>
              <w:sz w:val="18"/>
              <w:szCs w:val="18"/>
              <w:lang w:eastAsia="en-GB"/>
            </w:rPr>
          </w:pPr>
          <w:r>
            <w:rPr>
              <w:rFonts w:ascii="Arial" w:eastAsia="Times New Roman" w:hAnsi="Arial" w:cs="Arial"/>
              <w:color w:val="696B6B"/>
              <w:sz w:val="18"/>
              <w:szCs w:val="18"/>
              <w:lang w:eastAsia="en-GB"/>
            </w:rPr>
            <w:t>Associate Director,</w:t>
          </w:r>
          <w:r w:rsidR="001E5EDD" w:rsidRPr="001E5EDD">
            <w:rPr>
              <w:rFonts w:ascii="Arial" w:eastAsia="Times New Roman" w:hAnsi="Arial" w:cs="Arial"/>
              <w:color w:val="696B6B"/>
              <w:sz w:val="18"/>
              <w:szCs w:val="18"/>
              <w:lang w:eastAsia="en-GB"/>
            </w:rPr>
            <w:t xml:space="preserve"> Communications</w:t>
          </w:r>
        </w:p>
        <w:p w14:paraId="2D0B8870" w14:textId="17618848" w:rsidR="001E5EDD" w:rsidRPr="001E5EDD" w:rsidRDefault="001E5EDD" w:rsidP="001E5EDD">
          <w:pPr>
            <w:spacing w:after="0" w:line="216" w:lineRule="atLeast"/>
            <w:rPr>
              <w:rFonts w:ascii="Arial" w:eastAsia="Times New Roman" w:hAnsi="Arial" w:cs="Arial"/>
              <w:color w:val="696B6B"/>
              <w:sz w:val="18"/>
              <w:szCs w:val="18"/>
              <w:lang w:val="es-ES_tradnl" w:eastAsia="en-GB"/>
            </w:rPr>
          </w:pPr>
          <w:r w:rsidRPr="001E5EDD">
            <w:rPr>
              <w:rFonts w:ascii="Arial" w:eastAsia="Times New Roman" w:hAnsi="Arial" w:cs="Arial"/>
              <w:color w:val="696B6B"/>
              <w:sz w:val="18"/>
              <w:szCs w:val="18"/>
              <w:lang w:val="es-ES_tradnl" w:eastAsia="en-GB"/>
            </w:rPr>
            <w:t xml:space="preserve">+44(0)203 296 </w:t>
          </w:r>
          <w:r w:rsidR="00AE6F33">
            <w:rPr>
              <w:rFonts w:ascii="Arial" w:eastAsia="Times New Roman" w:hAnsi="Arial" w:cs="Arial"/>
              <w:color w:val="696B6B"/>
              <w:sz w:val="18"/>
              <w:szCs w:val="18"/>
              <w:lang w:val="es-ES_tradnl" w:eastAsia="en-GB"/>
            </w:rPr>
            <w:t>3034</w:t>
          </w:r>
        </w:p>
        <w:p w14:paraId="2E7DEB0F" w14:textId="2D36CE02" w:rsidR="001E5EDD" w:rsidRPr="001E5EDD" w:rsidRDefault="00AE6F33" w:rsidP="001E5EDD">
          <w:pPr>
            <w:spacing w:after="0" w:line="216" w:lineRule="atLeast"/>
            <w:rPr>
              <w:rFonts w:ascii="Arial" w:eastAsia="Times New Roman" w:hAnsi="Arial" w:cs="Arial"/>
              <w:color w:val="4E5050"/>
              <w:sz w:val="18"/>
              <w:szCs w:val="18"/>
              <w:lang w:eastAsia="en-GB"/>
            </w:rPr>
          </w:pPr>
          <w:hyperlink r:id="rId1" w:history="1">
            <w:r>
              <w:rPr>
                <w:rFonts w:ascii="Arial" w:eastAsia="Times New Roman" w:hAnsi="Arial" w:cs="Arial"/>
                <w:color w:val="0093B2"/>
                <w:sz w:val="18"/>
                <w:szCs w:val="18"/>
                <w:u w:val="single"/>
                <w:lang w:val="es-ES_tradnl" w:eastAsia="en-GB"/>
              </w:rPr>
              <w:t>lauren.joselyn@cushwake.com</w:t>
            </w:r>
          </w:hyperlink>
        </w:p>
      </w:tc>
      <w:tc>
        <w:tcPr>
          <w:tcW w:w="3065" w:type="dxa"/>
          <w:vAlign w:val="bottom"/>
        </w:tcPr>
        <w:p w14:paraId="2FAF6508" w14:textId="77777777" w:rsidR="001E5EDD" w:rsidRPr="001E5EDD" w:rsidRDefault="001E5EDD" w:rsidP="001E5EDD">
          <w:pPr>
            <w:spacing w:after="0" w:line="216" w:lineRule="atLeast"/>
            <w:rPr>
              <w:rFonts w:ascii="Arial" w:eastAsia="Times New Roman" w:hAnsi="Arial" w:cs="Arial"/>
              <w:color w:val="4E5050"/>
              <w:sz w:val="18"/>
              <w:szCs w:val="18"/>
              <w:lang w:val="es-ES_tradnl" w:eastAsia="en-GB"/>
            </w:rPr>
          </w:pPr>
        </w:p>
      </w:tc>
    </w:tr>
  </w:tbl>
  <w:p w14:paraId="054AD49B" w14:textId="22808C65" w:rsidR="00104CC1" w:rsidRDefault="00104C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DE65E" w14:textId="77777777" w:rsidR="0036300F" w:rsidRDefault="0036300F" w:rsidP="001E5EDD">
      <w:pPr>
        <w:spacing w:after="0" w:line="240" w:lineRule="auto"/>
      </w:pPr>
      <w:r>
        <w:separator/>
      </w:r>
    </w:p>
  </w:footnote>
  <w:footnote w:type="continuationSeparator" w:id="0">
    <w:p w14:paraId="0F0D79DB" w14:textId="77777777" w:rsidR="0036300F" w:rsidRDefault="0036300F" w:rsidP="001E5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AA93B" w14:textId="77777777" w:rsidR="00104CC1" w:rsidRDefault="00104CC1">
    <w:pPr>
      <w:pStyle w:val="Header"/>
    </w:pPr>
    <w:r>
      <w:rPr>
        <w:noProof/>
        <w:lang w:eastAsia="en-GB"/>
      </w:rPr>
      <w:drawing>
        <wp:inline distT="0" distB="0" distL="0" distR="0" wp14:anchorId="60C9C53F" wp14:editId="37A0F607">
          <wp:extent cx="2303780" cy="484505"/>
          <wp:effectExtent l="0" t="0" r="1270" b="0"/>
          <wp:docPr id="1" name="Picture 1" descr="E:\CW REBRAND\Assets\CW Logo Suite\Cushman &amp; Wakefield\CW_Logo_PMS.emf"/>
          <wp:cNvGraphicFramePr/>
          <a:graphic xmlns:a="http://schemas.openxmlformats.org/drawingml/2006/main">
            <a:graphicData uri="http://schemas.openxmlformats.org/drawingml/2006/picture">
              <pic:pic xmlns:pic="http://schemas.openxmlformats.org/drawingml/2006/picture">
                <pic:nvPicPr>
                  <pic:cNvPr id="6" name="Picture 6" descr="E:\CW REBRAND\Assets\CW Logo Suite\Cushman &amp; Wakefield\CW_Logo_PMS.em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3780" cy="4845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1A27B" w14:textId="77777777" w:rsidR="00104CC1" w:rsidRDefault="00104CC1">
    <w:pPr>
      <w:pStyle w:val="Header"/>
    </w:pPr>
    <w:r>
      <w:rPr>
        <w:noProof/>
        <w:lang w:eastAsia="en-GB"/>
      </w:rPr>
      <w:drawing>
        <wp:inline distT="0" distB="0" distL="0" distR="0" wp14:anchorId="350B32DA" wp14:editId="6AEAE4A2">
          <wp:extent cx="2031167" cy="412229"/>
          <wp:effectExtent l="0" t="0" r="1270" b="0"/>
          <wp:docPr id="6" name="Picture 6" descr="E:\CW REBRAND\Assets\CW Logo Suite\Cushman &amp; Wakefield\CW_Logo_PMS.emf"/>
          <wp:cNvGraphicFramePr/>
          <a:graphic xmlns:a="http://schemas.openxmlformats.org/drawingml/2006/main">
            <a:graphicData uri="http://schemas.openxmlformats.org/drawingml/2006/picture">
              <pic:pic xmlns:pic="http://schemas.openxmlformats.org/drawingml/2006/picture">
                <pic:nvPicPr>
                  <pic:cNvPr id="6" name="Picture 6" descr="E:\CW REBRAND\Assets\CW Logo Suite\Cushman &amp; Wakefield\CW_Logo_PMS.em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6111" cy="4172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33614"/>
    <w:multiLevelType w:val="hybridMultilevel"/>
    <w:tmpl w:val="957C1E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D14A10"/>
    <w:multiLevelType w:val="hybridMultilevel"/>
    <w:tmpl w:val="37FC0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B665F2"/>
    <w:multiLevelType w:val="hybridMultilevel"/>
    <w:tmpl w:val="8918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97731F"/>
    <w:multiLevelType w:val="hybridMultilevel"/>
    <w:tmpl w:val="712AF0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93299484">
    <w:abstractNumId w:val="1"/>
  </w:num>
  <w:num w:numId="2" w16cid:durableId="1798839421">
    <w:abstractNumId w:val="2"/>
  </w:num>
  <w:num w:numId="3" w16cid:durableId="117797981">
    <w:abstractNumId w:val="3"/>
  </w:num>
  <w:num w:numId="4" w16cid:durableId="990064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EDD"/>
    <w:rsid w:val="0001074B"/>
    <w:rsid w:val="000108EB"/>
    <w:rsid w:val="00015F8C"/>
    <w:rsid w:val="0002027B"/>
    <w:rsid w:val="000212B3"/>
    <w:rsid w:val="0002491F"/>
    <w:rsid w:val="0003069F"/>
    <w:rsid w:val="0003209D"/>
    <w:rsid w:val="00043B30"/>
    <w:rsid w:val="0004779C"/>
    <w:rsid w:val="00050727"/>
    <w:rsid w:val="00054A8D"/>
    <w:rsid w:val="00056F25"/>
    <w:rsid w:val="00065F26"/>
    <w:rsid w:val="00073B6F"/>
    <w:rsid w:val="00085B48"/>
    <w:rsid w:val="000963C3"/>
    <w:rsid w:val="000A052A"/>
    <w:rsid w:val="000A1B60"/>
    <w:rsid w:val="000A3295"/>
    <w:rsid w:val="000A7549"/>
    <w:rsid w:val="000A7731"/>
    <w:rsid w:val="000B13B7"/>
    <w:rsid w:val="000B3AE0"/>
    <w:rsid w:val="000C57AE"/>
    <w:rsid w:val="000D740F"/>
    <w:rsid w:val="000E22D3"/>
    <w:rsid w:val="000E34DA"/>
    <w:rsid w:val="000E4554"/>
    <w:rsid w:val="000F201D"/>
    <w:rsid w:val="000F54BD"/>
    <w:rsid w:val="00103A95"/>
    <w:rsid w:val="00104CC1"/>
    <w:rsid w:val="00106BDF"/>
    <w:rsid w:val="00106F1A"/>
    <w:rsid w:val="00107538"/>
    <w:rsid w:val="001239A3"/>
    <w:rsid w:val="0012426A"/>
    <w:rsid w:val="00124F66"/>
    <w:rsid w:val="0012747D"/>
    <w:rsid w:val="0013021C"/>
    <w:rsid w:val="00133CC5"/>
    <w:rsid w:val="00144931"/>
    <w:rsid w:val="00145035"/>
    <w:rsid w:val="0014627C"/>
    <w:rsid w:val="001464A7"/>
    <w:rsid w:val="0015560A"/>
    <w:rsid w:val="001569DD"/>
    <w:rsid w:val="001611CD"/>
    <w:rsid w:val="00163E7F"/>
    <w:rsid w:val="001678C1"/>
    <w:rsid w:val="00171653"/>
    <w:rsid w:val="00171878"/>
    <w:rsid w:val="00181F57"/>
    <w:rsid w:val="00184B5E"/>
    <w:rsid w:val="00195414"/>
    <w:rsid w:val="001A00E0"/>
    <w:rsid w:val="001A2B7F"/>
    <w:rsid w:val="001A5691"/>
    <w:rsid w:val="001A7F10"/>
    <w:rsid w:val="001B08B9"/>
    <w:rsid w:val="001B4924"/>
    <w:rsid w:val="001C43FD"/>
    <w:rsid w:val="001C6965"/>
    <w:rsid w:val="001D15DB"/>
    <w:rsid w:val="001D35D4"/>
    <w:rsid w:val="001D6217"/>
    <w:rsid w:val="001D67D4"/>
    <w:rsid w:val="001E106F"/>
    <w:rsid w:val="001E5EDD"/>
    <w:rsid w:val="001F090C"/>
    <w:rsid w:val="001F2AC6"/>
    <w:rsid w:val="001F6561"/>
    <w:rsid w:val="001F6A93"/>
    <w:rsid w:val="001F6D52"/>
    <w:rsid w:val="002022D9"/>
    <w:rsid w:val="00212C61"/>
    <w:rsid w:val="00212E69"/>
    <w:rsid w:val="00215F32"/>
    <w:rsid w:val="00220E3E"/>
    <w:rsid w:val="002222E7"/>
    <w:rsid w:val="0023061F"/>
    <w:rsid w:val="00231CA5"/>
    <w:rsid w:val="00233C62"/>
    <w:rsid w:val="00234AD2"/>
    <w:rsid w:val="002361A1"/>
    <w:rsid w:val="002462B6"/>
    <w:rsid w:val="0024757B"/>
    <w:rsid w:val="002511FB"/>
    <w:rsid w:val="00251B6E"/>
    <w:rsid w:val="00251E8A"/>
    <w:rsid w:val="00253F83"/>
    <w:rsid w:val="00255D1D"/>
    <w:rsid w:val="0025717C"/>
    <w:rsid w:val="002623AE"/>
    <w:rsid w:val="00262EA4"/>
    <w:rsid w:val="00265F4C"/>
    <w:rsid w:val="00270E7E"/>
    <w:rsid w:val="00275A3D"/>
    <w:rsid w:val="0028128F"/>
    <w:rsid w:val="00282D2D"/>
    <w:rsid w:val="002902B4"/>
    <w:rsid w:val="00293778"/>
    <w:rsid w:val="002A02D1"/>
    <w:rsid w:val="002A217D"/>
    <w:rsid w:val="002A6017"/>
    <w:rsid w:val="002A6A26"/>
    <w:rsid w:val="002A6D47"/>
    <w:rsid w:val="002B1149"/>
    <w:rsid w:val="002B4862"/>
    <w:rsid w:val="002C0B55"/>
    <w:rsid w:val="002E130B"/>
    <w:rsid w:val="002E31B3"/>
    <w:rsid w:val="002E406E"/>
    <w:rsid w:val="002E484E"/>
    <w:rsid w:val="002E77BB"/>
    <w:rsid w:val="002E79F5"/>
    <w:rsid w:val="0030508F"/>
    <w:rsid w:val="00305E12"/>
    <w:rsid w:val="0030762E"/>
    <w:rsid w:val="00311CDD"/>
    <w:rsid w:val="00311ED5"/>
    <w:rsid w:val="00330BE4"/>
    <w:rsid w:val="003328C9"/>
    <w:rsid w:val="00334C7F"/>
    <w:rsid w:val="00334FFA"/>
    <w:rsid w:val="00342214"/>
    <w:rsid w:val="003428AD"/>
    <w:rsid w:val="003476F5"/>
    <w:rsid w:val="00350A08"/>
    <w:rsid w:val="003524FB"/>
    <w:rsid w:val="00352F50"/>
    <w:rsid w:val="003568BF"/>
    <w:rsid w:val="0036057E"/>
    <w:rsid w:val="0036096F"/>
    <w:rsid w:val="0036300F"/>
    <w:rsid w:val="00364595"/>
    <w:rsid w:val="00373C4A"/>
    <w:rsid w:val="00376DC5"/>
    <w:rsid w:val="00384618"/>
    <w:rsid w:val="003856A6"/>
    <w:rsid w:val="00392671"/>
    <w:rsid w:val="003926DD"/>
    <w:rsid w:val="00393076"/>
    <w:rsid w:val="0039531D"/>
    <w:rsid w:val="00397E70"/>
    <w:rsid w:val="003A015B"/>
    <w:rsid w:val="003A1210"/>
    <w:rsid w:val="003A33F6"/>
    <w:rsid w:val="003B175A"/>
    <w:rsid w:val="003C0B24"/>
    <w:rsid w:val="003C296D"/>
    <w:rsid w:val="003C3194"/>
    <w:rsid w:val="003C4037"/>
    <w:rsid w:val="003C52CD"/>
    <w:rsid w:val="003C6EE2"/>
    <w:rsid w:val="003D2BAF"/>
    <w:rsid w:val="003D3E99"/>
    <w:rsid w:val="003D4EC8"/>
    <w:rsid w:val="003D55DF"/>
    <w:rsid w:val="003E1027"/>
    <w:rsid w:val="003E5345"/>
    <w:rsid w:val="003F0FC5"/>
    <w:rsid w:val="004003B9"/>
    <w:rsid w:val="00401DE2"/>
    <w:rsid w:val="00406858"/>
    <w:rsid w:val="00423C3D"/>
    <w:rsid w:val="004270C7"/>
    <w:rsid w:val="0042769A"/>
    <w:rsid w:val="004277BF"/>
    <w:rsid w:val="004306F2"/>
    <w:rsid w:val="0044367D"/>
    <w:rsid w:val="004464E4"/>
    <w:rsid w:val="00455933"/>
    <w:rsid w:val="0047106D"/>
    <w:rsid w:val="00473673"/>
    <w:rsid w:val="0047475F"/>
    <w:rsid w:val="0048015C"/>
    <w:rsid w:val="0048123A"/>
    <w:rsid w:val="00483155"/>
    <w:rsid w:val="004832B8"/>
    <w:rsid w:val="004867EC"/>
    <w:rsid w:val="004869A2"/>
    <w:rsid w:val="004878C4"/>
    <w:rsid w:val="004929C2"/>
    <w:rsid w:val="0049457C"/>
    <w:rsid w:val="004A0E1F"/>
    <w:rsid w:val="004A184E"/>
    <w:rsid w:val="004B0C40"/>
    <w:rsid w:val="004D0D62"/>
    <w:rsid w:val="004E2F4A"/>
    <w:rsid w:val="004F29B7"/>
    <w:rsid w:val="004F5383"/>
    <w:rsid w:val="004F6381"/>
    <w:rsid w:val="004F68D4"/>
    <w:rsid w:val="00501FDE"/>
    <w:rsid w:val="0050654A"/>
    <w:rsid w:val="005078C0"/>
    <w:rsid w:val="00513283"/>
    <w:rsid w:val="00520179"/>
    <w:rsid w:val="00523121"/>
    <w:rsid w:val="00523854"/>
    <w:rsid w:val="0053060C"/>
    <w:rsid w:val="0053080E"/>
    <w:rsid w:val="00530E91"/>
    <w:rsid w:val="00532D88"/>
    <w:rsid w:val="00535236"/>
    <w:rsid w:val="00550C32"/>
    <w:rsid w:val="00560EE8"/>
    <w:rsid w:val="005624DA"/>
    <w:rsid w:val="00572245"/>
    <w:rsid w:val="00573968"/>
    <w:rsid w:val="00575F56"/>
    <w:rsid w:val="005872E3"/>
    <w:rsid w:val="005A17C7"/>
    <w:rsid w:val="005B5DC6"/>
    <w:rsid w:val="005C1C47"/>
    <w:rsid w:val="005C5D90"/>
    <w:rsid w:val="005D1286"/>
    <w:rsid w:val="005D7557"/>
    <w:rsid w:val="005F59FB"/>
    <w:rsid w:val="006001FD"/>
    <w:rsid w:val="00605ADC"/>
    <w:rsid w:val="006116AA"/>
    <w:rsid w:val="006176E6"/>
    <w:rsid w:val="00617ACD"/>
    <w:rsid w:val="00621D84"/>
    <w:rsid w:val="00623527"/>
    <w:rsid w:val="00634891"/>
    <w:rsid w:val="00636A3D"/>
    <w:rsid w:val="00637EA3"/>
    <w:rsid w:val="00643A5C"/>
    <w:rsid w:val="006466F2"/>
    <w:rsid w:val="00651362"/>
    <w:rsid w:val="0065599F"/>
    <w:rsid w:val="0065761F"/>
    <w:rsid w:val="006578F1"/>
    <w:rsid w:val="00657F01"/>
    <w:rsid w:val="00666EC8"/>
    <w:rsid w:val="00667E57"/>
    <w:rsid w:val="00670BAE"/>
    <w:rsid w:val="00674C62"/>
    <w:rsid w:val="00685E75"/>
    <w:rsid w:val="0068736C"/>
    <w:rsid w:val="00696EC6"/>
    <w:rsid w:val="006B21C6"/>
    <w:rsid w:val="006B6114"/>
    <w:rsid w:val="006C207B"/>
    <w:rsid w:val="006C2215"/>
    <w:rsid w:val="006C689B"/>
    <w:rsid w:val="006D2071"/>
    <w:rsid w:val="006E3140"/>
    <w:rsid w:val="006E3C1B"/>
    <w:rsid w:val="006E3CD9"/>
    <w:rsid w:val="006E47DB"/>
    <w:rsid w:val="006F7F0A"/>
    <w:rsid w:val="007016B2"/>
    <w:rsid w:val="0070379F"/>
    <w:rsid w:val="0071349E"/>
    <w:rsid w:val="007209C0"/>
    <w:rsid w:val="007230F7"/>
    <w:rsid w:val="00730236"/>
    <w:rsid w:val="0073187D"/>
    <w:rsid w:val="00731ECB"/>
    <w:rsid w:val="007326B6"/>
    <w:rsid w:val="0073562B"/>
    <w:rsid w:val="00740783"/>
    <w:rsid w:val="0074498C"/>
    <w:rsid w:val="00746213"/>
    <w:rsid w:val="00746CB9"/>
    <w:rsid w:val="0075021B"/>
    <w:rsid w:val="00753BBA"/>
    <w:rsid w:val="007555D8"/>
    <w:rsid w:val="007561AC"/>
    <w:rsid w:val="0075656D"/>
    <w:rsid w:val="00765B80"/>
    <w:rsid w:val="007726C6"/>
    <w:rsid w:val="0077366C"/>
    <w:rsid w:val="00776D2C"/>
    <w:rsid w:val="00784D28"/>
    <w:rsid w:val="00785400"/>
    <w:rsid w:val="0079246E"/>
    <w:rsid w:val="00793174"/>
    <w:rsid w:val="007A0475"/>
    <w:rsid w:val="007A0873"/>
    <w:rsid w:val="007A5BF5"/>
    <w:rsid w:val="007A5D86"/>
    <w:rsid w:val="007A7A66"/>
    <w:rsid w:val="007B0966"/>
    <w:rsid w:val="007B3E09"/>
    <w:rsid w:val="007B5BAB"/>
    <w:rsid w:val="007B7066"/>
    <w:rsid w:val="007C7C31"/>
    <w:rsid w:val="007D7276"/>
    <w:rsid w:val="007E5480"/>
    <w:rsid w:val="007E655F"/>
    <w:rsid w:val="007E65BC"/>
    <w:rsid w:val="007E7808"/>
    <w:rsid w:val="007F75D4"/>
    <w:rsid w:val="00802515"/>
    <w:rsid w:val="00804C2E"/>
    <w:rsid w:val="008075A9"/>
    <w:rsid w:val="00821C32"/>
    <w:rsid w:val="008230EA"/>
    <w:rsid w:val="0084065B"/>
    <w:rsid w:val="00857607"/>
    <w:rsid w:val="00860B09"/>
    <w:rsid w:val="008871B9"/>
    <w:rsid w:val="00893433"/>
    <w:rsid w:val="008942DD"/>
    <w:rsid w:val="008A1306"/>
    <w:rsid w:val="008B3B7C"/>
    <w:rsid w:val="008B4F75"/>
    <w:rsid w:val="008C24C1"/>
    <w:rsid w:val="008C6487"/>
    <w:rsid w:val="008D0E65"/>
    <w:rsid w:val="008D73C5"/>
    <w:rsid w:val="008E0A34"/>
    <w:rsid w:val="008E75B1"/>
    <w:rsid w:val="008F2E56"/>
    <w:rsid w:val="008F4926"/>
    <w:rsid w:val="008F6803"/>
    <w:rsid w:val="00913231"/>
    <w:rsid w:val="00917A70"/>
    <w:rsid w:val="00921D12"/>
    <w:rsid w:val="00922A32"/>
    <w:rsid w:val="00930DE1"/>
    <w:rsid w:val="00932377"/>
    <w:rsid w:val="009362BB"/>
    <w:rsid w:val="0095039F"/>
    <w:rsid w:val="00955879"/>
    <w:rsid w:val="009608BD"/>
    <w:rsid w:val="00964630"/>
    <w:rsid w:val="0096636D"/>
    <w:rsid w:val="0097642E"/>
    <w:rsid w:val="00983470"/>
    <w:rsid w:val="00983BF9"/>
    <w:rsid w:val="0099648B"/>
    <w:rsid w:val="009A282F"/>
    <w:rsid w:val="009A6D11"/>
    <w:rsid w:val="009B02ED"/>
    <w:rsid w:val="009B2ECF"/>
    <w:rsid w:val="009B503A"/>
    <w:rsid w:val="009B6A9B"/>
    <w:rsid w:val="009C0D31"/>
    <w:rsid w:val="009C323E"/>
    <w:rsid w:val="009C44B6"/>
    <w:rsid w:val="009D3944"/>
    <w:rsid w:val="009D64EF"/>
    <w:rsid w:val="009D7E4B"/>
    <w:rsid w:val="009D7EBB"/>
    <w:rsid w:val="009E1244"/>
    <w:rsid w:val="009E1335"/>
    <w:rsid w:val="009E1B00"/>
    <w:rsid w:val="009E2D72"/>
    <w:rsid w:val="009F06AB"/>
    <w:rsid w:val="009F6B4C"/>
    <w:rsid w:val="009F6D5F"/>
    <w:rsid w:val="009F7D5B"/>
    <w:rsid w:val="00A00113"/>
    <w:rsid w:val="00A03E81"/>
    <w:rsid w:val="00A10546"/>
    <w:rsid w:val="00A1134C"/>
    <w:rsid w:val="00A17394"/>
    <w:rsid w:val="00A31E54"/>
    <w:rsid w:val="00A31FE8"/>
    <w:rsid w:val="00A45C59"/>
    <w:rsid w:val="00A46B01"/>
    <w:rsid w:val="00A53608"/>
    <w:rsid w:val="00A5642F"/>
    <w:rsid w:val="00A61D2F"/>
    <w:rsid w:val="00A63A12"/>
    <w:rsid w:val="00A66148"/>
    <w:rsid w:val="00A71D5A"/>
    <w:rsid w:val="00A73013"/>
    <w:rsid w:val="00A803A8"/>
    <w:rsid w:val="00A84F29"/>
    <w:rsid w:val="00A85F3E"/>
    <w:rsid w:val="00A872BA"/>
    <w:rsid w:val="00A92675"/>
    <w:rsid w:val="00A94FA3"/>
    <w:rsid w:val="00A96A48"/>
    <w:rsid w:val="00A96E83"/>
    <w:rsid w:val="00AA622E"/>
    <w:rsid w:val="00AB193F"/>
    <w:rsid w:val="00AB30BE"/>
    <w:rsid w:val="00AD03C2"/>
    <w:rsid w:val="00AD2692"/>
    <w:rsid w:val="00AD70F5"/>
    <w:rsid w:val="00AE3136"/>
    <w:rsid w:val="00AE637D"/>
    <w:rsid w:val="00AE6F33"/>
    <w:rsid w:val="00AF3769"/>
    <w:rsid w:val="00AF5887"/>
    <w:rsid w:val="00B0310F"/>
    <w:rsid w:val="00B03FFB"/>
    <w:rsid w:val="00B05A0A"/>
    <w:rsid w:val="00B21A38"/>
    <w:rsid w:val="00B30EC3"/>
    <w:rsid w:val="00B35B50"/>
    <w:rsid w:val="00B46F72"/>
    <w:rsid w:val="00B52676"/>
    <w:rsid w:val="00B54040"/>
    <w:rsid w:val="00B67C68"/>
    <w:rsid w:val="00B72FA2"/>
    <w:rsid w:val="00B8347D"/>
    <w:rsid w:val="00B92EBE"/>
    <w:rsid w:val="00B93FDF"/>
    <w:rsid w:val="00B96AE7"/>
    <w:rsid w:val="00B977A4"/>
    <w:rsid w:val="00BB304B"/>
    <w:rsid w:val="00BB395B"/>
    <w:rsid w:val="00BB3CE0"/>
    <w:rsid w:val="00BB497A"/>
    <w:rsid w:val="00BB5CEA"/>
    <w:rsid w:val="00BD0CDB"/>
    <w:rsid w:val="00BD27F8"/>
    <w:rsid w:val="00BD3630"/>
    <w:rsid w:val="00BD5DB5"/>
    <w:rsid w:val="00BE01E6"/>
    <w:rsid w:val="00BE12C9"/>
    <w:rsid w:val="00BE2EA2"/>
    <w:rsid w:val="00BF4B31"/>
    <w:rsid w:val="00BF4EF9"/>
    <w:rsid w:val="00C00009"/>
    <w:rsid w:val="00C02A83"/>
    <w:rsid w:val="00C04C31"/>
    <w:rsid w:val="00C05CA1"/>
    <w:rsid w:val="00C06933"/>
    <w:rsid w:val="00C0756C"/>
    <w:rsid w:val="00C07A0B"/>
    <w:rsid w:val="00C121E4"/>
    <w:rsid w:val="00C13536"/>
    <w:rsid w:val="00C15653"/>
    <w:rsid w:val="00C20D0D"/>
    <w:rsid w:val="00C25164"/>
    <w:rsid w:val="00C33B98"/>
    <w:rsid w:val="00C3451A"/>
    <w:rsid w:val="00C35B5F"/>
    <w:rsid w:val="00C4237E"/>
    <w:rsid w:val="00C44E24"/>
    <w:rsid w:val="00C51A6E"/>
    <w:rsid w:val="00C52A16"/>
    <w:rsid w:val="00C54341"/>
    <w:rsid w:val="00C56965"/>
    <w:rsid w:val="00C57F59"/>
    <w:rsid w:val="00C601A4"/>
    <w:rsid w:val="00C760B8"/>
    <w:rsid w:val="00C81199"/>
    <w:rsid w:val="00C85FB0"/>
    <w:rsid w:val="00C91793"/>
    <w:rsid w:val="00C92048"/>
    <w:rsid w:val="00C939A3"/>
    <w:rsid w:val="00C96A00"/>
    <w:rsid w:val="00CB57AA"/>
    <w:rsid w:val="00CC14BA"/>
    <w:rsid w:val="00CC1F5C"/>
    <w:rsid w:val="00CC2BD6"/>
    <w:rsid w:val="00CC2D8D"/>
    <w:rsid w:val="00CC5830"/>
    <w:rsid w:val="00CE7B5F"/>
    <w:rsid w:val="00CF2D41"/>
    <w:rsid w:val="00CF442C"/>
    <w:rsid w:val="00CF540F"/>
    <w:rsid w:val="00D02471"/>
    <w:rsid w:val="00D13625"/>
    <w:rsid w:val="00D14B54"/>
    <w:rsid w:val="00D22C80"/>
    <w:rsid w:val="00D24DB2"/>
    <w:rsid w:val="00D316D1"/>
    <w:rsid w:val="00D32374"/>
    <w:rsid w:val="00D33745"/>
    <w:rsid w:val="00D373A8"/>
    <w:rsid w:val="00D44288"/>
    <w:rsid w:val="00D47D39"/>
    <w:rsid w:val="00D506D1"/>
    <w:rsid w:val="00D516BD"/>
    <w:rsid w:val="00D64919"/>
    <w:rsid w:val="00D732DF"/>
    <w:rsid w:val="00D73891"/>
    <w:rsid w:val="00D7467F"/>
    <w:rsid w:val="00D80B6A"/>
    <w:rsid w:val="00D80EC6"/>
    <w:rsid w:val="00D84EDD"/>
    <w:rsid w:val="00D858B8"/>
    <w:rsid w:val="00D87024"/>
    <w:rsid w:val="00D90962"/>
    <w:rsid w:val="00D931CB"/>
    <w:rsid w:val="00D946BF"/>
    <w:rsid w:val="00DA62C9"/>
    <w:rsid w:val="00DA6C52"/>
    <w:rsid w:val="00DC1616"/>
    <w:rsid w:val="00DC4C86"/>
    <w:rsid w:val="00DD0966"/>
    <w:rsid w:val="00DD1045"/>
    <w:rsid w:val="00DE1ACE"/>
    <w:rsid w:val="00DE4704"/>
    <w:rsid w:val="00DF20C2"/>
    <w:rsid w:val="00DF4A2A"/>
    <w:rsid w:val="00DF5939"/>
    <w:rsid w:val="00DF655A"/>
    <w:rsid w:val="00DF73D8"/>
    <w:rsid w:val="00E02536"/>
    <w:rsid w:val="00E03552"/>
    <w:rsid w:val="00E07F19"/>
    <w:rsid w:val="00E136AF"/>
    <w:rsid w:val="00E13D5A"/>
    <w:rsid w:val="00E164DA"/>
    <w:rsid w:val="00E20A98"/>
    <w:rsid w:val="00E20D76"/>
    <w:rsid w:val="00E25482"/>
    <w:rsid w:val="00E25BF6"/>
    <w:rsid w:val="00E26939"/>
    <w:rsid w:val="00E274C2"/>
    <w:rsid w:val="00E27FA4"/>
    <w:rsid w:val="00E3591A"/>
    <w:rsid w:val="00E35A97"/>
    <w:rsid w:val="00E437F0"/>
    <w:rsid w:val="00E438D6"/>
    <w:rsid w:val="00E64E4A"/>
    <w:rsid w:val="00E6658E"/>
    <w:rsid w:val="00E67AD0"/>
    <w:rsid w:val="00E77BE9"/>
    <w:rsid w:val="00E82CE2"/>
    <w:rsid w:val="00E83F98"/>
    <w:rsid w:val="00E92107"/>
    <w:rsid w:val="00E964AF"/>
    <w:rsid w:val="00E96986"/>
    <w:rsid w:val="00EA6B30"/>
    <w:rsid w:val="00EB69C7"/>
    <w:rsid w:val="00EC4D82"/>
    <w:rsid w:val="00ED64A6"/>
    <w:rsid w:val="00EE1539"/>
    <w:rsid w:val="00EE5970"/>
    <w:rsid w:val="00EE6453"/>
    <w:rsid w:val="00F02314"/>
    <w:rsid w:val="00F05CA0"/>
    <w:rsid w:val="00F10F58"/>
    <w:rsid w:val="00F1332E"/>
    <w:rsid w:val="00F32D87"/>
    <w:rsid w:val="00F32FEC"/>
    <w:rsid w:val="00F34A2F"/>
    <w:rsid w:val="00F3577F"/>
    <w:rsid w:val="00F35834"/>
    <w:rsid w:val="00F46CCC"/>
    <w:rsid w:val="00F47988"/>
    <w:rsid w:val="00F542F8"/>
    <w:rsid w:val="00F545C7"/>
    <w:rsid w:val="00F54CA2"/>
    <w:rsid w:val="00F54EEA"/>
    <w:rsid w:val="00F650DB"/>
    <w:rsid w:val="00F80663"/>
    <w:rsid w:val="00F82D54"/>
    <w:rsid w:val="00F84AE3"/>
    <w:rsid w:val="00FA2878"/>
    <w:rsid w:val="00FA45CC"/>
    <w:rsid w:val="00FA6197"/>
    <w:rsid w:val="00FD109B"/>
    <w:rsid w:val="00FD657A"/>
    <w:rsid w:val="00FD722D"/>
    <w:rsid w:val="00FD7777"/>
    <w:rsid w:val="00FE097A"/>
    <w:rsid w:val="00FE0FE3"/>
    <w:rsid w:val="00FE2833"/>
    <w:rsid w:val="00FF56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7787F3"/>
  <w15:chartTrackingRefBased/>
  <w15:docId w15:val="{286C76C1-C9D3-47F0-BFF5-9B5F05156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D5A"/>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1E5E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E5E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E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E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E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E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E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E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E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E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E5E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E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E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E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E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E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E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EDD"/>
    <w:rPr>
      <w:rFonts w:eastAsiaTheme="majorEastAsia" w:cstheme="majorBidi"/>
      <w:color w:val="272727" w:themeColor="text1" w:themeTint="D8"/>
    </w:rPr>
  </w:style>
  <w:style w:type="paragraph" w:styleId="Title">
    <w:name w:val="Title"/>
    <w:basedOn w:val="Normal"/>
    <w:next w:val="Normal"/>
    <w:link w:val="TitleChar"/>
    <w:uiPriority w:val="10"/>
    <w:qFormat/>
    <w:rsid w:val="001E5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E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E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E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EDD"/>
    <w:pPr>
      <w:spacing w:before="160"/>
      <w:jc w:val="center"/>
    </w:pPr>
    <w:rPr>
      <w:i/>
      <w:iCs/>
      <w:color w:val="404040" w:themeColor="text1" w:themeTint="BF"/>
    </w:rPr>
  </w:style>
  <w:style w:type="character" w:customStyle="1" w:styleId="QuoteChar">
    <w:name w:val="Quote Char"/>
    <w:basedOn w:val="DefaultParagraphFont"/>
    <w:link w:val="Quote"/>
    <w:uiPriority w:val="29"/>
    <w:rsid w:val="001E5EDD"/>
    <w:rPr>
      <w:i/>
      <w:iCs/>
      <w:color w:val="404040" w:themeColor="text1" w:themeTint="BF"/>
    </w:rPr>
  </w:style>
  <w:style w:type="paragraph" w:styleId="ListParagraph">
    <w:name w:val="List Paragraph"/>
    <w:basedOn w:val="Normal"/>
    <w:uiPriority w:val="34"/>
    <w:qFormat/>
    <w:rsid w:val="001E5EDD"/>
    <w:pPr>
      <w:ind w:left="720"/>
      <w:contextualSpacing/>
    </w:pPr>
  </w:style>
  <w:style w:type="character" w:styleId="IntenseEmphasis">
    <w:name w:val="Intense Emphasis"/>
    <w:basedOn w:val="DefaultParagraphFont"/>
    <w:uiPriority w:val="21"/>
    <w:qFormat/>
    <w:rsid w:val="001E5EDD"/>
    <w:rPr>
      <w:i/>
      <w:iCs/>
      <w:color w:val="0F4761" w:themeColor="accent1" w:themeShade="BF"/>
    </w:rPr>
  </w:style>
  <w:style w:type="paragraph" w:styleId="IntenseQuote">
    <w:name w:val="Intense Quote"/>
    <w:basedOn w:val="Normal"/>
    <w:next w:val="Normal"/>
    <w:link w:val="IntenseQuoteChar"/>
    <w:uiPriority w:val="30"/>
    <w:qFormat/>
    <w:rsid w:val="001E5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EDD"/>
    <w:rPr>
      <w:i/>
      <w:iCs/>
      <w:color w:val="0F4761" w:themeColor="accent1" w:themeShade="BF"/>
    </w:rPr>
  </w:style>
  <w:style w:type="character" w:styleId="IntenseReference">
    <w:name w:val="Intense Reference"/>
    <w:basedOn w:val="DefaultParagraphFont"/>
    <w:uiPriority w:val="32"/>
    <w:qFormat/>
    <w:rsid w:val="001E5EDD"/>
    <w:rPr>
      <w:b/>
      <w:bCs/>
      <w:smallCaps/>
      <w:color w:val="0F4761" w:themeColor="accent1" w:themeShade="BF"/>
      <w:spacing w:val="5"/>
    </w:rPr>
  </w:style>
  <w:style w:type="paragraph" w:styleId="Header">
    <w:name w:val="header"/>
    <w:basedOn w:val="Normal"/>
    <w:link w:val="HeaderChar"/>
    <w:uiPriority w:val="99"/>
    <w:unhideWhenUsed/>
    <w:rsid w:val="001E5E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EDD"/>
    <w:rPr>
      <w:rFonts w:eastAsiaTheme="minorEastAsia"/>
      <w:kern w:val="0"/>
      <w:sz w:val="22"/>
      <w:szCs w:val="22"/>
      <w:lang w:val="en-US"/>
      <w14:ligatures w14:val="none"/>
    </w:rPr>
  </w:style>
  <w:style w:type="paragraph" w:styleId="Footer">
    <w:name w:val="footer"/>
    <w:basedOn w:val="Normal"/>
    <w:link w:val="FooterChar"/>
    <w:uiPriority w:val="99"/>
    <w:unhideWhenUsed/>
    <w:rsid w:val="001E5E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EDD"/>
    <w:rPr>
      <w:rFonts w:eastAsiaTheme="minorEastAsia"/>
      <w:kern w:val="0"/>
      <w:sz w:val="22"/>
      <w:szCs w:val="22"/>
      <w:lang w:val="en-US"/>
      <w14:ligatures w14:val="none"/>
    </w:rPr>
  </w:style>
  <w:style w:type="character" w:styleId="Hyperlink">
    <w:name w:val="Hyperlink"/>
    <w:basedOn w:val="DefaultParagraphFont"/>
    <w:unhideWhenUsed/>
    <w:qFormat/>
    <w:rsid w:val="001E5EDD"/>
    <w:rPr>
      <w:color w:val="156082" w:themeColor="accent1"/>
      <w:u w:val="single"/>
    </w:rPr>
  </w:style>
  <w:style w:type="table" w:styleId="TableGrid">
    <w:name w:val="Table Grid"/>
    <w:basedOn w:val="TableNormal"/>
    <w:uiPriority w:val="59"/>
    <w:rsid w:val="001E5EDD"/>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5E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Name">
    <w:name w:val="ContactName"/>
    <w:basedOn w:val="Heading3"/>
    <w:qFormat/>
    <w:rsid w:val="001E5EDD"/>
    <w:pPr>
      <w:spacing w:before="0" w:after="0" w:line="216" w:lineRule="atLeast"/>
    </w:pPr>
    <w:rPr>
      <w:rFonts w:ascii="Calibri" w:eastAsia="Times New Roman" w:hAnsi="Calibri" w:cs="Times New Roman"/>
      <w:b/>
      <w:bCs/>
      <w:color w:val="008B98"/>
      <w:sz w:val="18"/>
      <w:szCs w:val="24"/>
      <w:lang w:eastAsia="en-GB"/>
    </w:rPr>
  </w:style>
  <w:style w:type="paragraph" w:customStyle="1" w:styleId="ContactDetail">
    <w:name w:val="ContactDetail"/>
    <w:basedOn w:val="Normal"/>
    <w:rsid w:val="001E5EDD"/>
    <w:pPr>
      <w:spacing w:after="0" w:line="216" w:lineRule="atLeast"/>
    </w:pPr>
    <w:rPr>
      <w:rFonts w:ascii="Calibri" w:eastAsia="Times New Roman" w:hAnsi="Calibri" w:cs="Times New Roman"/>
      <w:color w:val="000000"/>
      <w:sz w:val="18"/>
      <w:szCs w:val="24"/>
      <w:lang w:eastAsia="en-GB"/>
    </w:rPr>
  </w:style>
  <w:style w:type="character" w:styleId="FollowedHyperlink">
    <w:name w:val="FollowedHyperlink"/>
    <w:basedOn w:val="DefaultParagraphFont"/>
    <w:uiPriority w:val="99"/>
    <w:semiHidden/>
    <w:unhideWhenUsed/>
    <w:rsid w:val="0070379F"/>
    <w:rPr>
      <w:color w:val="96607D" w:themeColor="followedHyperlink"/>
      <w:u w:val="single"/>
    </w:rPr>
  </w:style>
  <w:style w:type="character" w:styleId="UnresolvedMention">
    <w:name w:val="Unresolved Mention"/>
    <w:basedOn w:val="DefaultParagraphFont"/>
    <w:uiPriority w:val="99"/>
    <w:semiHidden/>
    <w:unhideWhenUsed/>
    <w:rsid w:val="0070379F"/>
    <w:rPr>
      <w:color w:val="605E5C"/>
      <w:shd w:val="clear" w:color="auto" w:fill="E1DFDD"/>
    </w:rPr>
  </w:style>
  <w:style w:type="paragraph" w:styleId="Revision">
    <w:name w:val="Revision"/>
    <w:hidden/>
    <w:uiPriority w:val="99"/>
    <w:semiHidden/>
    <w:rsid w:val="002A6D47"/>
    <w:pPr>
      <w:spacing w:after="0" w:line="240" w:lineRule="auto"/>
    </w:pPr>
    <w:rPr>
      <w:rFonts w:eastAsiaTheme="minorEastAsia"/>
      <w:kern w:val="0"/>
      <w:sz w:val="22"/>
      <w:szCs w:val="22"/>
      <w:lang w:val="en-US"/>
      <w14:ligatures w14:val="none"/>
    </w:rPr>
  </w:style>
  <w:style w:type="paragraph" w:customStyle="1" w:styleId="Body">
    <w:name w:val="Body"/>
    <w:rsid w:val="009D7EBB"/>
    <w:pPr>
      <w:pBdr>
        <w:top w:val="nil"/>
        <w:left w:val="nil"/>
        <w:bottom w:val="nil"/>
        <w:right w:val="nil"/>
        <w:between w:val="nil"/>
        <w:bar w:val="nil"/>
      </w:pBdr>
      <w:spacing w:after="200" w:line="276" w:lineRule="auto"/>
    </w:pPr>
    <w:rPr>
      <w:rFonts w:ascii="Arial" w:eastAsia="Arial Unicode MS" w:hAnsi="Arial" w:cs="Arial Unicode MS"/>
      <w:color w:val="000000"/>
      <w:kern w:val="0"/>
      <w:sz w:val="22"/>
      <w:szCs w:val="22"/>
      <w:u w:color="000000"/>
      <w:bdr w:val="nil"/>
      <w:lang w:val="en-US"/>
      <w14:ligatures w14:val="none"/>
    </w:rPr>
  </w:style>
  <w:style w:type="character" w:styleId="CommentReference">
    <w:name w:val="annotation reference"/>
    <w:basedOn w:val="DefaultParagraphFont"/>
    <w:uiPriority w:val="99"/>
    <w:semiHidden/>
    <w:unhideWhenUsed/>
    <w:rsid w:val="00305E12"/>
    <w:rPr>
      <w:sz w:val="16"/>
      <w:szCs w:val="16"/>
    </w:rPr>
  </w:style>
  <w:style w:type="paragraph" w:styleId="CommentText">
    <w:name w:val="annotation text"/>
    <w:basedOn w:val="Normal"/>
    <w:link w:val="CommentTextChar"/>
    <w:uiPriority w:val="99"/>
    <w:unhideWhenUsed/>
    <w:rsid w:val="00305E12"/>
    <w:pPr>
      <w:spacing w:line="240" w:lineRule="auto"/>
    </w:pPr>
    <w:rPr>
      <w:sz w:val="20"/>
      <w:szCs w:val="20"/>
    </w:rPr>
  </w:style>
  <w:style w:type="character" w:customStyle="1" w:styleId="CommentTextChar">
    <w:name w:val="Comment Text Char"/>
    <w:basedOn w:val="DefaultParagraphFont"/>
    <w:link w:val="CommentText"/>
    <w:uiPriority w:val="99"/>
    <w:rsid w:val="00305E12"/>
    <w:rPr>
      <w:rFonts w:eastAsiaTheme="minorEastAsi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305E12"/>
    <w:rPr>
      <w:b/>
      <w:bCs/>
    </w:rPr>
  </w:style>
  <w:style w:type="character" w:customStyle="1" w:styleId="CommentSubjectChar">
    <w:name w:val="Comment Subject Char"/>
    <w:basedOn w:val="CommentTextChar"/>
    <w:link w:val="CommentSubject"/>
    <w:uiPriority w:val="99"/>
    <w:semiHidden/>
    <w:rsid w:val="00305E12"/>
    <w:rPr>
      <w:rFonts w:eastAsiaTheme="minorEastAsia"/>
      <w:b/>
      <w:bCs/>
      <w:kern w:val="0"/>
      <w:sz w:val="20"/>
      <w:szCs w:val="20"/>
      <w:lang w:val="en-US"/>
      <w14:ligatures w14:val="none"/>
    </w:rPr>
  </w:style>
  <w:style w:type="character" w:customStyle="1" w:styleId="cf01">
    <w:name w:val="cf01"/>
    <w:basedOn w:val="DefaultParagraphFont"/>
    <w:rsid w:val="00DC1616"/>
    <w:rPr>
      <w:rFonts w:ascii="Segoe UI" w:hAnsi="Segoe UI" w:cs="Segoe UI" w:hint="default"/>
      <w:sz w:val="18"/>
      <w:szCs w:val="18"/>
    </w:rPr>
  </w:style>
  <w:style w:type="character" w:customStyle="1" w:styleId="normaltextrun">
    <w:name w:val="normaltextrun"/>
    <w:basedOn w:val="DefaultParagraphFont"/>
    <w:rsid w:val="009E2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974171">
      <w:bodyDiv w:val="1"/>
      <w:marLeft w:val="0"/>
      <w:marRight w:val="0"/>
      <w:marTop w:val="0"/>
      <w:marBottom w:val="0"/>
      <w:divBdr>
        <w:top w:val="none" w:sz="0" w:space="0" w:color="auto"/>
        <w:left w:val="none" w:sz="0" w:space="0" w:color="auto"/>
        <w:bottom w:val="none" w:sz="0" w:space="0" w:color="auto"/>
        <w:right w:val="none" w:sz="0" w:space="0" w:color="auto"/>
      </w:divBdr>
    </w:div>
    <w:div w:id="251401333">
      <w:bodyDiv w:val="1"/>
      <w:marLeft w:val="0"/>
      <w:marRight w:val="0"/>
      <w:marTop w:val="0"/>
      <w:marBottom w:val="0"/>
      <w:divBdr>
        <w:top w:val="none" w:sz="0" w:space="0" w:color="auto"/>
        <w:left w:val="none" w:sz="0" w:space="0" w:color="auto"/>
        <w:bottom w:val="none" w:sz="0" w:space="0" w:color="auto"/>
        <w:right w:val="none" w:sz="0" w:space="0" w:color="auto"/>
      </w:divBdr>
    </w:div>
    <w:div w:id="494959372">
      <w:bodyDiv w:val="1"/>
      <w:marLeft w:val="0"/>
      <w:marRight w:val="0"/>
      <w:marTop w:val="0"/>
      <w:marBottom w:val="0"/>
      <w:divBdr>
        <w:top w:val="none" w:sz="0" w:space="0" w:color="auto"/>
        <w:left w:val="none" w:sz="0" w:space="0" w:color="auto"/>
        <w:bottom w:val="none" w:sz="0" w:space="0" w:color="auto"/>
        <w:right w:val="none" w:sz="0" w:space="0" w:color="auto"/>
      </w:divBdr>
    </w:div>
    <w:div w:id="954941328">
      <w:bodyDiv w:val="1"/>
      <w:marLeft w:val="0"/>
      <w:marRight w:val="0"/>
      <w:marTop w:val="0"/>
      <w:marBottom w:val="0"/>
      <w:divBdr>
        <w:top w:val="none" w:sz="0" w:space="0" w:color="auto"/>
        <w:left w:val="none" w:sz="0" w:space="0" w:color="auto"/>
        <w:bottom w:val="none" w:sz="0" w:space="0" w:color="auto"/>
        <w:right w:val="none" w:sz="0" w:space="0" w:color="auto"/>
      </w:divBdr>
    </w:div>
    <w:div w:id="1273240981">
      <w:bodyDiv w:val="1"/>
      <w:marLeft w:val="0"/>
      <w:marRight w:val="0"/>
      <w:marTop w:val="0"/>
      <w:marBottom w:val="0"/>
      <w:divBdr>
        <w:top w:val="none" w:sz="0" w:space="0" w:color="auto"/>
        <w:left w:val="none" w:sz="0" w:space="0" w:color="auto"/>
        <w:bottom w:val="none" w:sz="0" w:space="0" w:color="auto"/>
        <w:right w:val="none" w:sz="0" w:space="0" w:color="auto"/>
      </w:divBdr>
    </w:div>
    <w:div w:id="1558320144">
      <w:bodyDiv w:val="1"/>
      <w:marLeft w:val="0"/>
      <w:marRight w:val="0"/>
      <w:marTop w:val="0"/>
      <w:marBottom w:val="0"/>
      <w:divBdr>
        <w:top w:val="none" w:sz="0" w:space="0" w:color="auto"/>
        <w:left w:val="none" w:sz="0" w:space="0" w:color="auto"/>
        <w:bottom w:val="none" w:sz="0" w:space="0" w:color="auto"/>
        <w:right w:val="none" w:sz="0" w:space="0" w:color="auto"/>
      </w:divBdr>
    </w:div>
    <w:div w:id="193621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shmanwakefiel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magdalena.ossowska@linkleaders.pl" TargetMode="External"/><Relationship Id="rId1" Type="http://schemas.openxmlformats.org/officeDocument/2006/relationships/hyperlink" Target="mailto:karolina.samczynska@cushwake.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uren.joselyn@cushwak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84ED6-5338-4EDC-BA78-B49C4D404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1077</Words>
  <Characters>6141</Characters>
  <Application>Microsoft Office Word</Application>
  <DocSecurity>0</DocSecurity>
  <Lines>51</Lines>
  <Paragraphs>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Wilf Wheeler</dc:creator>
  <cp:keywords/>
  <dc:description/>
  <cp:lastModifiedBy>magdalena ossowska</cp:lastModifiedBy>
  <cp:revision>6</cp:revision>
  <cp:lastPrinted>2026-07-08T10:10:00Z</cp:lastPrinted>
  <dcterms:created xsi:type="dcterms:W3CDTF">2026-08-18T08:16:00Z</dcterms:created>
  <dcterms:modified xsi:type="dcterms:W3CDTF">2026-08-18T08:24:00Z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86f961-1d3e-4cfe-b1e9-19b9bcf12554_Enabled">
    <vt:lpwstr>true</vt:lpwstr>
  </property>
  <property fmtid="{D5CDD505-2E9C-101B-9397-08002B2CF9AE}" pid="3" name="MSIP_Label_b086f961-1d3e-4cfe-b1e9-19b9bcf12554_SetDate">
    <vt:lpwstr>2024-08-09T12:49:32Z</vt:lpwstr>
  </property>
  <property fmtid="{D5CDD505-2E9C-101B-9397-08002B2CF9AE}" pid="4" name="MSIP_Label_b086f961-1d3e-4cfe-b1e9-19b9bcf12554_Method">
    <vt:lpwstr>Standard</vt:lpwstr>
  </property>
  <property fmtid="{D5CDD505-2E9C-101B-9397-08002B2CF9AE}" pid="5" name="MSIP_Label_b086f961-1d3e-4cfe-b1e9-19b9bcf12554_Name">
    <vt:lpwstr>Private</vt:lpwstr>
  </property>
  <property fmtid="{D5CDD505-2E9C-101B-9397-08002B2CF9AE}" pid="6" name="MSIP_Label_b086f961-1d3e-4cfe-b1e9-19b9bcf12554_SiteId">
    <vt:lpwstr>6facebd9-e318-4ea6-a98b-e892ee55070f</vt:lpwstr>
  </property>
  <property fmtid="{D5CDD505-2E9C-101B-9397-08002B2CF9AE}" pid="7" name="MSIP_Label_b086f961-1d3e-4cfe-b1e9-19b9bcf12554_ActionId">
    <vt:lpwstr>60c3cb59-3795-42a8-af48-43117dcbee96</vt:lpwstr>
  </property>
  <property fmtid="{D5CDD505-2E9C-101B-9397-08002B2CF9AE}" pid="8" name="MSIP_Label_b086f961-1d3e-4cfe-b1e9-19b9bcf12554_ContentBits">
    <vt:lpwstr>0</vt:lpwstr>
  </property>
  <property fmtid="{D5CDD505-2E9C-101B-9397-08002B2CF9AE}" pid="9" name="GrammarlyDocumentId">
    <vt:lpwstr>341a8607d4d2d5ce3fbf3503c2f967ea1e4ce5daa8426167cb97b41905428e1a</vt:lpwstr>
  </property>
</Properties>
</file>