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E7E87" w:rsidRDefault="008E7E87">
      <w:pPr>
        <w:spacing w:line="278" w:lineRule="auto"/>
      </w:pPr>
      <w:bookmarkStart w:id="0" w:name="_heading=h.tqclmhktw58x" w:colFirst="0" w:colLast="0"/>
      <w:bookmarkEnd w:id="0"/>
    </w:p>
    <w:p w14:paraId="0000001A" w14:textId="77777777" w:rsidR="008E7E87" w:rsidRDefault="003A2A91">
      <w:pPr>
        <w:spacing w:line="278" w:lineRule="auto"/>
      </w:pPr>
      <w:bookmarkStart w:id="1" w:name="_heading=h.x0g6kf8xmkoo" w:colFirst="0" w:colLast="0"/>
      <w:bookmarkStart w:id="2" w:name="_heading=h.qhsc5539tjjj" w:colFirst="0" w:colLast="0"/>
      <w:bookmarkStart w:id="3" w:name="_heading=h.okika5nybea8" w:colFirst="0" w:colLast="0"/>
      <w:bookmarkStart w:id="4" w:name="_heading=h.6itec2t2lu09" w:colFirst="0" w:colLast="0"/>
      <w:bookmarkStart w:id="5" w:name="_heading=h.hkcg6uepm9dk" w:colFirst="0" w:colLast="0"/>
      <w:bookmarkEnd w:id="1"/>
      <w:bookmarkEnd w:id="2"/>
      <w:bookmarkEnd w:id="3"/>
      <w:bookmarkEnd w:id="4"/>
      <w:bookmarkEnd w:id="5"/>
      <w:r>
        <w:t>Informacja prasowa</w:t>
      </w:r>
    </w:p>
    <w:p w14:paraId="0000001B" w14:textId="1B8D1370" w:rsidR="008E7E87" w:rsidRDefault="007F3CDE">
      <w:pPr>
        <w:jc w:val="right"/>
      </w:pPr>
      <w:r>
        <w:t>Warszawa, 17</w:t>
      </w:r>
      <w:r w:rsidR="003A2A91">
        <w:t xml:space="preserve"> sierpnia 2026</w:t>
      </w:r>
    </w:p>
    <w:p w14:paraId="0000001C" w14:textId="77777777" w:rsidR="008E7E87" w:rsidRDefault="008E7E87">
      <w:pPr>
        <w:jc w:val="both"/>
        <w:rPr>
          <w:b/>
          <w:bCs/>
          <w:sz w:val="32"/>
          <w:szCs w:val="32"/>
        </w:rPr>
      </w:pPr>
      <w:bookmarkStart w:id="6" w:name="_heading=h.qedgoihspasc" w:colFirst="0" w:colLast="0"/>
      <w:bookmarkEnd w:id="6"/>
    </w:p>
    <w:p w14:paraId="0000001D" w14:textId="77777777" w:rsidR="008E7E87" w:rsidRDefault="003A2A91">
      <w:pPr>
        <w:jc w:val="both"/>
        <w:rPr>
          <w:b/>
          <w:bCs/>
          <w:sz w:val="32"/>
          <w:szCs w:val="32"/>
        </w:rPr>
      </w:pPr>
      <w:bookmarkStart w:id="7" w:name="_heading=h.7yxukjepmc23" w:colFirst="0" w:colLast="0"/>
      <w:bookmarkEnd w:id="7"/>
      <w:r>
        <w:rPr>
          <w:b/>
          <w:bCs/>
          <w:sz w:val="32"/>
          <w:szCs w:val="32"/>
        </w:rPr>
        <w:t>Tematyczne wnętrze z motywem drewna - jak stworzyć spójną aranżację bez monotonii?</w:t>
      </w:r>
    </w:p>
    <w:p w14:paraId="0000001E" w14:textId="78AE29BC" w:rsidR="008E7E87" w:rsidRDefault="00D45E51">
      <w:pPr>
        <w:jc w:val="both"/>
        <w:rPr>
          <w:b/>
          <w:bCs/>
          <w:sz w:val="32"/>
          <w:szCs w:val="32"/>
        </w:rPr>
      </w:pPr>
      <w:r w:rsidRPr="00D45E51">
        <w:rPr>
          <w:b/>
          <w:bCs/>
          <w:noProof/>
          <w:sz w:val="32"/>
          <w:szCs w:val="32"/>
          <w:lang w:val="pl-PL"/>
        </w:rPr>
        <w:drawing>
          <wp:inline distT="0" distB="0" distL="0" distR="0" wp14:anchorId="4C83F746" wp14:editId="1E96F541">
            <wp:extent cx="5972810" cy="3747770"/>
            <wp:effectExtent l="0" t="0" r="8890" b="508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F" w14:textId="77777777" w:rsidR="008E7E87" w:rsidRDefault="003A2A9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Charakter tematycznego wnętrza może wynikać z konsekwentnego wykorzystania jednego materiału, koloru lub faktury, które łączą różne pomieszczenia w spójną całość. Jednym z najczęściej wybieranych motywów jest drewno - uniwersalne, dobrze współpracujące ze światłem i innymi materiałami, a przy tym wprowadzające do wnętrza ciepło oraz naturalny rytm. Przykłady realizacji mieszkaniowych, biurowych a także użytkowych pokazują, że może ono budować zarówno spokojną atmosferę domu, jak i wyrazistą tożsamość miejsca pracy.</w:t>
      </w:r>
    </w:p>
    <w:p w14:paraId="00000020" w14:textId="0FDB946F" w:rsidR="008E7E87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iCs/>
          <w:sz w:val="24"/>
          <w:szCs w:val="24"/>
        </w:rPr>
        <w:t>Motyw przewodni pomaga uporządkować projekt i nadać przestrzeni rozpoznawalny charakter. Ważne jest jednak aby jego elementy współgrały z pozostałymi materiałami wykorzystywanymi w przestrzeni. Dekor drewna może pojawiać się na ścianach, meblach, drzwiach lub blatach za każdym razem w innej skali i funkcji. Dzięki temu wnętrze jest odbierane jako spójne, ale pozostaje różnorodne</w:t>
      </w:r>
      <w:r>
        <w:rPr>
          <w:sz w:val="24"/>
          <w:szCs w:val="24"/>
        </w:rPr>
        <w:t xml:space="preserve">  - mówi </w:t>
      </w:r>
      <w:r w:rsidR="007F3CDE" w:rsidRPr="007F3CDE">
        <w:rPr>
          <w:sz w:val="24"/>
          <w:szCs w:val="24"/>
        </w:rPr>
        <w:t xml:space="preserve">Sam </w:t>
      </w:r>
      <w:proofErr w:type="spellStart"/>
      <w:r w:rsidR="007F3CDE" w:rsidRPr="007F3CDE">
        <w:rPr>
          <w:sz w:val="24"/>
          <w:szCs w:val="24"/>
        </w:rPr>
        <w:t>Lormans</w:t>
      </w:r>
      <w:proofErr w:type="spellEnd"/>
      <w:r w:rsidR="007F3CDE" w:rsidRPr="007F3CDE">
        <w:rPr>
          <w:sz w:val="24"/>
          <w:szCs w:val="24"/>
        </w:rPr>
        <w:t xml:space="preserve"> </w:t>
      </w:r>
      <w:proofErr w:type="spellStart"/>
      <w:r w:rsidR="007F3CDE">
        <w:rPr>
          <w:sz w:val="24"/>
          <w:szCs w:val="24"/>
        </w:rPr>
        <w:t>Lead</w:t>
      </w:r>
      <w:proofErr w:type="spellEnd"/>
      <w:r w:rsidR="007F3CDE">
        <w:rPr>
          <w:sz w:val="24"/>
          <w:szCs w:val="24"/>
        </w:rPr>
        <w:t xml:space="preserve"> </w:t>
      </w:r>
      <w:r w:rsidR="007F3CDE" w:rsidRPr="007F3CDE">
        <w:rPr>
          <w:sz w:val="24"/>
          <w:szCs w:val="24"/>
        </w:rPr>
        <w:t xml:space="preserve">Design Manager </w:t>
      </w:r>
      <w:proofErr w:type="spellStart"/>
      <w:r w:rsidR="007F3CDE" w:rsidRPr="007F3CDE">
        <w:rPr>
          <w:sz w:val="24"/>
          <w:szCs w:val="24"/>
        </w:rPr>
        <w:t>Unilin</w:t>
      </w:r>
      <w:proofErr w:type="spellEnd"/>
      <w:r w:rsidR="007F3CDE" w:rsidRPr="007F3CDE">
        <w:rPr>
          <w:sz w:val="24"/>
          <w:szCs w:val="24"/>
        </w:rPr>
        <w:t xml:space="preserve"> </w:t>
      </w:r>
      <w:proofErr w:type="spellStart"/>
      <w:r w:rsidR="007F3CDE" w:rsidRPr="007F3CDE">
        <w:rPr>
          <w:sz w:val="24"/>
          <w:szCs w:val="24"/>
        </w:rPr>
        <w:t>Panels</w:t>
      </w:r>
      <w:proofErr w:type="spellEnd"/>
    </w:p>
    <w:p w14:paraId="00000021" w14:textId="77777777" w:rsidR="008E7E87" w:rsidRDefault="003A2A9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Materiał, który tworzy podstawę całego wnętrza</w:t>
      </w:r>
    </w:p>
    <w:p w14:paraId="00000022" w14:textId="75A2E57D" w:rsidR="008E7E87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>Najbardziej konsekwentnym sposobem stworzenia tematycznego wnętrza jest oparcie jego aranżacji na jednym dominującym materiale. Powtarzany na ścianach, frontach meblowych, drzwiach i zabudowach tworzy wspólne tło dla poszczególnych pomieszczeń. Aby uniknąć monotonii, znaczenie mają kierunek rysunku, proporcje powierzchni, sposób wykończenia oraz światło, które w zależności od kąta padania może mocniej lub słabiej podkreślić fakturę. Takie podejście zastosowano w kanadyjskim Mars House, zaprojektowanym przez Studio La</w:t>
      </w:r>
      <w:r w:rsidR="007C2285">
        <w:rPr>
          <w:sz w:val="24"/>
          <w:szCs w:val="24"/>
        </w:rPr>
        <w:t xml:space="preserve">u. Jasny dekor dębu Master </w:t>
      </w:r>
      <w:proofErr w:type="spellStart"/>
      <w:r w:rsidR="007C2285">
        <w:rPr>
          <w:sz w:val="24"/>
          <w:szCs w:val="24"/>
        </w:rPr>
        <w:t>Oak</w:t>
      </w:r>
      <w:proofErr w:type="spellEnd"/>
      <w:r w:rsidR="007C2285">
        <w:rPr>
          <w:sz w:val="24"/>
          <w:szCs w:val="24"/>
        </w:rPr>
        <w:t xml:space="preserve"> </w:t>
      </w:r>
      <w:proofErr w:type="spellStart"/>
      <w:r w:rsidR="007C2285">
        <w:rPr>
          <w:sz w:val="24"/>
          <w:szCs w:val="24"/>
        </w:rPr>
        <w:t>light</w:t>
      </w:r>
      <w:proofErr w:type="spellEnd"/>
      <w:r w:rsidR="007C2285">
        <w:rPr>
          <w:sz w:val="24"/>
          <w:szCs w:val="24"/>
        </w:rPr>
        <w:t xml:space="preserve"> </w:t>
      </w:r>
      <w:proofErr w:type="spellStart"/>
      <w:r w:rsidR="007C2285">
        <w:rPr>
          <w:sz w:val="24"/>
          <w:szCs w:val="24"/>
        </w:rPr>
        <w:t>n</w:t>
      </w:r>
      <w:r>
        <w:rPr>
          <w:sz w:val="24"/>
          <w:szCs w:val="24"/>
        </w:rPr>
        <w:t>atural</w:t>
      </w:r>
      <w:proofErr w:type="spellEnd"/>
      <w:r>
        <w:rPr>
          <w:sz w:val="24"/>
          <w:szCs w:val="24"/>
        </w:rPr>
        <w:t xml:space="preserve"> pojawia się na znacznej części ścian, frontów i zabudowy. Dzięki temu drzwi, szafy oraz schowki wpisują się w kompozycję pomieszczeń, a liczba widocznych podziałów zostaje ograniczona.</w:t>
      </w:r>
      <w:r w:rsidR="006F7DCD">
        <w:t xml:space="preserve"> </w:t>
      </w:r>
      <w:r w:rsidR="006F7DCD" w:rsidRPr="006F7DCD">
        <w:rPr>
          <w:sz w:val="24"/>
          <w:szCs w:val="24"/>
        </w:rPr>
        <w:t xml:space="preserve">Dodatkowo </w:t>
      </w:r>
      <w:r w:rsidR="006F7DCD">
        <w:rPr>
          <w:sz w:val="24"/>
          <w:szCs w:val="24"/>
        </w:rPr>
        <w:t>i</w:t>
      </w:r>
      <w:r w:rsidR="00D45E51" w:rsidRPr="00D45E51">
        <w:rPr>
          <w:sz w:val="24"/>
          <w:szCs w:val="24"/>
        </w:rPr>
        <w:t>dealne dopasowanie kolorystyczne między melaminą, HPL a taśmą obrzeżową pozwala uzyskać w pełni spójny wygląd w całym wnętrzu.</w:t>
      </w:r>
      <w:r>
        <w:rPr>
          <w:sz w:val="24"/>
          <w:szCs w:val="24"/>
        </w:rPr>
        <w:t xml:space="preserve"> Drewno nie pełni tutaj roli pojedynczego akcentu, lecz staje się podstawą koncepcji, wizualnie łącząc różne funkcje domu. Jasne wybarwienie i naturalny rysunek powierzchni sprawiają jednocześnie, że rozbudowane zastosowanie jednego dekoru nie przytłacza przestrzeni.</w:t>
      </w:r>
    </w:p>
    <w:p w14:paraId="00000023" w14:textId="77777777" w:rsidR="008E7E87" w:rsidRDefault="003A2A9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pl-PL"/>
        </w:rPr>
        <w:drawing>
          <wp:inline distT="114300" distB="114300" distL="114300" distR="114300" wp14:anchorId="1F7107C8" wp14:editId="4E4435EF">
            <wp:extent cx="5972810" cy="3860800"/>
            <wp:effectExtent l="0" t="0" r="0" b="0"/>
            <wp:docPr id="1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86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1DB52D" w14:textId="22040FFB" w:rsidR="007F3CDE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i/>
          <w:iCs/>
          <w:sz w:val="24"/>
          <w:szCs w:val="24"/>
        </w:rPr>
        <w:t xml:space="preserve">Tematyczne wnętrze nie powinno być rozumiane jako przestrzeń, w której każdy element wygląda tak samo. Nawet jeden dominujący materiał może przyjmować różne role - tworzyć rozległe tło, porządkować zabudowę albo podkreślać wybrane elementy wyposażenia. W przypadku powierzchni Master </w:t>
      </w:r>
      <w:proofErr w:type="spellStart"/>
      <w:r>
        <w:rPr>
          <w:i/>
          <w:iCs/>
          <w:sz w:val="24"/>
          <w:szCs w:val="24"/>
        </w:rPr>
        <w:t>Oak</w:t>
      </w:r>
      <w:proofErr w:type="spellEnd"/>
      <w:r>
        <w:rPr>
          <w:i/>
          <w:iCs/>
          <w:sz w:val="24"/>
          <w:szCs w:val="24"/>
        </w:rPr>
        <w:t xml:space="preserve"> znaczenie ma również struktura, odtwarzająca nieregularności i głębię naturalnego dębu. Dzięki temu aranżacja oparta na jednym motywie pozostaje zróżnicowana i przyciąga uwagę detalami</w:t>
      </w:r>
      <w:r>
        <w:rPr>
          <w:sz w:val="24"/>
          <w:szCs w:val="24"/>
        </w:rPr>
        <w:t xml:space="preserve">  - dodaje </w:t>
      </w:r>
      <w:r w:rsidR="007F3CDE">
        <w:rPr>
          <w:sz w:val="24"/>
          <w:szCs w:val="24"/>
        </w:rPr>
        <w:t xml:space="preserve">Sam </w:t>
      </w:r>
      <w:proofErr w:type="spellStart"/>
      <w:r w:rsidR="007F3CDE">
        <w:rPr>
          <w:sz w:val="24"/>
          <w:szCs w:val="24"/>
        </w:rPr>
        <w:t>Lormans</w:t>
      </w:r>
      <w:proofErr w:type="spellEnd"/>
    </w:p>
    <w:p w14:paraId="00000025" w14:textId="687ADAE8" w:rsidR="008E7E87" w:rsidRDefault="003A2A9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Dialog drewna ze współczesnym wykończeniem</w:t>
      </w:r>
    </w:p>
    <w:p w14:paraId="00000026" w14:textId="77777777" w:rsidR="008E7E87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>Tematyczność można budować również poprzez zestawienie dwóch dominujących materiałów o odmiennych właściwościach wizualnych. Jeden z nich tworzy wówczas podstawę aranżacji, natomiast drugi wprowadza kontrast i podkreśla wybrane elementy architektury. Takie rozwiązanie pozwala wyznaczać strefy oraz różnicować ich charakter bez rezygnowania ze spójności. Szczególnie wyraziste efekty daje połączenie ciepłego rysunku drewna z chłodniejszym metalem, który nadaje wnętrzu bardziej współczesny lub industrialny ton.</w:t>
      </w:r>
    </w:p>
    <w:p w14:paraId="00000027" w14:textId="1C28CA5D" w:rsidR="008E7E87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Przykładem jest belgijskie biuro Universal Music </w:t>
      </w:r>
      <w:proofErr w:type="spellStart"/>
      <w:r>
        <w:rPr>
          <w:sz w:val="24"/>
          <w:szCs w:val="24"/>
        </w:rPr>
        <w:t>Group</w:t>
      </w:r>
      <w:proofErr w:type="spellEnd"/>
      <w:r>
        <w:rPr>
          <w:sz w:val="24"/>
          <w:szCs w:val="24"/>
        </w:rPr>
        <w:t xml:space="preserve">, zaprojektowane przez Studio </w:t>
      </w:r>
      <w:proofErr w:type="spellStart"/>
      <w:r>
        <w:rPr>
          <w:sz w:val="24"/>
          <w:szCs w:val="24"/>
        </w:rPr>
        <w:t>Boîte</w:t>
      </w:r>
      <w:proofErr w:type="spellEnd"/>
      <w:r>
        <w:rPr>
          <w:sz w:val="24"/>
          <w:szCs w:val="24"/>
        </w:rPr>
        <w:t>. Ciemny dekor Lore</w:t>
      </w:r>
      <w:r w:rsidR="007C2285">
        <w:rPr>
          <w:sz w:val="24"/>
          <w:szCs w:val="24"/>
        </w:rPr>
        <w:t xml:space="preserve">nzo </w:t>
      </w:r>
      <w:proofErr w:type="spellStart"/>
      <w:r w:rsidR="007C2285">
        <w:rPr>
          <w:sz w:val="24"/>
          <w:szCs w:val="24"/>
        </w:rPr>
        <w:t>Walnut</w:t>
      </w:r>
      <w:proofErr w:type="spellEnd"/>
      <w:r w:rsidR="007C2285">
        <w:rPr>
          <w:sz w:val="24"/>
          <w:szCs w:val="24"/>
        </w:rPr>
        <w:t xml:space="preserve"> medium </w:t>
      </w:r>
      <w:proofErr w:type="spellStart"/>
      <w:r w:rsidR="007C2285">
        <w:rPr>
          <w:sz w:val="24"/>
          <w:szCs w:val="24"/>
        </w:rPr>
        <w:t>b</w:t>
      </w:r>
      <w:r>
        <w:rPr>
          <w:sz w:val="24"/>
          <w:szCs w:val="24"/>
        </w:rPr>
        <w:t>rown</w:t>
      </w:r>
      <w:proofErr w:type="spellEnd"/>
      <w:r>
        <w:rPr>
          <w:sz w:val="24"/>
          <w:szCs w:val="24"/>
        </w:rPr>
        <w:t xml:space="preserve"> zestawiono tam przede wszystkim z metalowymi elementami konstrukcyjnymi i wyposażeniem. Drewno wprowadza do wnętrza głębię, elegancję i wizualne ciepło, natomiast metal podkreśla jego industrialny charakter. Oba materiały pełnią różne funkcje, ale wspólnie tworzą przestrzeń odpowiadającą profilowi wytwórni muzycznej -profesjonalną, a zarazem kreatywną.</w:t>
      </w:r>
    </w:p>
    <w:p w14:paraId="00000028" w14:textId="77777777" w:rsidR="008E7E87" w:rsidRDefault="003A2A9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pl-PL"/>
        </w:rPr>
        <w:drawing>
          <wp:inline distT="0" distB="0" distL="0" distR="0" wp14:anchorId="29D5E718" wp14:editId="0E0F5252">
            <wp:extent cx="5972810" cy="3984625"/>
            <wp:effectExtent l="0" t="0" r="0" b="0"/>
            <wp:docPr id="1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8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9" w14:textId="77777777" w:rsidR="008E7E87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>Istotną rolę w tej realizacji odgrywają również przeszklenia, roślinność i nastrojowe oświetlenie, które uzupełniają dwa główne motywy materiałowe. Światło wydobywa głębokie wybarwienie dekoru i pomaga budować bardziej kameralną atmosferę w wybranych częściach biura. Projekt pokazuje, że tematyczny charakter przestrzeni może wynikać nie z dosłownych odniesień do działalności firmy, lecz z odpowiednio dobranej relacji między materiałami.</w:t>
      </w:r>
    </w:p>
    <w:p w14:paraId="0000002A" w14:textId="77777777" w:rsidR="008E7E87" w:rsidRDefault="003A2A9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pl-PL"/>
        </w:rPr>
        <w:lastRenderedPageBreak/>
        <w:drawing>
          <wp:inline distT="0" distB="0" distL="0" distR="0" wp14:anchorId="7CD5DC04" wp14:editId="3366898E">
            <wp:extent cx="5972810" cy="3984625"/>
            <wp:effectExtent l="0" t="0" r="0" b="0"/>
            <wp:docPr id="1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84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B" w14:textId="77777777" w:rsidR="008E7E87" w:rsidRDefault="003A2A9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Relacja kolor - materiał</w:t>
      </w:r>
    </w:p>
    <w:p w14:paraId="0000002C" w14:textId="77777777" w:rsidR="008E7E87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>Tematyczne wnętrze można również uzyskać przez połączenie dekoru drewna z wyrazistą kolorystyką. Materiał odpowiada wtedy za wizualne uporządkowanie i ocieplenie przestrzeni, natomiast kolor nadaje jej energię oraz indywidualny charakter. Powtarzany na wybranych powierzchniach może także pełnić funkcję orientacyjną, wyróżniać konkretne strefy albo nawiązywać do identyfikacji wizualnej organizacji.</w:t>
      </w:r>
    </w:p>
    <w:p w14:paraId="0000002D" w14:textId="3FF5DC70" w:rsidR="008E7E87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Taką koncepcję zastosowano w szatniach pracowniczych belgijskiej firmy </w:t>
      </w:r>
      <w:proofErr w:type="spellStart"/>
      <w:r>
        <w:rPr>
          <w:sz w:val="24"/>
          <w:szCs w:val="24"/>
        </w:rPr>
        <w:t>Agristo</w:t>
      </w:r>
      <w:proofErr w:type="spellEnd"/>
      <w:r>
        <w:rPr>
          <w:sz w:val="24"/>
          <w:szCs w:val="24"/>
        </w:rPr>
        <w:t xml:space="preserve">, zaprojektowanych przez WEWO. Naturalny dekor </w:t>
      </w:r>
      <w:proofErr w:type="spellStart"/>
      <w:r>
        <w:rPr>
          <w:sz w:val="24"/>
          <w:szCs w:val="24"/>
        </w:rPr>
        <w:t>Essential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Oak</w:t>
      </w:r>
      <w:proofErr w:type="spellEnd"/>
      <w:r>
        <w:rPr>
          <w:sz w:val="24"/>
          <w:szCs w:val="24"/>
        </w:rPr>
        <w:t xml:space="preserve"> Natural poł</w:t>
      </w:r>
      <w:r w:rsidR="007C2285">
        <w:rPr>
          <w:sz w:val="24"/>
          <w:szCs w:val="24"/>
        </w:rPr>
        <w:t xml:space="preserve">ączono z intensywnym odcieniem </w:t>
      </w:r>
      <w:proofErr w:type="spellStart"/>
      <w:r w:rsidR="007C2285">
        <w:rPr>
          <w:sz w:val="24"/>
          <w:szCs w:val="24"/>
        </w:rPr>
        <w:t>amber</w:t>
      </w:r>
      <w:proofErr w:type="spellEnd"/>
      <w:r w:rsidR="007C2285">
        <w:rPr>
          <w:sz w:val="24"/>
          <w:szCs w:val="24"/>
        </w:rPr>
        <w:t xml:space="preserve"> </w:t>
      </w:r>
      <w:proofErr w:type="spellStart"/>
      <w:r w:rsidR="007C2285">
        <w:rPr>
          <w:sz w:val="24"/>
          <w:szCs w:val="24"/>
        </w:rPr>
        <w:t>y</w:t>
      </w:r>
      <w:r>
        <w:rPr>
          <w:sz w:val="24"/>
          <w:szCs w:val="24"/>
        </w:rPr>
        <w:t>ellow</w:t>
      </w:r>
      <w:proofErr w:type="spellEnd"/>
      <w:r>
        <w:rPr>
          <w:sz w:val="24"/>
          <w:szCs w:val="24"/>
        </w:rPr>
        <w:t xml:space="preserve"> oraz czarnymi detalami w motywie </w:t>
      </w:r>
      <w:proofErr w:type="spellStart"/>
      <w:r>
        <w:rPr>
          <w:sz w:val="24"/>
          <w:szCs w:val="24"/>
        </w:rPr>
        <w:t>decoartive</w:t>
      </w:r>
      <w:proofErr w:type="spellEnd"/>
      <w:r>
        <w:rPr>
          <w:sz w:val="24"/>
          <w:szCs w:val="24"/>
        </w:rPr>
        <w:t xml:space="preserve"> compact </w:t>
      </w:r>
      <w:proofErr w:type="spellStart"/>
      <w:r>
        <w:rPr>
          <w:sz w:val="24"/>
          <w:szCs w:val="24"/>
        </w:rPr>
        <w:t>mdf</w:t>
      </w:r>
      <w:proofErr w:type="spellEnd"/>
      <w:r>
        <w:rPr>
          <w:sz w:val="24"/>
          <w:szCs w:val="24"/>
        </w:rPr>
        <w:t>. Jasne powierzchnie o rysunku drewna stanowią spokojną bazę, natomiast żółte fronty szafek nadają wnętrzu wyrazisty rytm i ożywiają pomieszczenie o przede wszystkim użytkowej funkcji. Czerń porządkuje kompozycję, a także wzmacnia kontrast pomiędzy pozostałymi elementami.</w:t>
      </w:r>
    </w:p>
    <w:p w14:paraId="0000002E" w14:textId="77777777" w:rsidR="008E7E87" w:rsidRDefault="003A2A91">
      <w:pPr>
        <w:jc w:val="both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pl-PL"/>
        </w:rPr>
        <w:lastRenderedPageBreak/>
        <w:drawing>
          <wp:inline distT="0" distB="0" distL="0" distR="0" wp14:anchorId="7FB7C90D" wp14:editId="48A8E7F7">
            <wp:extent cx="5972810" cy="3982720"/>
            <wp:effectExtent l="0" t="0" r="0" b="0"/>
            <wp:docPr id="1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982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F" w14:textId="5B3F28AB" w:rsidR="008E7E87" w:rsidRDefault="003A2A91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iCs/>
          <w:sz w:val="24"/>
          <w:szCs w:val="24"/>
        </w:rPr>
        <w:t xml:space="preserve">Realizacja </w:t>
      </w:r>
      <w:proofErr w:type="spellStart"/>
      <w:r>
        <w:rPr>
          <w:i/>
          <w:iCs/>
          <w:sz w:val="24"/>
          <w:szCs w:val="24"/>
        </w:rPr>
        <w:t>Agristo</w:t>
      </w:r>
      <w:proofErr w:type="spellEnd"/>
      <w:r>
        <w:rPr>
          <w:i/>
          <w:iCs/>
          <w:sz w:val="24"/>
          <w:szCs w:val="24"/>
        </w:rPr>
        <w:t xml:space="preserve"> pokazuje, że tematyczne wnętrze może powstać również w przestrzeni zaplecza pracowniczego, a nie tylko w reprezentacyjnym biurze lub domu. O jego charakterze decyduje konsekwentna relacja między materiałem a kolorem: drewno łagodzi intensywność żółci, natomiast kolor sprawia, że naturalny dekor nie staje się neutralnym tłem pozbawionym wyrazu. W efekcie oba elementy wzajemnie się uzupełniają, tworząc czytelną i spójną koncepcję - dodaję </w:t>
      </w:r>
      <w:r w:rsidR="007F3CDE" w:rsidRPr="007F3CDE">
        <w:rPr>
          <w:sz w:val="24"/>
          <w:szCs w:val="24"/>
        </w:rPr>
        <w:t xml:space="preserve">Sam </w:t>
      </w:r>
      <w:proofErr w:type="spellStart"/>
      <w:r w:rsidR="007F3CDE" w:rsidRPr="007F3CDE">
        <w:rPr>
          <w:sz w:val="24"/>
          <w:szCs w:val="24"/>
        </w:rPr>
        <w:t>Lormans</w:t>
      </w:r>
      <w:proofErr w:type="spellEnd"/>
      <w:r w:rsidR="007F3CDE" w:rsidRPr="007F3CDE">
        <w:rPr>
          <w:sz w:val="24"/>
          <w:szCs w:val="24"/>
        </w:rPr>
        <w:t xml:space="preserve"> </w:t>
      </w:r>
      <w:proofErr w:type="spellStart"/>
      <w:r w:rsidR="007F3CDE">
        <w:rPr>
          <w:sz w:val="24"/>
          <w:szCs w:val="24"/>
        </w:rPr>
        <w:t>Lead</w:t>
      </w:r>
      <w:proofErr w:type="spellEnd"/>
      <w:r w:rsidR="007F3CDE">
        <w:rPr>
          <w:sz w:val="24"/>
          <w:szCs w:val="24"/>
        </w:rPr>
        <w:t xml:space="preserve"> </w:t>
      </w:r>
      <w:r w:rsidR="007F3CDE" w:rsidRPr="007F3CDE">
        <w:rPr>
          <w:sz w:val="24"/>
          <w:szCs w:val="24"/>
        </w:rPr>
        <w:t xml:space="preserve">Design Manager </w:t>
      </w:r>
      <w:proofErr w:type="spellStart"/>
      <w:r w:rsidR="007F3CDE" w:rsidRPr="007F3CDE">
        <w:rPr>
          <w:sz w:val="24"/>
          <w:szCs w:val="24"/>
        </w:rPr>
        <w:t>Unilin</w:t>
      </w:r>
      <w:proofErr w:type="spellEnd"/>
      <w:r w:rsidR="007F3CDE" w:rsidRPr="007F3CDE">
        <w:rPr>
          <w:sz w:val="24"/>
          <w:szCs w:val="24"/>
        </w:rPr>
        <w:t xml:space="preserve"> </w:t>
      </w:r>
      <w:proofErr w:type="spellStart"/>
      <w:r w:rsidR="007F3CDE" w:rsidRPr="007F3CDE">
        <w:rPr>
          <w:sz w:val="24"/>
          <w:szCs w:val="24"/>
        </w:rPr>
        <w:t>Panels</w:t>
      </w:r>
      <w:proofErr w:type="spellEnd"/>
    </w:p>
    <w:p w14:paraId="00000030" w14:textId="77777777" w:rsidR="008E7E87" w:rsidRDefault="003A2A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Realizacje Mars House, Universal Music </w:t>
      </w:r>
      <w:proofErr w:type="spellStart"/>
      <w:r>
        <w:rPr>
          <w:sz w:val="24"/>
          <w:szCs w:val="24"/>
        </w:rPr>
        <w:t>Group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Agristo</w:t>
      </w:r>
      <w:proofErr w:type="spellEnd"/>
      <w:r>
        <w:rPr>
          <w:sz w:val="24"/>
          <w:szCs w:val="24"/>
        </w:rPr>
        <w:t xml:space="preserve"> pokazują, że nie istnieje jeden sposób tworzenia tematycznych wnętrz. Ich charakter może wynikać zarówno z konsekwentnego zastosowania jednego dekoru, zestawienia materiałów o odmiennych właściwościach wizualnych, jak i połączenia naturalnej faktury z wyrazistym kolorem. Wspólnym mianownikiem pozostaje spójna koncepcja, w której każdy element: materiał, światło, kolor i wyposażenie współtworzy charakter przestrzeni oraz odpowiada jej funkcji.</w:t>
      </w:r>
      <w:bookmarkStart w:id="8" w:name="_GoBack"/>
      <w:bookmarkEnd w:id="8"/>
    </w:p>
    <w:p w14:paraId="00000031" w14:textId="77777777" w:rsidR="008E7E87" w:rsidRDefault="003A2A91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Unilin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Panels</w:t>
      </w:r>
      <w:proofErr w:type="spellEnd"/>
      <w:r>
        <w:rPr>
          <w:sz w:val="20"/>
          <w:szCs w:val="20"/>
        </w:rPr>
        <w:t xml:space="preserve"> to światowy lider w produkcji paneli drewnopochodnych, obsługujący sektory projektowania wnętrz i budownictwa na całym świecie. Firma dostarcza wysokiej jakości, zrównoważone rozwiązania panelowe, które wyznaczają branżowe standardy w zakresie innowacji, wydajności i designu. W jej portfolio znajduje się innowacyjny produkt Master </w:t>
      </w:r>
      <w:proofErr w:type="spellStart"/>
      <w:r>
        <w:rPr>
          <w:sz w:val="20"/>
          <w:szCs w:val="20"/>
        </w:rPr>
        <w:t>Oak</w:t>
      </w:r>
      <w:proofErr w:type="spellEnd"/>
      <w:r>
        <w:rPr>
          <w:sz w:val="20"/>
          <w:szCs w:val="20"/>
        </w:rPr>
        <w:t xml:space="preserve">, wykonany w 100 proc. z materiałów pochodzących z recyklingu, zapewniający autentyczny wygląd i fakturę naturalnego dębu. </w:t>
      </w:r>
      <w:proofErr w:type="spellStart"/>
      <w:r>
        <w:rPr>
          <w:sz w:val="20"/>
          <w:szCs w:val="20"/>
        </w:rPr>
        <w:t>Unilin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Panels</w:t>
      </w:r>
      <w:proofErr w:type="spellEnd"/>
      <w:r>
        <w:rPr>
          <w:sz w:val="20"/>
          <w:szCs w:val="20"/>
        </w:rPr>
        <w:t xml:space="preserve"> jest częścią Grupy </w:t>
      </w:r>
      <w:proofErr w:type="spellStart"/>
      <w:r>
        <w:rPr>
          <w:sz w:val="20"/>
          <w:szCs w:val="20"/>
        </w:rPr>
        <w:t>Unilin</w:t>
      </w:r>
      <w:proofErr w:type="spellEnd"/>
      <w:r>
        <w:rPr>
          <w:sz w:val="20"/>
          <w:szCs w:val="20"/>
        </w:rPr>
        <w:t xml:space="preserve">, założonej w Belgii, która od ponad 60 lat kształtuje światowe standardy w projektowaniu i budownictwie. Firma działa w ponad 105 lokalizacjach na całym świecie i zatrudnia około 7 800 osób. </w:t>
      </w:r>
      <w:proofErr w:type="spellStart"/>
      <w:r>
        <w:rPr>
          <w:sz w:val="20"/>
          <w:szCs w:val="20"/>
        </w:rPr>
        <w:t>Unilin</w:t>
      </w:r>
      <w:proofErr w:type="spellEnd"/>
      <w:r>
        <w:rPr>
          <w:sz w:val="20"/>
          <w:szCs w:val="20"/>
        </w:rPr>
        <w:t xml:space="preserve"> jest również częścią </w:t>
      </w:r>
      <w:proofErr w:type="spellStart"/>
      <w:r>
        <w:rPr>
          <w:sz w:val="20"/>
          <w:szCs w:val="20"/>
        </w:rPr>
        <w:t>Mohawk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Industries</w:t>
      </w:r>
      <w:proofErr w:type="spellEnd"/>
      <w:r>
        <w:rPr>
          <w:sz w:val="20"/>
          <w:szCs w:val="20"/>
        </w:rPr>
        <w:t xml:space="preserve"> Inc., jednego z największych na świecie producenta pokryć podłogowych i powierzchniowych.</w:t>
      </w:r>
    </w:p>
    <w:p w14:paraId="00000032" w14:textId="77777777" w:rsidR="008E7E87" w:rsidRDefault="008E7E87">
      <w:pPr>
        <w:spacing w:after="0"/>
        <w:jc w:val="both"/>
        <w:rPr>
          <w:sz w:val="24"/>
          <w:szCs w:val="24"/>
        </w:rPr>
      </w:pPr>
    </w:p>
    <w:p w14:paraId="00000033" w14:textId="77777777" w:rsidR="008E7E87" w:rsidRDefault="003A2A91">
      <w:pPr>
        <w:spacing w:after="0" w:line="276" w:lineRule="auto"/>
        <w:jc w:val="right"/>
        <w:rPr>
          <w:color w:val="000000"/>
          <w:sz w:val="20"/>
          <w:szCs w:val="20"/>
          <w:highlight w:val="white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0"/>
          <w:szCs w:val="20"/>
          <w:highlight w:val="white"/>
        </w:rPr>
        <w:t>Kontakt dla mediów:</w:t>
      </w:r>
    </w:p>
    <w:p w14:paraId="00000034" w14:textId="77777777" w:rsidR="008E7E87" w:rsidRDefault="003A2A9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Paweł Skowron </w:t>
      </w:r>
    </w:p>
    <w:p w14:paraId="00000035" w14:textId="77777777" w:rsidR="008E7E87" w:rsidRDefault="003A2A9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e-mail:</w:t>
      </w:r>
      <w:r>
        <w:t xml:space="preserve"> pawel.skowron@goodonepr.pl</w:t>
      </w:r>
    </w:p>
    <w:p w14:paraId="00000036" w14:textId="77777777" w:rsidR="008E7E87" w:rsidRDefault="003A2A91">
      <w:pPr>
        <w:spacing w:after="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>Tel.:</w:t>
      </w:r>
      <w:r>
        <w:t xml:space="preserve"> </w:t>
      </w:r>
      <w:r>
        <w:rPr>
          <w:sz w:val="20"/>
          <w:szCs w:val="20"/>
        </w:rPr>
        <w:t>+ 48 796 699 177</w:t>
      </w:r>
    </w:p>
    <w:p w14:paraId="00000037" w14:textId="77777777" w:rsidR="008E7E87" w:rsidRDefault="008E7E87">
      <w:pPr>
        <w:spacing w:after="0" w:line="276" w:lineRule="auto"/>
        <w:jc w:val="right"/>
        <w:rPr>
          <w:sz w:val="20"/>
          <w:szCs w:val="20"/>
        </w:rPr>
      </w:pPr>
    </w:p>
    <w:p w14:paraId="00000038" w14:textId="77777777" w:rsidR="008E7E87" w:rsidRDefault="008E7E87">
      <w:pPr>
        <w:spacing w:after="0" w:line="276" w:lineRule="auto"/>
        <w:rPr>
          <w:sz w:val="20"/>
          <w:szCs w:val="20"/>
        </w:rPr>
      </w:pPr>
    </w:p>
    <w:sectPr w:rsidR="008E7E87">
      <w:headerReference w:type="default" r:id="rId16"/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541D2D" w16cex:dateUtc="2026-08-12T12:56:00Z"/>
  <w16cex:commentExtensible w16cex:durableId="20CA38B1" w16cex:dateUtc="2026-08-12T12:50:00Z"/>
  <w16cex:commentExtensible w16cex:durableId="759C7235" w16cex:dateUtc="2026-08-12T12:45:00Z"/>
  <w16cex:commentExtensible w16cex:durableId="2EAC31D4" w16cex:dateUtc="2026-08-12T12:51:00Z"/>
  <w16cex:commentExtensible w16cex:durableId="08C89F9C" w16cex:dateUtc="2026-08-12T12:46:00Z"/>
  <w16cex:commentExtensible w16cex:durableId="1CF607C6" w16cex:dateUtc="2026-08-12T12:47:00Z"/>
  <w16cex:commentExtensible w16cex:durableId="70B2E7F4" w16cex:dateUtc="2026-08-12T1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3B" w16cid:durableId="0000003B"/>
  <w16cid:commentId w16cid:paraId="2DD60518" w16cid:durableId="20541D2D"/>
  <w16cid:commentId w16cid:paraId="4FE310E5" w16cid:durableId="20CA38B1"/>
  <w16cid:commentId w16cid:paraId="1C3863E4" w16cid:durableId="759C7235"/>
  <w16cid:commentId w16cid:paraId="2B26EB77" w16cid:durableId="2EAC31D4"/>
  <w16cid:commentId w16cid:paraId="4FBEE854" w16cid:durableId="08C89F9C"/>
  <w16cid:commentId w16cid:paraId="6EAE2176" w16cid:durableId="1CF607C6"/>
  <w16cid:commentId w16cid:paraId="4C96CE80" w16cid:durableId="70B2E7F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40914" w14:textId="77777777" w:rsidR="003104D9" w:rsidRDefault="003104D9">
      <w:pPr>
        <w:spacing w:after="0" w:line="240" w:lineRule="auto"/>
      </w:pPr>
      <w:r>
        <w:separator/>
      </w:r>
    </w:p>
  </w:endnote>
  <w:endnote w:type="continuationSeparator" w:id="0">
    <w:p w14:paraId="32B3A57A" w14:textId="77777777" w:rsidR="003104D9" w:rsidRDefault="0031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67D16F98-3617-4AC4-9730-009E4F327E2D}"/>
    <w:embedBold r:id="rId2" w:fontKey="{CCC2D67A-82D2-44FE-8E47-77FFF3810B24}"/>
    <w:embedItalic r:id="rId3" w:fontKey="{E710F95A-0DD8-433D-97CA-31269539E18C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EA0D23BE-2FC8-4667-903B-347B84AA1107}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5" w:fontKey="{071E5BFC-2C72-4FD1-8E98-1D1C2715063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10F89" w14:textId="77777777" w:rsidR="003104D9" w:rsidRDefault="003104D9">
      <w:pPr>
        <w:spacing w:after="0" w:line="240" w:lineRule="auto"/>
      </w:pPr>
      <w:r>
        <w:separator/>
      </w:r>
    </w:p>
  </w:footnote>
  <w:footnote w:type="continuationSeparator" w:id="0">
    <w:p w14:paraId="3394F0DB" w14:textId="77777777" w:rsidR="003104D9" w:rsidRDefault="00310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9" w14:textId="77777777" w:rsidR="008E7E87" w:rsidRDefault="003A2A9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  <w:sz w:val="24"/>
        <w:szCs w:val="24"/>
      </w:rPr>
    </w:pPr>
    <w:r>
      <w:rPr>
        <w:noProof/>
        <w:lang w:val="pl-PL"/>
      </w:rPr>
      <w:drawing>
        <wp:anchor distT="0" distB="0" distL="0" distR="0" simplePos="0" relativeHeight="251658240" behindDoc="1" locked="0" layoutInCell="1" hidden="0" allowOverlap="1" wp14:anchorId="12D7CC78" wp14:editId="7BCBD3FC">
          <wp:simplePos x="0" y="0"/>
          <wp:positionH relativeFrom="column">
            <wp:posOffset>4167504</wp:posOffset>
          </wp:positionH>
          <wp:positionV relativeFrom="paragraph">
            <wp:posOffset>-211451</wp:posOffset>
          </wp:positionV>
          <wp:extent cx="2095500" cy="436210"/>
          <wp:effectExtent l="0" t="0" r="0" b="0"/>
          <wp:wrapNone/>
          <wp:docPr id="1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5500" cy="436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3A" w14:textId="77777777" w:rsidR="008E7E87" w:rsidRDefault="008E7E87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87"/>
    <w:rsid w:val="003104D9"/>
    <w:rsid w:val="003822E5"/>
    <w:rsid w:val="003A2A91"/>
    <w:rsid w:val="00405DDE"/>
    <w:rsid w:val="005250D0"/>
    <w:rsid w:val="006144FC"/>
    <w:rsid w:val="006F7DCD"/>
    <w:rsid w:val="007C2285"/>
    <w:rsid w:val="007F3CDE"/>
    <w:rsid w:val="00832CDD"/>
    <w:rsid w:val="008E7E87"/>
    <w:rsid w:val="00B456E9"/>
    <w:rsid w:val="00B61671"/>
    <w:rsid w:val="00B617BF"/>
    <w:rsid w:val="00BB17F9"/>
    <w:rsid w:val="00BB4182"/>
    <w:rsid w:val="00D4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6C93"/>
  <w15:docId w15:val="{B64299D6-D228-4D54-AC55-ADBEDA4E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360" w:after="80" w:line="278" w:lineRule="auto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 w:line="278" w:lineRule="auto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 w:line="278" w:lineRule="auto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 w:line="278" w:lineRule="auto"/>
      <w:outlineLvl w:val="3"/>
    </w:pPr>
    <w:rPr>
      <w:i/>
      <w:iCs/>
      <w:color w:val="2F549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80" w:after="40" w:line="278" w:lineRule="auto"/>
      <w:outlineLvl w:val="4"/>
    </w:pPr>
    <w:rPr>
      <w:color w:val="2F5496"/>
      <w:sz w:val="24"/>
      <w:szCs w:val="24"/>
    </w:rPr>
  </w:style>
  <w:style w:type="paragraph" w:styleId="Nagwek6">
    <w:name w:val="heading 6"/>
    <w:basedOn w:val="Normalny"/>
    <w:next w:val="Normalny"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14E4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A714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14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4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4E4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A71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4E4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pPr>
      <w:spacing w:line="278" w:lineRule="auto"/>
    </w:pPr>
    <w:rPr>
      <w:color w:val="595959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D45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3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image" Target="media/image5.jpg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f40ca145-f84c-4913-92b6-15e158414fc4">Brand</Owner>
    <Pricingoffer xmlns="f40ca145-f84c-4913-92b6-15e158414fc4">false</Pricingoffer>
    <Category xmlns="f40ca145-f84c-4913-92b6-15e158414fc4" xsi:nil="true"/>
    <Service xmlns="f40ca145-f84c-4913-92b6-15e158414fc4" xsi:nil="true"/>
    <Team_x0020_owner xmlns="f40ca145-f84c-4913-92b6-15e158414fc4" xsi:nil="true"/>
    <TaxCatchAll xmlns="289e933f-cfad-4504-9331-4a19bcfb573c" xsi:nil="true"/>
    <lcf76f155ced4ddcb4097134ff3c332f xmlns="f40ca145-f84c-4913-92b6-15e158414fc4">
      <Terms xmlns="http://schemas.microsoft.com/office/infopath/2007/PartnerControls"/>
    </lcf76f155ced4ddcb4097134ff3c332f>
    <Lookupdocument xmlns="f40ca145-f84c-4913-92b6-15e158414fc4" xsi:nil="true"/>
    <StatusofthePR xmlns="f40ca145-f84c-4913-92b6-15e158414f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3D4CA3E3195F419322BE8ACC6B6476" ma:contentTypeVersion="25" ma:contentTypeDescription="Create a new document." ma:contentTypeScope="" ma:versionID="c1cd639d9fce00649b7fa657f1e72629">
  <xsd:schema xmlns:xsd="http://www.w3.org/2001/XMLSchema" xmlns:xs="http://www.w3.org/2001/XMLSchema" xmlns:p="http://schemas.microsoft.com/office/2006/metadata/properties" xmlns:ns2="f40ca145-f84c-4913-92b6-15e158414fc4" xmlns:ns3="289e933f-cfad-4504-9331-4a19bcfb573c" xmlns:ns4="b2aa382b-de46-4ecb-9858-2575ee6cf510" targetNamespace="http://schemas.microsoft.com/office/2006/metadata/properties" ma:root="true" ma:fieldsID="7e12d5def6eb0d4ee9e1291ad2097b41" ns2:_="" ns3:_="" ns4:_="">
    <xsd:import namespace="f40ca145-f84c-4913-92b6-15e158414fc4"/>
    <xsd:import namespace="289e933f-cfad-4504-9331-4a19bcfb573c"/>
    <xsd:import namespace="b2aa382b-de46-4ecb-9858-2575ee6cf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LengthInSeconds" minOccurs="0"/>
                <xsd:element ref="ns2:Team_x0020_owner" minOccurs="0"/>
                <xsd:element ref="ns2:Category" minOccurs="0"/>
                <xsd:element ref="ns2:Owner" minOccurs="0"/>
                <xsd:element ref="ns2:Lookupdocument" minOccurs="0"/>
                <xsd:element ref="ns2:Service" minOccurs="0"/>
                <xsd:element ref="ns2:StatusofthePR" minOccurs="0"/>
                <xsd:element ref="ns2:Pricingoffe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ca145-f84c-4913-92b6-15e158414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215304-9a59-4390-b43d-101829da7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Team_x0020_owner" ma:index="22" nillable="true" ma:displayName="Topic" ma:description="Topics that involve one or more members from the different marketing teams. &#10;When relevant for the ful marketing." ma:format="Dropdown" ma:internalName="Team_x0020_own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 marketing"/>
                    <xsd:enumeration value="Brand"/>
                    <xsd:enumeration value="Campaign"/>
                    <xsd:enumeration value="Content"/>
                    <xsd:enumeration value="Digital"/>
                  </xsd:restriction>
                </xsd:simpleType>
              </xsd:element>
            </xsd:sequence>
          </xsd:extension>
        </xsd:complexContent>
      </xsd:complexType>
    </xsd:element>
    <xsd:element name="Category" ma:index="23" nillable="true" ma:displayName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ediaplan"/>
                    <xsd:enumeration value="Campaign"/>
                    <xsd:enumeration value="Project"/>
                    <xsd:enumeration value="Content planning"/>
                    <xsd:enumeration value="Report"/>
                    <xsd:enumeration value="Asset management &amp; Mediakits"/>
                    <xsd:enumeration value="Audience management"/>
                    <xsd:enumeration value="Lead management &amp; Sales funnel"/>
                    <xsd:enumeration value="E-Learning"/>
                    <xsd:enumeration value="Training"/>
                    <xsd:enumeration value="GDPR"/>
                    <xsd:enumeration value="Service partners"/>
                  </xsd:restriction>
                </xsd:simpleType>
              </xsd:element>
            </xsd:sequence>
          </xsd:extension>
        </xsd:complexContent>
      </xsd:complexType>
    </xsd:element>
    <xsd:element name="Owner" ma:index="24" nillable="true" ma:displayName="Owner" ma:default="Brand" ma:description="Team that owns this folder" ma:format="Dropdown" ma:internalName="Owner">
      <xsd:simpleType>
        <xsd:restriction base="dms:Choice">
          <xsd:enumeration value="Brand"/>
          <xsd:enumeration value="Campaign"/>
          <xsd:enumeration value="Content"/>
          <xsd:enumeration value="Digital"/>
          <xsd:enumeration value="All Marketing"/>
        </xsd:restriction>
      </xsd:simpleType>
    </xsd:element>
    <xsd:element name="Lookupdocument" ma:index="25" nillable="true" ma:displayName="Lookup document" ma:description="Lookup a document in this folder" ma:format="Dropdown" ma:list="f40ca145-f84c-4913-92b6-15e158414fc4" ma:internalName="Lookupdocument" ma:showField="Title">
      <xsd:simpleType>
        <xsd:restriction base="dms:Lookup"/>
      </xsd:simpleType>
    </xsd:element>
    <xsd:element name="Service" ma:index="26" nillable="true" ma:displayName="Service" ma:description="Select the service that fits most" ma:format="Dropdown" ma:internalName="Service">
      <xsd:simpleType>
        <xsd:restriction base="dms:Choice">
          <xsd:enumeration value="Asset management"/>
          <xsd:enumeration value="Data infrastructure"/>
          <xsd:enumeration value="Website support"/>
          <xsd:enumeration value="Copywriting"/>
          <xsd:enumeration value="Graphic design"/>
          <xsd:enumeration value="Strategy"/>
          <xsd:enumeration value="Marketing support"/>
        </xsd:restriction>
      </xsd:simpleType>
    </xsd:element>
    <xsd:element name="StatusofthePR" ma:index="27" nillable="true" ma:displayName="Status of the PR" ma:format="Dropdown" ma:internalName="StatusofthePR">
      <xsd:simpleType>
        <xsd:restriction base="dms:Choice">
          <xsd:enumeration value="Draft"/>
          <xsd:enumeration value="Sent"/>
        </xsd:restriction>
      </xsd:simpleType>
    </xsd:element>
    <xsd:element name="Pricingoffer" ma:index="28" nillable="true" ma:displayName="Pricing offer" ma:default="0" ma:description="If a pricing offer is available &gt; see Service partners" ma:format="Dropdown" ma:internalName="Pricingoffer">
      <xsd:simpleType>
        <xsd:restriction base="dms:Boolean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e933f-cfad-4504-9331-4a19bcfb57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192522-09ca-43ca-a751-25a316100a7c}" ma:internalName="TaxCatchAll" ma:showField="CatchAllData" ma:web="b2aa382b-de46-4ecb-9858-2575ee6cf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a382b-de46-4ecb-9858-2575ee6cf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CApiK53ePjaLvb9MGDxyO9Nnw==">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0B91-A374-4AF8-9C5C-BB64C85B74DF}">
  <ds:schemaRefs>
    <ds:schemaRef ds:uri="http://schemas.microsoft.com/office/2006/metadata/properties"/>
    <ds:schemaRef ds:uri="http://schemas.microsoft.com/office/infopath/2007/PartnerControls"/>
    <ds:schemaRef ds:uri="f40ca145-f84c-4913-92b6-15e158414fc4"/>
    <ds:schemaRef ds:uri="289e933f-cfad-4504-9331-4a19bcfb573c"/>
  </ds:schemaRefs>
</ds:datastoreItem>
</file>

<file path=customXml/itemProps2.xml><?xml version="1.0" encoding="utf-8"?>
<ds:datastoreItem xmlns:ds="http://schemas.openxmlformats.org/officeDocument/2006/customXml" ds:itemID="{B4BD0CFA-28FE-42CF-8CEB-D28DBEAE7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27099-9285-4074-980D-9DE4389E3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ca145-f84c-4913-92b6-15e158414fc4"/>
    <ds:schemaRef ds:uri="289e933f-cfad-4504-9331-4a19bcfb573c"/>
    <ds:schemaRef ds:uri="b2aa382b-de46-4ecb-9858-2575ee6cf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4F4E4B8E-A594-4414-8E4A-97470690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1025</Words>
  <Characters>6155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STRAGIER</dc:creator>
  <cp:lastModifiedBy>PR2024</cp:lastModifiedBy>
  <cp:revision>8</cp:revision>
  <dcterms:created xsi:type="dcterms:W3CDTF">2026-08-12T12:58:00Z</dcterms:created>
  <dcterms:modified xsi:type="dcterms:W3CDTF">2026-08-13T13:48:00Z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0x010100933D4CA3E3195F419322BE8ACC6B6476</vt:lpwstr>
  </property>
</Properties>
</file>