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F47E82" w14:textId="502EFC6D" w:rsidR="00D763C9" w:rsidRDefault="00C66D98" w:rsidP="00D8477D">
      <w:r w:rsidRPr="00C66D98">
        <w:rPr>
          <w:noProof/>
        </w:rPr>
        <mc:AlternateContent>
          <mc:Choice Requires="wps">
            <w:drawing>
              <wp:anchor distT="0" distB="0" distL="114300" distR="114300" simplePos="0" relativeHeight="251658240" behindDoc="0" locked="0" layoutInCell="1" allowOverlap="1" wp14:anchorId="79F3970F" wp14:editId="48B2DE3A">
                <wp:simplePos x="0" y="0"/>
                <wp:positionH relativeFrom="margin">
                  <wp:align>center</wp:align>
                </wp:positionH>
                <wp:positionV relativeFrom="paragraph">
                  <wp:posOffset>3175</wp:posOffset>
                </wp:positionV>
                <wp:extent cx="659958" cy="330200"/>
                <wp:effectExtent l="0" t="0" r="6985" b="0"/>
                <wp:wrapNone/>
                <wp:docPr id="6" name="Rounded Rectangle">
                  <a:extLst xmlns:a="http://schemas.openxmlformats.org/drawingml/2006/main">
                    <a:ext uri="{FF2B5EF4-FFF2-40B4-BE49-F238E27FC236}">
                      <a16:creationId xmlns:a16="http://schemas.microsoft.com/office/drawing/2014/main" id="{3110A0E2-0A33-B080-FC81-ADBE5A2E67D0}"/>
                    </a:ext>
                  </a:extLst>
                </wp:docPr>
                <wp:cNvGraphicFramePr/>
                <a:graphic xmlns:a="http://schemas.openxmlformats.org/drawingml/2006/main">
                  <a:graphicData uri="http://schemas.microsoft.com/office/word/2010/wordprocessingShape">
                    <wps:wsp>
                      <wps:cNvSpPr/>
                      <wps:spPr>
                        <a:xfrm>
                          <a:off x="0" y="0"/>
                          <a:ext cx="659958" cy="330200"/>
                        </a:xfrm>
                        <a:prstGeom prst="roundRect">
                          <a:avLst>
                            <a:gd name="adj" fmla="val 50000"/>
                          </a:avLst>
                        </a:prstGeom>
                        <a:solidFill>
                          <a:srgbClr val="0195C7"/>
                        </a:solidFill>
                        <a:ln w="12700">
                          <a:miter lim="400000"/>
                        </a:ln>
                      </wps:spPr>
                      <wps:txbx>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wps:txbx>
                      <wps:bodyPr wrap="square" lIns="50800" tIns="50800" rIns="50800" bIns="50800" anchor="ctr">
                        <a:noAutofit/>
                      </wps:bodyPr>
                    </wps:wsp>
                  </a:graphicData>
                </a:graphic>
                <wp14:sizeRelH relativeFrom="margin">
                  <wp14:pctWidth>0</wp14:pctWidth>
                </wp14:sizeRelH>
                <wp14:sizeRelV relativeFrom="margin">
                  <wp14:pctHeight>0</wp14:pctHeight>
                </wp14:sizeRelV>
              </wp:anchor>
            </w:drawing>
          </mc:Choice>
          <mc:Fallback>
            <w:pict>
              <v:roundrect w14:anchorId="79F3970F" id="Rounded Rectangle" o:spid="_x0000_s1026" style="position:absolute;margin-left:0;margin-top:.25pt;width:51.95pt;height:26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" fillcolor="#0195c7" stroked="f" strokeweight="1pt">
                <v:stroke miterlimit="4" joinstyle="miter"/>
                <v:textbox inset="4pt,4pt,4pt,4pt">
                  <w:txbxContent>
                    <w:p w14:paraId="5AF847AA" w14:textId="21ED6604" w:rsidR="00C66D98" w:rsidRPr="00C66D98" w:rsidRDefault="007027E3" w:rsidP="00C66D98">
                      <w:pPr>
                        <w:spacing w:after="0" w:line="240" w:lineRule="auto"/>
                        <w:jc w:val="center"/>
                        <w:rPr>
                          <w:rFonts w:ascii="Microsoft PhagsPa" w:eastAsia="Microsoft JhengHei UI" w:hAnsi="Microsoft PhagsPa" w:cs="Helvetica Neue Medium"/>
                          <w:b/>
                          <w:bCs/>
                          <w:color w:val="FFFFFF" w:themeColor="background1"/>
                          <w:kern w:val="24"/>
                          <w:sz w:val="16"/>
                          <w:szCs w:val="16"/>
                          <w:lang w:val="pt-PT"/>
                          <w14:ligatures w14:val="none"/>
                        </w:rPr>
                      </w:pPr>
                      <w:r>
                        <w:rPr>
                          <w:rFonts w:ascii="Microsoft PhagsPa" w:eastAsia="Microsoft JhengHei UI" w:hAnsi="Microsoft PhagsPa" w:cs="Helvetica Neue Medium"/>
                          <w:b/>
                          <w:bCs/>
                          <w:color w:val="FFFFFF" w:themeColor="background1"/>
                          <w:kern w:val="24"/>
                          <w:sz w:val="16"/>
                          <w:szCs w:val="16"/>
                          <w:lang w:val="pt-PT"/>
                        </w:rPr>
                        <w:t>DICAS</w:t>
                      </w:r>
                    </w:p>
                  </w:txbxContent>
                </v:textbox>
                <w10:wrap anchorx="margin"/>
              </v:roundrect>
            </w:pict>
          </mc:Fallback>
        </mc:AlternateContent>
      </w:r>
    </w:p>
    <w:p w14:paraId="75CC24E3" w14:textId="77777777" w:rsidR="00D8477D" w:rsidRPr="00D8477D" w:rsidRDefault="00D8477D" w:rsidP="00D8477D"/>
    <w:p w14:paraId="15D49F94" w14:textId="77777777" w:rsidR="0041781D" w:rsidRDefault="0041781D" w:rsidP="00DF2C62">
      <w:pPr>
        <w:spacing w:after="80" w:line="264" w:lineRule="auto"/>
        <w:jc w:val="center"/>
        <w:rPr>
          <w:rFonts w:ascii="Microsoft PhagsPa" w:eastAsia="Microsoft JhengHei UI" w:hAnsi="Microsoft PhagsPa"/>
          <w:b/>
          <w:bCs/>
          <w:color w:val="0195C7"/>
          <w:sz w:val="40"/>
          <w:szCs w:val="40"/>
          <w:lang w:val="pt-PT"/>
        </w:rPr>
      </w:pPr>
      <w:r w:rsidRPr="0041781D">
        <w:rPr>
          <w:rFonts w:ascii="Microsoft PhagsPa" w:eastAsia="Microsoft JhengHei UI" w:hAnsi="Microsoft PhagsPa"/>
          <w:b/>
          <w:bCs/>
          <w:color w:val="0195C7"/>
          <w:sz w:val="40"/>
          <w:szCs w:val="40"/>
          <w:lang w:val="pt-PT"/>
        </w:rPr>
        <w:t xml:space="preserve">Ensino superior longe de casa: </w:t>
      </w:r>
    </w:p>
    <w:p w14:paraId="324B1A98" w14:textId="3EB3E13C" w:rsidR="00C66D98" w:rsidRDefault="0041781D" w:rsidP="00DF2C62">
      <w:pPr>
        <w:spacing w:after="80" w:line="264" w:lineRule="auto"/>
        <w:jc w:val="center"/>
        <w:rPr>
          <w:rFonts w:ascii="Microsoft PhagsPa" w:eastAsia="Microsoft JhengHei UI" w:hAnsi="Microsoft PhagsPa"/>
          <w:b/>
          <w:bCs/>
          <w:color w:val="0195C7"/>
          <w:sz w:val="40"/>
          <w:szCs w:val="40"/>
          <w:lang w:val="pt-PT"/>
        </w:rPr>
      </w:pPr>
      <w:r w:rsidRPr="0041781D">
        <w:rPr>
          <w:rFonts w:ascii="Microsoft PhagsPa" w:eastAsia="Microsoft JhengHei UI" w:hAnsi="Microsoft PhagsPa"/>
          <w:b/>
          <w:bCs/>
          <w:color w:val="0195C7"/>
          <w:sz w:val="40"/>
          <w:szCs w:val="40"/>
          <w:lang w:val="pt-PT"/>
        </w:rPr>
        <w:t>8 custos a antecipar</w:t>
      </w:r>
    </w:p>
    <w:p w14:paraId="25697B2D" w14:textId="77777777" w:rsidR="00DF7F0D" w:rsidRDefault="00DF7F0D" w:rsidP="00DF7F0D">
      <w:pPr>
        <w:spacing w:after="240" w:line="360" w:lineRule="auto"/>
        <w:ind w:left="357"/>
        <w:jc w:val="both"/>
        <w:rPr>
          <w:rFonts w:ascii="Microsoft PhagsPa" w:eastAsia="Microsoft JhengHei UI" w:hAnsi="Microsoft PhagsPa"/>
          <w:sz w:val="22"/>
          <w:szCs w:val="22"/>
          <w:lang w:val="pt-PT"/>
        </w:rPr>
      </w:pPr>
    </w:p>
    <w:p w14:paraId="7F90F0B9" w14:textId="515DD7FE" w:rsidR="009F775E" w:rsidRPr="009F775E" w:rsidRDefault="009F775E" w:rsidP="009F775E">
      <w:pPr>
        <w:spacing w:after="240"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 xml:space="preserve">A entrada no ensino superior representa uma nova etapa para os estudantes e para as suas famílias. Quando a colocação implica mudar de cidade, </w:t>
      </w:r>
      <w:r>
        <w:rPr>
          <w:rFonts w:ascii="Microsoft PhagsPa" w:eastAsia="Microsoft JhengHei UI" w:hAnsi="Microsoft PhagsPa"/>
          <w:sz w:val="22"/>
          <w:szCs w:val="22"/>
          <w:lang w:val="pt-PT"/>
        </w:rPr>
        <w:t xml:space="preserve">juntam-se </w:t>
      </w:r>
      <w:r w:rsidRPr="009F775E">
        <w:rPr>
          <w:rFonts w:ascii="Microsoft PhagsPa" w:eastAsia="Microsoft JhengHei UI" w:hAnsi="Microsoft PhagsPa"/>
          <w:sz w:val="22"/>
          <w:szCs w:val="22"/>
          <w:lang w:val="pt-PT"/>
        </w:rPr>
        <w:t>à propina e aos materiais académicos despesas com alojamento, alimentação, transportes e instalação que podem pesar significativamente no orçamento familiar.</w:t>
      </w:r>
    </w:p>
    <w:p w14:paraId="3EAAAF45" w14:textId="5F642651" w:rsidR="009F775E" w:rsidRPr="009F775E" w:rsidRDefault="009F775E" w:rsidP="009F775E">
      <w:pPr>
        <w:spacing w:after="240"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Além dos encargos mensais, existem custos que surgem ainda antes da primeira aula, como a caução, as rendas antecipadas, a mudança, a</w:t>
      </w:r>
      <w:r>
        <w:rPr>
          <w:rFonts w:ascii="Microsoft PhagsPa" w:eastAsia="Microsoft JhengHei UI" w:hAnsi="Microsoft PhagsPa"/>
          <w:sz w:val="22"/>
          <w:szCs w:val="22"/>
          <w:lang w:val="pt-PT"/>
        </w:rPr>
        <w:t>s</w:t>
      </w:r>
      <w:r w:rsidRPr="009F775E">
        <w:rPr>
          <w:rFonts w:ascii="Microsoft PhagsPa" w:eastAsia="Microsoft JhengHei UI" w:hAnsi="Microsoft PhagsPa"/>
          <w:sz w:val="22"/>
          <w:szCs w:val="22"/>
          <w:lang w:val="pt-PT"/>
        </w:rPr>
        <w:t xml:space="preserve"> compra</w:t>
      </w:r>
      <w:r w:rsidR="00F5109A">
        <w:rPr>
          <w:rFonts w:ascii="Microsoft PhagsPa" w:eastAsia="Microsoft JhengHei UI" w:hAnsi="Microsoft PhagsPa"/>
          <w:sz w:val="22"/>
          <w:szCs w:val="22"/>
          <w:lang w:val="pt-PT"/>
        </w:rPr>
        <w:t>s</w:t>
      </w:r>
      <w:r w:rsidRPr="009F775E">
        <w:rPr>
          <w:rFonts w:ascii="Microsoft PhagsPa" w:eastAsia="Microsoft JhengHei UI" w:hAnsi="Microsoft PhagsPa"/>
          <w:sz w:val="22"/>
          <w:szCs w:val="22"/>
          <w:lang w:val="pt-PT"/>
        </w:rPr>
        <w:t xml:space="preserve"> </w:t>
      </w:r>
      <w:r>
        <w:rPr>
          <w:rFonts w:ascii="Microsoft PhagsPa" w:eastAsia="Microsoft JhengHei UI" w:hAnsi="Microsoft PhagsPa"/>
          <w:sz w:val="22"/>
          <w:szCs w:val="22"/>
          <w:lang w:val="pt-PT"/>
        </w:rPr>
        <w:t>para a casa</w:t>
      </w:r>
      <w:r w:rsidRPr="009F775E">
        <w:rPr>
          <w:rFonts w:ascii="Microsoft PhagsPa" w:eastAsia="Microsoft JhengHei UI" w:hAnsi="Microsoft PhagsPa"/>
          <w:sz w:val="22"/>
          <w:szCs w:val="22"/>
          <w:lang w:val="pt-PT"/>
        </w:rPr>
        <w:t xml:space="preserve"> ou a aquisição de equipamentos informáticos. Por isso, preparar esta transição exige um planeamento que considere todo o ano letivo e não apenas o primeiro mês.</w:t>
      </w:r>
    </w:p>
    <w:p w14:paraId="26AA7420" w14:textId="0CADFF18" w:rsidR="002F5B37" w:rsidRDefault="00D763C9" w:rsidP="00D763C9">
      <w:pPr>
        <w:spacing w:after="240" w:line="360" w:lineRule="auto"/>
        <w:ind w:left="357"/>
        <w:jc w:val="both"/>
        <w:rPr>
          <w:rFonts w:ascii="Microsoft PhagsPa" w:eastAsia="Microsoft JhengHei UI" w:hAnsi="Microsoft PhagsPa"/>
          <w:sz w:val="22"/>
          <w:szCs w:val="22"/>
          <w:lang w:val="pt-PT"/>
        </w:rPr>
      </w:pPr>
      <w:r w:rsidRPr="00D763C9">
        <w:rPr>
          <w:rFonts w:ascii="Microsoft PhagsPa" w:eastAsia="Microsoft JhengHei UI" w:hAnsi="Microsoft PhagsPa"/>
          <w:sz w:val="22"/>
          <w:szCs w:val="22"/>
          <w:lang w:val="pt-PT"/>
        </w:rPr>
        <w:t xml:space="preserve">A pensar </w:t>
      </w:r>
      <w:r w:rsidR="009F775E" w:rsidRPr="009F775E">
        <w:rPr>
          <w:rFonts w:ascii="Microsoft PhagsPa" w:eastAsia="Microsoft JhengHei UI" w:hAnsi="Microsoft PhagsPa"/>
          <w:sz w:val="22"/>
          <w:szCs w:val="22"/>
          <w:lang w:val="pt-PT"/>
        </w:rPr>
        <w:t>nas famílias com filhos colocados longe de casa</w:t>
      </w:r>
      <w:r w:rsidR="00BD2929">
        <w:rPr>
          <w:rFonts w:ascii="Microsoft PhagsPa" w:eastAsia="Microsoft JhengHei UI" w:hAnsi="Microsoft PhagsPa"/>
          <w:sz w:val="22"/>
          <w:szCs w:val="22"/>
          <w:lang w:val="pt-PT"/>
        </w:rPr>
        <w:t xml:space="preserve">, </w:t>
      </w:r>
      <w:r w:rsidRPr="00D763C9">
        <w:rPr>
          <w:rFonts w:ascii="Microsoft PhagsPa" w:eastAsia="Microsoft JhengHei UI" w:hAnsi="Microsoft PhagsPa"/>
          <w:sz w:val="22"/>
          <w:szCs w:val="22"/>
          <w:lang w:val="pt-PT"/>
        </w:rPr>
        <w:t xml:space="preserve">o </w:t>
      </w:r>
      <w:hyperlink r:id="rId10" w:history="1">
        <w:r w:rsidRPr="00D763C9">
          <w:rPr>
            <w:rStyle w:val="Hiperligao"/>
            <w:rFonts w:ascii="Microsoft PhagsPa" w:eastAsia="Microsoft JhengHei UI" w:hAnsi="Microsoft PhagsPa"/>
            <w:sz w:val="22"/>
            <w:szCs w:val="22"/>
            <w:lang w:val="pt-PT"/>
          </w:rPr>
          <w:t>Doutor Finanças</w:t>
        </w:r>
      </w:hyperlink>
      <w:r w:rsidRPr="00D763C9">
        <w:rPr>
          <w:rFonts w:ascii="Microsoft PhagsPa" w:eastAsia="Microsoft JhengHei UI" w:hAnsi="Microsoft PhagsPa"/>
          <w:sz w:val="22"/>
          <w:szCs w:val="22"/>
          <w:lang w:val="pt-PT"/>
        </w:rPr>
        <w:t xml:space="preserve"> </w:t>
      </w:r>
      <w:r w:rsidR="009F775E" w:rsidRPr="009F775E">
        <w:rPr>
          <w:rFonts w:ascii="Microsoft PhagsPa" w:eastAsia="Microsoft JhengHei UI" w:hAnsi="Microsoft PhagsPa"/>
          <w:sz w:val="22"/>
          <w:szCs w:val="22"/>
          <w:lang w:val="pt-PT"/>
        </w:rPr>
        <w:t xml:space="preserve">reuniu oito </w:t>
      </w:r>
      <w:r w:rsidR="00F2610C">
        <w:rPr>
          <w:rFonts w:ascii="Microsoft PhagsPa" w:eastAsia="Microsoft JhengHei UI" w:hAnsi="Microsoft PhagsPa"/>
          <w:sz w:val="22"/>
          <w:szCs w:val="22"/>
          <w:lang w:val="pt-PT"/>
        </w:rPr>
        <w:t>questões</w:t>
      </w:r>
      <w:r w:rsidR="009F775E" w:rsidRPr="009F775E">
        <w:rPr>
          <w:rFonts w:ascii="Microsoft PhagsPa" w:eastAsia="Microsoft JhengHei UI" w:hAnsi="Microsoft PhagsPa"/>
          <w:sz w:val="22"/>
          <w:szCs w:val="22"/>
          <w:lang w:val="pt-PT"/>
        </w:rPr>
        <w:t xml:space="preserve"> financeir</w:t>
      </w:r>
      <w:r w:rsidR="00F2610C">
        <w:rPr>
          <w:rFonts w:ascii="Microsoft PhagsPa" w:eastAsia="Microsoft JhengHei UI" w:hAnsi="Microsoft PhagsPa"/>
          <w:sz w:val="22"/>
          <w:szCs w:val="22"/>
          <w:lang w:val="pt-PT"/>
        </w:rPr>
        <w:t>a</w:t>
      </w:r>
      <w:r w:rsidR="009F775E" w:rsidRPr="009F775E">
        <w:rPr>
          <w:rFonts w:ascii="Microsoft PhagsPa" w:eastAsia="Microsoft JhengHei UI" w:hAnsi="Microsoft PhagsPa"/>
          <w:sz w:val="22"/>
          <w:szCs w:val="22"/>
          <w:lang w:val="pt-PT"/>
        </w:rPr>
        <w:t>s que devem ser considerad</w:t>
      </w:r>
      <w:r w:rsidR="00F2610C">
        <w:rPr>
          <w:rFonts w:ascii="Microsoft PhagsPa" w:eastAsia="Microsoft JhengHei UI" w:hAnsi="Microsoft PhagsPa"/>
          <w:sz w:val="22"/>
          <w:szCs w:val="22"/>
          <w:lang w:val="pt-PT"/>
        </w:rPr>
        <w:t>a</w:t>
      </w:r>
      <w:r w:rsidR="009F775E" w:rsidRPr="009F775E">
        <w:rPr>
          <w:rFonts w:ascii="Microsoft PhagsPa" w:eastAsia="Microsoft JhengHei UI" w:hAnsi="Microsoft PhagsPa"/>
          <w:sz w:val="22"/>
          <w:szCs w:val="22"/>
          <w:lang w:val="pt-PT"/>
        </w:rPr>
        <w:t>s antes do início das aulas</w:t>
      </w:r>
      <w:r w:rsidR="00BD2929" w:rsidRPr="00BD2929">
        <w:rPr>
          <w:rFonts w:ascii="Microsoft PhagsPa" w:eastAsia="Microsoft JhengHei UI" w:hAnsi="Microsoft PhagsPa"/>
          <w:sz w:val="22"/>
          <w:szCs w:val="22"/>
          <w:lang w:val="pt-PT"/>
        </w:rPr>
        <w:t>.</w:t>
      </w:r>
      <w:r w:rsidR="00CE7139" w:rsidRPr="00CE7139">
        <w:rPr>
          <w:rFonts w:ascii="Microsoft PhagsPa" w:eastAsia="Microsoft JhengHei UI" w:hAnsi="Microsoft PhagsPa"/>
          <w:sz w:val="22"/>
          <w:szCs w:val="22"/>
          <w:lang w:val="pt-PT"/>
        </w:rPr>
        <w:t xml:space="preserve"> </w:t>
      </w:r>
    </w:p>
    <w:p w14:paraId="3D20BE3B" w14:textId="3865E8EF" w:rsidR="00DC411D" w:rsidRPr="0014328B" w:rsidRDefault="009F775E" w:rsidP="0014328B">
      <w:pPr>
        <w:pStyle w:val="PargrafodaLista"/>
        <w:numPr>
          <w:ilvl w:val="0"/>
          <w:numId w:val="4"/>
        </w:numPr>
        <w:spacing w:after="240" w:line="360" w:lineRule="auto"/>
        <w:jc w:val="both"/>
        <w:rPr>
          <w:rFonts w:ascii="Microsoft PhagsPa" w:eastAsia="Microsoft JhengHei UI" w:hAnsi="Microsoft PhagsPa"/>
          <w:lang w:val="pt-PT"/>
        </w:rPr>
      </w:pPr>
      <w:r w:rsidRPr="009F775E">
        <w:rPr>
          <w:rFonts w:ascii="Microsoft PhagsPa" w:eastAsia="Microsoft JhengHei UI" w:hAnsi="Microsoft PhagsPa"/>
          <w:b/>
          <w:bCs/>
          <w:color w:val="0195C7"/>
          <w:lang w:val="pt-PT"/>
        </w:rPr>
        <w:t>Mapear todas as despesas antes de definir o orçamento</w:t>
      </w:r>
    </w:p>
    <w:p w14:paraId="1D9B24BE" w14:textId="69A4ECE6" w:rsidR="00D8477D" w:rsidRPr="00D8477D" w:rsidRDefault="009F775E" w:rsidP="009F775E">
      <w:pPr>
        <w:spacing w:after="240" w:line="360" w:lineRule="auto"/>
        <w:ind w:left="426"/>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O primeiro passo passa por identificar todos os custos associados à mudança e à frequência do ensino superior noutra cidade.</w:t>
      </w:r>
      <w:r>
        <w:rPr>
          <w:rFonts w:ascii="Microsoft PhagsPa" w:eastAsia="Microsoft JhengHei UI" w:hAnsi="Microsoft PhagsPa"/>
          <w:sz w:val="22"/>
          <w:szCs w:val="22"/>
          <w:lang w:val="pt-PT"/>
        </w:rPr>
        <w:t xml:space="preserve"> </w:t>
      </w:r>
      <w:r w:rsidRPr="009F775E">
        <w:rPr>
          <w:rFonts w:ascii="Microsoft PhagsPa" w:eastAsia="Microsoft JhengHei UI" w:hAnsi="Microsoft PhagsPa"/>
          <w:sz w:val="22"/>
          <w:szCs w:val="22"/>
          <w:lang w:val="pt-PT"/>
        </w:rPr>
        <w:t>Para facilitar este levantamento, as despesas podem ser divididas em cinco grupos: instalação, encargos mensais, custos académicos, gastos pessoais e despesas irregulares. Esta separação permite perceber quanto será necessário no início e qual será o esforço financeiro ao longo do ano.</w:t>
      </w:r>
    </w:p>
    <w:p w14:paraId="5BF07517" w14:textId="1A2DAC56" w:rsidR="0014328B" w:rsidRPr="00D763C9" w:rsidRDefault="009F775E" w:rsidP="0014328B">
      <w:pPr>
        <w:pStyle w:val="PargrafodaLista"/>
        <w:numPr>
          <w:ilvl w:val="0"/>
          <w:numId w:val="4"/>
        </w:numPr>
        <w:spacing w:after="240" w:line="360" w:lineRule="auto"/>
        <w:jc w:val="both"/>
        <w:rPr>
          <w:rFonts w:ascii="Microsoft PhagsPa" w:eastAsia="Microsoft JhengHei UI" w:hAnsi="Microsoft PhagsPa"/>
          <w:lang w:val="pt-PT"/>
        </w:rPr>
      </w:pPr>
      <w:r w:rsidRPr="009F775E">
        <w:rPr>
          <w:rFonts w:ascii="Microsoft PhagsPa" w:eastAsia="Microsoft JhengHei UI" w:hAnsi="Microsoft PhagsPa"/>
          <w:b/>
          <w:bCs/>
          <w:color w:val="0195C7"/>
          <w:lang w:val="pt-PT"/>
        </w:rPr>
        <w:t>Avaliar o custo total do alojamento</w:t>
      </w:r>
    </w:p>
    <w:p w14:paraId="2753D6E3" w14:textId="02BE982D" w:rsidR="009F775E" w:rsidRPr="009F775E"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A renda será, provavelmente, a maior despesa mensal, mas o preço anunciado não deve ser o único critério de decisão.</w:t>
      </w:r>
      <w:r>
        <w:rPr>
          <w:rFonts w:ascii="Microsoft PhagsPa" w:eastAsia="Microsoft JhengHei UI" w:hAnsi="Microsoft PhagsPa"/>
          <w:sz w:val="22"/>
          <w:szCs w:val="22"/>
          <w:lang w:val="pt-PT"/>
        </w:rPr>
        <w:t xml:space="preserve"> </w:t>
      </w:r>
      <w:r w:rsidRPr="009F775E">
        <w:rPr>
          <w:rFonts w:ascii="Microsoft PhagsPa" w:eastAsia="Microsoft JhengHei UI" w:hAnsi="Microsoft PhagsPa"/>
          <w:sz w:val="22"/>
          <w:szCs w:val="22"/>
          <w:lang w:val="pt-PT"/>
        </w:rPr>
        <w:t xml:space="preserve">Antes de escolher um quarto, uma residência ou uma casa partilhada, é importante perceber que despesas estão incluídas, se o contrato dura </w:t>
      </w:r>
      <w:r w:rsidRPr="009F775E">
        <w:rPr>
          <w:rFonts w:ascii="Microsoft PhagsPa" w:eastAsia="Microsoft JhengHei UI" w:hAnsi="Microsoft PhagsPa"/>
          <w:sz w:val="22"/>
          <w:szCs w:val="22"/>
          <w:lang w:val="pt-PT"/>
        </w:rPr>
        <w:lastRenderedPageBreak/>
        <w:t>10, 11 ou 12 meses, se o estudante pode permanecer no alojamento durante as férias e os exames e se existem encargos adicionais com eletricidade, água, gás, internet ou aquecimento.</w:t>
      </w:r>
    </w:p>
    <w:p w14:paraId="6E131A33" w14:textId="5BD67CB1" w:rsidR="002F5B37" w:rsidRPr="002F5B37"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A localização também deve ser ponderada. Um alojamento mais barato e distante da instituição de ensino pode implicar mais tempo em deslocações, vários meios de transporte ou custos adicionais que acabam por reduzir a poupança inicial.</w:t>
      </w:r>
    </w:p>
    <w:p w14:paraId="30C668C8" w14:textId="037442FD" w:rsidR="00963E08" w:rsidRPr="0014328B" w:rsidRDefault="0041781D" w:rsidP="00963E08">
      <w:pPr>
        <w:pStyle w:val="PargrafodaLista"/>
        <w:numPr>
          <w:ilvl w:val="0"/>
          <w:numId w:val="4"/>
        </w:numPr>
        <w:spacing w:after="240" w:line="360" w:lineRule="auto"/>
        <w:jc w:val="both"/>
        <w:rPr>
          <w:rFonts w:ascii="Microsoft PhagsPa" w:eastAsia="Microsoft JhengHei UI" w:hAnsi="Microsoft PhagsPa"/>
          <w:lang w:val="pt-PT"/>
        </w:rPr>
      </w:pPr>
      <w:r w:rsidRPr="0041781D">
        <w:rPr>
          <w:rFonts w:ascii="Microsoft PhagsPa" w:eastAsia="Microsoft JhengHei UI" w:hAnsi="Microsoft PhagsPa"/>
          <w:b/>
          <w:bCs/>
          <w:color w:val="0195C7"/>
          <w:lang w:val="pt-PT"/>
        </w:rPr>
        <w:t>Antecipar cauções e rendas iniciais</w:t>
      </w:r>
    </w:p>
    <w:p w14:paraId="6D427C48" w14:textId="77777777" w:rsidR="009F775E" w:rsidRPr="009F775E"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O início de um contrato de arrendamento pode exigir um esforço financeiro elevado. Por acordo escrito, o senhorio pode pedir até duas rendas antecipadas e uma caução correspondente a duas rendas.</w:t>
      </w:r>
    </w:p>
    <w:p w14:paraId="4236A080" w14:textId="08536A7B" w:rsidR="00D8477D" w:rsidRPr="00D8477D"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Antes de transferir qualquer valor, deve confirmar-se a identidade do senhorio ou da agência, visitar o imóvel ou solicitar uma videochamada em direto, exigir condições escritas e utilizar meios de pagamento rastreáveis. Também é aconselhável guardar o anúncio, o contrato, os comprovativos e fotografias do estado do imóvel.</w:t>
      </w:r>
      <w:r w:rsidR="00D8477D" w:rsidRPr="00D8477D">
        <w:rPr>
          <w:rFonts w:ascii="Microsoft PhagsPa" w:eastAsia="Microsoft JhengHei UI" w:hAnsi="Microsoft PhagsPa"/>
          <w:sz w:val="22"/>
          <w:szCs w:val="22"/>
          <w:lang w:val="pt-PT"/>
        </w:rPr>
        <w:t xml:space="preserve"> </w:t>
      </w:r>
    </w:p>
    <w:p w14:paraId="17D1A321" w14:textId="3DD7010E" w:rsidR="00753D12" w:rsidRPr="0014328B" w:rsidRDefault="0041781D" w:rsidP="00753D12">
      <w:pPr>
        <w:pStyle w:val="PargrafodaLista"/>
        <w:numPr>
          <w:ilvl w:val="0"/>
          <w:numId w:val="4"/>
        </w:numPr>
        <w:spacing w:after="240" w:line="360" w:lineRule="auto"/>
        <w:jc w:val="both"/>
        <w:rPr>
          <w:rFonts w:ascii="Microsoft PhagsPa" w:eastAsia="Microsoft JhengHei UI" w:hAnsi="Microsoft PhagsPa"/>
          <w:lang w:val="pt-PT"/>
        </w:rPr>
      </w:pPr>
      <w:r w:rsidRPr="0041781D">
        <w:rPr>
          <w:rFonts w:ascii="Microsoft PhagsPa" w:eastAsia="Microsoft JhengHei UI" w:hAnsi="Microsoft PhagsPa"/>
          <w:b/>
          <w:bCs/>
          <w:color w:val="0195C7"/>
          <w:lang w:val="pt-PT"/>
        </w:rPr>
        <w:t>Contabilizar todos os custos académicos</w:t>
      </w:r>
    </w:p>
    <w:p w14:paraId="653EEF4F" w14:textId="455407EE" w:rsidR="009F775E" w:rsidRPr="009F775E" w:rsidRDefault="0041781D" w:rsidP="009F775E">
      <w:pPr>
        <w:spacing w:line="360" w:lineRule="auto"/>
        <w:ind w:left="357"/>
        <w:jc w:val="both"/>
        <w:rPr>
          <w:rFonts w:ascii="Microsoft PhagsPa" w:eastAsia="Microsoft JhengHei UI" w:hAnsi="Microsoft PhagsPa"/>
          <w:sz w:val="22"/>
          <w:szCs w:val="22"/>
          <w:lang w:val="pt-PT"/>
        </w:rPr>
      </w:pPr>
      <w:r w:rsidRPr="0041781D">
        <w:rPr>
          <w:rFonts w:ascii="Microsoft PhagsPa" w:eastAsia="Microsoft JhengHei UI" w:hAnsi="Microsoft PhagsPa"/>
          <w:sz w:val="22"/>
          <w:szCs w:val="22"/>
          <w:lang w:val="pt-PT"/>
        </w:rPr>
        <w:t xml:space="preserve">A propina deve ser incluída no orçamento anual, mesmo quando é paga em prestações. Para 2026/2027, o valor máximo aplicável aos </w:t>
      </w:r>
      <w:proofErr w:type="spellStart"/>
      <w:r w:rsidRPr="0041781D">
        <w:rPr>
          <w:rFonts w:ascii="Microsoft PhagsPa" w:eastAsia="Microsoft JhengHei UI" w:hAnsi="Microsoft PhagsPa"/>
          <w:sz w:val="22"/>
          <w:szCs w:val="22"/>
          <w:lang w:val="pt-PT"/>
        </w:rPr>
        <w:t>CTeSP</w:t>
      </w:r>
      <w:proofErr w:type="spellEnd"/>
      <w:r w:rsidRPr="0041781D">
        <w:rPr>
          <w:rFonts w:ascii="Microsoft PhagsPa" w:eastAsia="Microsoft JhengHei UI" w:hAnsi="Microsoft PhagsPa"/>
          <w:sz w:val="22"/>
          <w:szCs w:val="22"/>
          <w:lang w:val="pt-PT"/>
        </w:rPr>
        <w:t xml:space="preserve">, licenciaturas e mestrados integrados </w:t>
      </w:r>
      <w:r>
        <w:rPr>
          <w:rFonts w:ascii="Microsoft PhagsPa" w:eastAsia="Microsoft JhengHei UI" w:hAnsi="Microsoft PhagsPa"/>
          <w:sz w:val="22"/>
          <w:szCs w:val="22"/>
          <w:lang w:val="pt-PT"/>
        </w:rPr>
        <w:t>em instituições de ensino superior públicas</w:t>
      </w:r>
      <w:r w:rsidRPr="0041781D">
        <w:rPr>
          <w:rFonts w:ascii="Microsoft PhagsPa" w:eastAsia="Microsoft JhengHei UI" w:hAnsi="Microsoft PhagsPa"/>
          <w:sz w:val="22"/>
          <w:szCs w:val="22"/>
          <w:lang w:val="pt-PT"/>
        </w:rPr>
        <w:t xml:space="preserve"> mantém-se nos 697 euros</w:t>
      </w:r>
      <w:r w:rsidR="009F775E" w:rsidRPr="009F775E">
        <w:rPr>
          <w:rFonts w:ascii="Microsoft PhagsPa" w:eastAsia="Microsoft JhengHei UI" w:hAnsi="Microsoft PhagsPa"/>
          <w:sz w:val="22"/>
          <w:szCs w:val="22"/>
          <w:lang w:val="pt-PT"/>
        </w:rPr>
        <w:t>.</w:t>
      </w:r>
      <w:r w:rsidR="009F775E">
        <w:rPr>
          <w:rFonts w:ascii="Microsoft PhagsPa" w:eastAsia="Microsoft JhengHei UI" w:hAnsi="Microsoft PhagsPa"/>
          <w:sz w:val="22"/>
          <w:szCs w:val="22"/>
          <w:lang w:val="pt-PT"/>
        </w:rPr>
        <w:t xml:space="preserve"> </w:t>
      </w:r>
      <w:r w:rsidR="009F775E" w:rsidRPr="009F775E">
        <w:rPr>
          <w:rFonts w:ascii="Microsoft PhagsPa" w:eastAsia="Microsoft JhengHei UI" w:hAnsi="Microsoft PhagsPa"/>
          <w:sz w:val="22"/>
          <w:szCs w:val="22"/>
          <w:lang w:val="pt-PT"/>
        </w:rPr>
        <w:t>Nos restantes ciclos de estudo e no ensino privado, o valor deve ser confirmado diretamente junto da instituição.</w:t>
      </w:r>
    </w:p>
    <w:p w14:paraId="79A3D6FE" w14:textId="3B6EB16A" w:rsidR="00563C07" w:rsidRPr="00563C07" w:rsidRDefault="0041781D" w:rsidP="009F775E">
      <w:pPr>
        <w:spacing w:line="360" w:lineRule="auto"/>
        <w:ind w:left="357"/>
        <w:jc w:val="both"/>
        <w:rPr>
          <w:rFonts w:ascii="Microsoft PhagsPa" w:eastAsia="Microsoft JhengHei UI" w:hAnsi="Microsoft PhagsPa"/>
          <w:sz w:val="22"/>
          <w:szCs w:val="22"/>
          <w:lang w:val="pt-PT"/>
        </w:rPr>
      </w:pPr>
      <w:r w:rsidRPr="0041781D">
        <w:rPr>
          <w:rFonts w:ascii="Microsoft PhagsPa" w:eastAsia="Microsoft JhengHei UI" w:hAnsi="Microsoft PhagsPa"/>
          <w:sz w:val="22"/>
          <w:szCs w:val="22"/>
          <w:lang w:val="pt-PT"/>
        </w:rPr>
        <w:t>Também devem ser considerados custos com matrícula, livros, software e outros materiais obrigatórios. Antes de comprar, é aconselhável aguardar pelas indicações dos docentes e verificar alternativas como bibliotecas, formatos digitais ou equipamentos disponibilizados pela instituição.</w:t>
      </w:r>
    </w:p>
    <w:p w14:paraId="7C95BADF" w14:textId="151F2B5D" w:rsidR="00563C07" w:rsidRPr="009E5BCE" w:rsidRDefault="009F775E" w:rsidP="00753D12">
      <w:pPr>
        <w:pStyle w:val="PargrafodaLista"/>
        <w:numPr>
          <w:ilvl w:val="0"/>
          <w:numId w:val="4"/>
        </w:numPr>
        <w:spacing w:after="240" w:line="360" w:lineRule="auto"/>
        <w:jc w:val="both"/>
        <w:rPr>
          <w:rFonts w:ascii="Microsoft PhagsPa" w:eastAsia="Microsoft JhengHei UI" w:hAnsi="Microsoft PhagsPa"/>
          <w:lang w:val="pt-PT"/>
        </w:rPr>
      </w:pPr>
      <w:r w:rsidRPr="009F775E">
        <w:rPr>
          <w:rFonts w:ascii="Microsoft PhagsPa" w:eastAsia="Microsoft JhengHei UI" w:hAnsi="Microsoft PhagsPa"/>
          <w:b/>
          <w:bCs/>
          <w:color w:val="0195C7"/>
          <w:lang w:val="pt-PT"/>
        </w:rPr>
        <w:t>Confirmar as necessidades informáticas antes de comprar</w:t>
      </w:r>
    </w:p>
    <w:p w14:paraId="323139F7" w14:textId="142E58B7" w:rsidR="009F775E" w:rsidRPr="009F775E"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lastRenderedPageBreak/>
        <w:t>Um computador pode representar um dos maiores custos iniciais, sobretudo em cursos que exigem programas ou características técnicas específicas.</w:t>
      </w:r>
      <w:r>
        <w:rPr>
          <w:rFonts w:ascii="Microsoft PhagsPa" w:eastAsia="Microsoft JhengHei UI" w:hAnsi="Microsoft PhagsPa"/>
          <w:sz w:val="22"/>
          <w:szCs w:val="22"/>
          <w:lang w:val="pt-PT"/>
        </w:rPr>
        <w:t xml:space="preserve"> </w:t>
      </w:r>
      <w:r w:rsidRPr="009F775E">
        <w:rPr>
          <w:rFonts w:ascii="Microsoft PhagsPa" w:eastAsia="Microsoft JhengHei UI" w:hAnsi="Microsoft PhagsPa"/>
          <w:sz w:val="22"/>
          <w:szCs w:val="22"/>
          <w:lang w:val="pt-PT"/>
        </w:rPr>
        <w:t>Antes da compra, é importante confirmar junto da instituição quais são os requisitos relativos ao sistema operativo, memória, armazenamento, placa gráfica e software obrigatório.</w:t>
      </w:r>
    </w:p>
    <w:p w14:paraId="2D96498E" w14:textId="26872238" w:rsidR="00CE7139"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Também deve verificar-se se existem laboratórios, licenças académicas ou equipamentos disponíveis para empréstimo. Esta análise pode evitar uma compra desnecessária ou a aquisição de um equipamento que não responda às necessidades do curso.</w:t>
      </w:r>
    </w:p>
    <w:p w14:paraId="377D02DC" w14:textId="6A04EA1D" w:rsidR="00BD2929" w:rsidRPr="009E5BCE" w:rsidRDefault="00D862C6" w:rsidP="00BD2929">
      <w:pPr>
        <w:pStyle w:val="PargrafodaLista"/>
        <w:numPr>
          <w:ilvl w:val="0"/>
          <w:numId w:val="4"/>
        </w:numPr>
        <w:spacing w:after="240" w:line="360" w:lineRule="auto"/>
        <w:jc w:val="both"/>
        <w:rPr>
          <w:rFonts w:ascii="Microsoft PhagsPa" w:eastAsia="Microsoft JhengHei UI" w:hAnsi="Microsoft PhagsPa"/>
          <w:lang w:val="pt-PT"/>
        </w:rPr>
      </w:pPr>
      <w:r>
        <w:rPr>
          <w:rFonts w:ascii="Microsoft PhagsPa" w:eastAsia="Microsoft JhengHei UI" w:hAnsi="Microsoft PhagsPa"/>
          <w:b/>
          <w:bCs/>
          <w:color w:val="0195C7"/>
          <w:lang w:val="pt-PT"/>
        </w:rPr>
        <w:t>Calcular</w:t>
      </w:r>
      <w:r w:rsidRPr="00D862C6">
        <w:rPr>
          <w:rFonts w:ascii="Microsoft PhagsPa" w:eastAsia="Microsoft JhengHei UI" w:hAnsi="Microsoft PhagsPa"/>
          <w:b/>
          <w:bCs/>
          <w:color w:val="0195C7"/>
          <w:lang w:val="pt-PT"/>
        </w:rPr>
        <w:t xml:space="preserve"> os custos com alimentação e deslocações</w:t>
      </w:r>
    </w:p>
    <w:p w14:paraId="2B303260" w14:textId="77777777" w:rsidR="009F775E" w:rsidRPr="009F775E"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A estimativa das despesas com alimentação deve considerar as refeições feitas no alojamento, na cantina e fora de casa. É igualmente importante consultar os preços e os horários das cantinas, incluindo a disponibilidade de refeições ao jantar e aos fins de semana.</w:t>
      </w:r>
    </w:p>
    <w:p w14:paraId="51E38936" w14:textId="07C4ED38" w:rsidR="00BD2929"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Nos transportes, devem ser contabilizadas as deslocações diárias na cidade universitária e as viagens entre a universidade e a residência da família.</w:t>
      </w:r>
      <w:r>
        <w:rPr>
          <w:rFonts w:ascii="Microsoft PhagsPa" w:eastAsia="Microsoft JhengHei UI" w:hAnsi="Microsoft PhagsPa"/>
          <w:sz w:val="22"/>
          <w:szCs w:val="22"/>
          <w:lang w:val="pt-PT"/>
        </w:rPr>
        <w:t xml:space="preserve"> </w:t>
      </w:r>
      <w:r w:rsidRPr="009F775E">
        <w:rPr>
          <w:rFonts w:ascii="Microsoft PhagsPa" w:eastAsia="Microsoft JhengHei UI" w:hAnsi="Microsoft PhagsPa"/>
          <w:sz w:val="22"/>
          <w:szCs w:val="22"/>
          <w:lang w:val="pt-PT"/>
        </w:rPr>
        <w:t>O Passe Gratuito para Jovens pode abranger algumas destas deslocações, mas a gratuitidade não significa necessariamente que todas as viagens a casa estejam incluídas. Por isso, devem ser confirmadas as ligações abrangidas e acrescentados ao orçamento eventuais bilhetes de comboio, autocarro, bagagem ou transportes noturnos.</w:t>
      </w:r>
    </w:p>
    <w:p w14:paraId="2113CDE9" w14:textId="6901F6E8" w:rsidR="00BD2929" w:rsidRPr="009E5BCE" w:rsidRDefault="009F775E" w:rsidP="00BD2929">
      <w:pPr>
        <w:pStyle w:val="PargrafodaLista"/>
        <w:numPr>
          <w:ilvl w:val="0"/>
          <w:numId w:val="4"/>
        </w:numPr>
        <w:spacing w:after="240" w:line="360" w:lineRule="auto"/>
        <w:jc w:val="both"/>
        <w:rPr>
          <w:rFonts w:ascii="Microsoft PhagsPa" w:eastAsia="Microsoft JhengHei UI" w:hAnsi="Microsoft PhagsPa"/>
          <w:lang w:val="pt-PT"/>
        </w:rPr>
      </w:pPr>
      <w:r w:rsidRPr="009F775E">
        <w:rPr>
          <w:rFonts w:ascii="Microsoft PhagsPa" w:eastAsia="Microsoft JhengHei UI" w:hAnsi="Microsoft PhagsPa"/>
          <w:b/>
          <w:bCs/>
          <w:color w:val="0195C7"/>
          <w:lang w:val="pt-PT"/>
        </w:rPr>
        <w:t>Procurar bolsas, apoios e benefícios fiscais</w:t>
      </w:r>
    </w:p>
    <w:p w14:paraId="10C6BF1D" w14:textId="77777777" w:rsidR="009F775E" w:rsidRPr="009F775E"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As bolsas de estudo e os apoios ao alojamento podem ajudar a reduzir o esforço financeiro das famílias. A candidatura e os respetivos prazos devem ser confirmados junto da Direção-Geral do Ensino Superior ou dos Serviços de Ação Social da instituição.</w:t>
      </w:r>
    </w:p>
    <w:p w14:paraId="5E638B4A" w14:textId="77777777" w:rsidR="009F775E" w:rsidRPr="009F775E" w:rsidRDefault="009F775E" w:rsidP="009F775E">
      <w:pPr>
        <w:spacing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Também podem existir benefícios fiscais associados ao alojamento de estudantes deslocados. Quando o estudante tem até 25 anos e estuda a mais de 50 quilómetros da residência permanente do agregado familiar, pode ser possível deduzir 30% das rendas suportadas, até ao limite anual de 400 euros.</w:t>
      </w:r>
    </w:p>
    <w:p w14:paraId="0FCF2FB3" w14:textId="49C78CA6" w:rsidR="00BD2929" w:rsidRDefault="00CE20E1" w:rsidP="009F775E">
      <w:pPr>
        <w:spacing w:line="360" w:lineRule="auto"/>
        <w:ind w:left="357"/>
        <w:jc w:val="both"/>
        <w:rPr>
          <w:rFonts w:ascii="Microsoft PhagsPa" w:eastAsia="Microsoft JhengHei UI" w:hAnsi="Microsoft PhagsPa"/>
          <w:sz w:val="22"/>
          <w:szCs w:val="22"/>
          <w:lang w:val="pt-PT"/>
        </w:rPr>
      </w:pPr>
      <w:r w:rsidRPr="00CE20E1">
        <w:rPr>
          <w:rFonts w:ascii="Microsoft PhagsPa" w:eastAsia="Microsoft JhengHei UI" w:hAnsi="Microsoft PhagsPa"/>
          <w:sz w:val="22"/>
          <w:szCs w:val="22"/>
          <w:lang w:val="pt-PT"/>
        </w:rPr>
        <w:lastRenderedPageBreak/>
        <w:t>Nestes casos, o limite global das deduções de despesas de educação no IRS pode aumentar de 800 para 1.100 euros.</w:t>
      </w:r>
      <w:r w:rsidR="009F775E" w:rsidRPr="009F775E">
        <w:rPr>
          <w:rFonts w:ascii="Microsoft PhagsPa" w:eastAsia="Microsoft JhengHei UI" w:hAnsi="Microsoft PhagsPa"/>
          <w:sz w:val="22"/>
          <w:szCs w:val="22"/>
          <w:lang w:val="pt-PT"/>
        </w:rPr>
        <w:t xml:space="preserve"> Para beneficiar desta dedução, os documentos devem identificar o arrendamento como destinado a estudante deslocado e a informação deve ser corretamente comunicada à Autoridade Tributária.</w:t>
      </w:r>
    </w:p>
    <w:p w14:paraId="1A65A784" w14:textId="375F4190" w:rsidR="00BD2929" w:rsidRPr="009E5BCE" w:rsidRDefault="009F775E" w:rsidP="00BD2929">
      <w:pPr>
        <w:pStyle w:val="PargrafodaLista"/>
        <w:numPr>
          <w:ilvl w:val="0"/>
          <w:numId w:val="4"/>
        </w:numPr>
        <w:spacing w:after="240" w:line="360" w:lineRule="auto"/>
        <w:jc w:val="both"/>
        <w:rPr>
          <w:rFonts w:ascii="Microsoft PhagsPa" w:eastAsia="Microsoft JhengHei UI" w:hAnsi="Microsoft PhagsPa"/>
          <w:lang w:val="pt-PT"/>
        </w:rPr>
      </w:pPr>
      <w:r w:rsidRPr="009F775E">
        <w:rPr>
          <w:rFonts w:ascii="Microsoft PhagsPa" w:eastAsia="Microsoft JhengHei UI" w:hAnsi="Microsoft PhagsPa"/>
          <w:b/>
          <w:bCs/>
          <w:color w:val="0195C7"/>
          <w:lang w:val="pt-PT"/>
        </w:rPr>
        <w:t>Criar uma reserva e rever o orçamento após o primeiro mês</w:t>
      </w:r>
    </w:p>
    <w:p w14:paraId="3D9A768D" w14:textId="2BF63F5E" w:rsidR="008D2408" w:rsidRDefault="008D2408" w:rsidP="009F775E">
      <w:pPr>
        <w:spacing w:after="80" w:line="360" w:lineRule="auto"/>
        <w:ind w:left="357"/>
        <w:jc w:val="both"/>
        <w:rPr>
          <w:rFonts w:ascii="Microsoft PhagsPa" w:eastAsia="Microsoft JhengHei UI" w:hAnsi="Microsoft PhagsPa"/>
          <w:sz w:val="22"/>
          <w:szCs w:val="22"/>
          <w:lang w:val="pt-PT"/>
        </w:rPr>
      </w:pPr>
      <w:r w:rsidRPr="008D2408">
        <w:rPr>
          <w:rFonts w:ascii="Microsoft PhagsPa" w:eastAsia="Microsoft JhengHei UI" w:hAnsi="Microsoft PhagsPa"/>
          <w:sz w:val="22"/>
          <w:szCs w:val="22"/>
          <w:lang w:val="pt-PT"/>
        </w:rPr>
        <w:t>Além das despesas regulares, é importante prever uma verba para gastos pessoais e imprevistos, como</w:t>
      </w:r>
      <w:r>
        <w:rPr>
          <w:rFonts w:ascii="Microsoft PhagsPa" w:eastAsia="Microsoft JhengHei UI" w:hAnsi="Microsoft PhagsPa"/>
          <w:sz w:val="22"/>
          <w:szCs w:val="22"/>
          <w:lang w:val="pt-PT"/>
        </w:rPr>
        <w:t xml:space="preserve"> higiene, lazer,</w:t>
      </w:r>
      <w:r w:rsidRPr="008D2408">
        <w:rPr>
          <w:rFonts w:ascii="Microsoft PhagsPa" w:eastAsia="Microsoft JhengHei UI" w:hAnsi="Microsoft PhagsPa"/>
          <w:sz w:val="22"/>
          <w:szCs w:val="22"/>
          <w:lang w:val="pt-PT"/>
        </w:rPr>
        <w:t xml:space="preserve"> medicamentos, reparações ou viagens urgentes. Excluir estas despesas pode levar o estudante a utilizar dinheiro destinado à renda ou à alimentação.</w:t>
      </w:r>
    </w:p>
    <w:p w14:paraId="54DF35F7" w14:textId="77777777" w:rsidR="009F775E" w:rsidRPr="009F775E" w:rsidRDefault="009F775E" w:rsidP="009F775E">
      <w:pPr>
        <w:spacing w:after="80"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O orçamento deve ser revisto após o primeiro mês de aulas. Esse período permitirá perceber quanto é efetivamente gasto em alimentação, deslocações, lazer e outras despesas pessoais, ajustando os limites definidos sem comprometer o pagamento do alojamento ou a reserva para imprevistos.</w:t>
      </w:r>
    </w:p>
    <w:p w14:paraId="03B52781" w14:textId="1BA7EF63" w:rsidR="00BD2929" w:rsidRPr="00BD2929" w:rsidRDefault="009F775E" w:rsidP="009F775E">
      <w:pPr>
        <w:spacing w:after="80" w:line="360" w:lineRule="auto"/>
        <w:ind w:left="357"/>
        <w:jc w:val="both"/>
        <w:rPr>
          <w:rFonts w:ascii="Microsoft PhagsPa" w:eastAsia="Microsoft JhengHei UI" w:hAnsi="Microsoft PhagsPa"/>
          <w:sz w:val="22"/>
          <w:szCs w:val="22"/>
          <w:lang w:val="pt-PT"/>
        </w:rPr>
      </w:pPr>
      <w:r w:rsidRPr="009F775E">
        <w:rPr>
          <w:rFonts w:ascii="Microsoft PhagsPa" w:eastAsia="Microsoft JhengHei UI" w:hAnsi="Microsoft PhagsPa"/>
          <w:sz w:val="22"/>
          <w:szCs w:val="22"/>
          <w:lang w:val="pt-PT"/>
        </w:rPr>
        <w:t xml:space="preserve">O artigo completo </w:t>
      </w:r>
      <w:hyperlink r:id="rId11" w:history="1">
        <w:r w:rsidRPr="00384525">
          <w:rPr>
            <w:rStyle w:val="Hiperligao"/>
            <w:rFonts w:ascii="Microsoft PhagsPa" w:eastAsia="Microsoft JhengHei UI" w:hAnsi="Microsoft PhagsPa"/>
            <w:sz w:val="22"/>
            <w:szCs w:val="22"/>
            <w:lang w:val="pt-PT"/>
          </w:rPr>
          <w:t>“O seu filho ficou colocado longe de casa? O que deve considerar?”</w:t>
        </w:r>
      </w:hyperlink>
      <w:r w:rsidRPr="009F775E">
        <w:rPr>
          <w:rFonts w:ascii="Microsoft PhagsPa" w:eastAsia="Microsoft JhengHei UI" w:hAnsi="Microsoft PhagsPa"/>
          <w:sz w:val="22"/>
          <w:szCs w:val="22"/>
          <w:lang w:val="pt-PT"/>
        </w:rPr>
        <w:t xml:space="preserve"> está disponível no portal do Doutor Finanças, com informação detalhada sobre alojamento, cauções, propinas, alimentação, transportes, equipamentos, bolsas de estudo, benefícios fiscais e preparação do orçamento para todo o ano letivo.</w:t>
      </w:r>
    </w:p>
    <w:p w14:paraId="5133A02D" w14:textId="77777777" w:rsidR="00D249E0" w:rsidRDefault="00D249E0" w:rsidP="00324ABF">
      <w:pPr>
        <w:spacing w:after="80" w:line="360" w:lineRule="auto"/>
        <w:ind w:left="357"/>
        <w:jc w:val="both"/>
        <w:rPr>
          <w:rFonts w:ascii="Microsoft PhagsPa" w:eastAsia="Microsoft JhengHei UI" w:hAnsi="Microsoft PhagsPa"/>
          <w:b/>
          <w:bCs/>
          <w:color w:val="0195C7"/>
          <w:sz w:val="18"/>
          <w:szCs w:val="18"/>
          <w:lang w:val="pt-PT"/>
        </w:rPr>
      </w:pPr>
    </w:p>
    <w:p w14:paraId="62776A1C" w14:textId="6CE361E7" w:rsidR="002E2AE9" w:rsidRPr="002E2AE9" w:rsidRDefault="002E2AE9" w:rsidP="002E2AE9">
      <w:pPr>
        <w:spacing w:after="80" w:line="360" w:lineRule="auto"/>
        <w:ind w:left="357"/>
        <w:jc w:val="both"/>
        <w:rPr>
          <w:rFonts w:ascii="Microsoft PhagsPa" w:eastAsia="Microsoft JhengHei UI" w:hAnsi="Microsoft PhagsPa"/>
          <w:b/>
          <w:bCs/>
          <w:color w:val="0195C7"/>
          <w:sz w:val="18"/>
          <w:szCs w:val="18"/>
          <w:lang w:val="pt-PT"/>
        </w:rPr>
      </w:pPr>
      <w:r w:rsidRPr="002E2AE9">
        <w:rPr>
          <w:rFonts w:ascii="Microsoft PhagsPa" w:eastAsia="Microsoft JhengHei UI" w:hAnsi="Microsoft PhagsPa"/>
          <w:b/>
          <w:bCs/>
          <w:color w:val="0195C7"/>
          <w:sz w:val="18"/>
          <w:szCs w:val="18"/>
          <w:lang w:val="pt-PT"/>
        </w:rPr>
        <w:t>Sobre o Doutor Finanças</w:t>
      </w:r>
    </w:p>
    <w:p w14:paraId="51644796"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O Doutor Finanças é uma </w:t>
      </w:r>
      <w:proofErr w:type="spellStart"/>
      <w:r w:rsidRPr="006C15EC">
        <w:rPr>
          <w:rFonts w:ascii="Microsoft PhagsPa" w:eastAsia="Microsoft JhengHei UI" w:hAnsi="Microsoft PhagsPa"/>
          <w:color w:val="404040" w:themeColor="text1" w:themeTint="BF"/>
          <w:sz w:val="18"/>
          <w:szCs w:val="18"/>
          <w:lang w:val="pt-PT"/>
        </w:rPr>
        <w:t>fintech</w:t>
      </w:r>
      <w:proofErr w:type="spellEnd"/>
      <w:r w:rsidRPr="006C15EC">
        <w:rPr>
          <w:rFonts w:ascii="Microsoft PhagsPa" w:eastAsia="Microsoft JhengHei UI" w:hAnsi="Microsoft PhagsPa"/>
          <w:color w:val="404040" w:themeColor="text1" w:themeTint="BF"/>
          <w:sz w:val="18"/>
          <w:szCs w:val="18"/>
          <w:lang w:val="pt-PT"/>
        </w:rPr>
        <w:t xml:space="preserve"> especializada na área do bem-estar financeiro, que ajuda as pessoas a tomar melhores decisões financeiras sobre crédito habitação, crédito pessoal e seguros. No mercado desde 2014, faz a ligação entre clientes e instituições financeiras, oferecendo análise, negociação e acompanhamento sem custos. O especialista fechou 2025 com um volume de negócios de 24 milhões de euros, num ano em que foi responsável por 748 milhões de euros em crédito habitação e por mais de 14 mil apólices de seguros, tendo ajudado mais de 200 mil pessoas, através da melhoria das suas condições financeiras. </w:t>
      </w:r>
    </w:p>
    <w:p w14:paraId="0F1B1A64"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Além disso, disponibiliza um portal com 16 milhões de visitas, onde são disponibilizados conteúdos para promover uma vida financeira saudável, bem como uma academia de formação especializada responsável por capacitar, em 2024, mais de 20 mil portugueses em finanças pessoais. </w:t>
      </w:r>
    </w:p>
    <w:p w14:paraId="1DD01A17" w14:textId="77777777" w:rsidR="006C15EC" w:rsidRPr="006C15EC"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lastRenderedPageBreak/>
        <w:t xml:space="preserve">O Doutor Finanças conta com uma equipa com mais de 700 colaboradores, dos quais mais de 420 são especialistas focados na rede de lojas espalhadas de norte a sul do país, incluindo ilhas. O Doutor Finanças destaca-se como uma </w:t>
      </w:r>
      <w:proofErr w:type="spellStart"/>
      <w:r w:rsidRPr="006C15EC">
        <w:rPr>
          <w:rFonts w:ascii="Microsoft PhagsPa" w:eastAsia="Microsoft JhengHei UI" w:hAnsi="Microsoft PhagsPa"/>
          <w:color w:val="404040" w:themeColor="text1" w:themeTint="BF"/>
          <w:sz w:val="18"/>
          <w:szCs w:val="18"/>
          <w:lang w:val="pt-PT"/>
        </w:rPr>
        <w:t>Fintech</w:t>
      </w:r>
      <w:proofErr w:type="spellEnd"/>
      <w:r w:rsidRPr="006C15EC">
        <w:rPr>
          <w:rFonts w:ascii="Microsoft PhagsPa" w:eastAsia="Microsoft JhengHei UI" w:hAnsi="Microsoft PhagsPa"/>
          <w:color w:val="404040" w:themeColor="text1" w:themeTint="BF"/>
          <w:sz w:val="18"/>
          <w:szCs w:val="18"/>
          <w:lang w:val="pt-PT"/>
        </w:rPr>
        <w:t xml:space="preserve"> de referência, tendo sido reconhecida no </w:t>
      </w:r>
      <w:proofErr w:type="spellStart"/>
      <w:r w:rsidRPr="006C15EC">
        <w:rPr>
          <w:rFonts w:ascii="Microsoft PhagsPa" w:eastAsia="Microsoft JhengHei UI" w:hAnsi="Microsoft PhagsPa"/>
          <w:color w:val="404040" w:themeColor="text1" w:themeTint="BF"/>
          <w:sz w:val="18"/>
          <w:szCs w:val="18"/>
          <w:lang w:val="pt-PT"/>
        </w:rPr>
        <w:t>Technology</w:t>
      </w:r>
      <w:proofErr w:type="spellEnd"/>
      <w:r w:rsidRPr="006C15EC">
        <w:rPr>
          <w:rFonts w:ascii="Microsoft PhagsPa" w:eastAsia="Microsoft JhengHei UI" w:hAnsi="Microsoft PhagsPa"/>
          <w:color w:val="404040" w:themeColor="text1" w:themeTint="BF"/>
          <w:sz w:val="18"/>
          <w:szCs w:val="18"/>
          <w:lang w:val="pt-PT"/>
        </w:rPr>
        <w:t xml:space="preserve"> Fast 50 da </w:t>
      </w:r>
      <w:proofErr w:type="spellStart"/>
      <w:r w:rsidRPr="006C15EC">
        <w:rPr>
          <w:rFonts w:ascii="Microsoft PhagsPa" w:eastAsia="Microsoft JhengHei UI" w:hAnsi="Microsoft PhagsPa"/>
          <w:color w:val="404040" w:themeColor="text1" w:themeTint="BF"/>
          <w:sz w:val="18"/>
          <w:szCs w:val="18"/>
          <w:lang w:val="pt-PT"/>
        </w:rPr>
        <w:t>Deloitte</w:t>
      </w:r>
      <w:proofErr w:type="spellEnd"/>
      <w:r w:rsidRPr="006C15EC">
        <w:rPr>
          <w:rFonts w:ascii="Microsoft PhagsPa" w:eastAsia="Microsoft JhengHei UI" w:hAnsi="Microsoft PhagsPa"/>
          <w:color w:val="404040" w:themeColor="text1" w:themeTint="BF"/>
          <w:sz w:val="18"/>
          <w:szCs w:val="18"/>
          <w:lang w:val="pt-PT"/>
        </w:rPr>
        <w:t xml:space="preserve">, distinguida como Great </w:t>
      </w:r>
      <w:proofErr w:type="spellStart"/>
      <w:r w:rsidRPr="006C15EC">
        <w:rPr>
          <w:rFonts w:ascii="Microsoft PhagsPa" w:eastAsia="Microsoft JhengHei UI" w:hAnsi="Microsoft PhagsPa"/>
          <w:color w:val="404040" w:themeColor="text1" w:themeTint="BF"/>
          <w:sz w:val="18"/>
          <w:szCs w:val="18"/>
          <w:lang w:val="pt-PT"/>
        </w:rPr>
        <w:t>Place</w:t>
      </w:r>
      <w:proofErr w:type="spellEnd"/>
      <w:r w:rsidRPr="006C15EC">
        <w:rPr>
          <w:rFonts w:ascii="Microsoft PhagsPa" w:eastAsia="Microsoft JhengHei UI" w:hAnsi="Microsoft PhagsPa"/>
          <w:color w:val="404040" w:themeColor="text1" w:themeTint="BF"/>
          <w:sz w:val="18"/>
          <w:szCs w:val="18"/>
          <w:lang w:val="pt-PT"/>
        </w:rPr>
        <w:t xml:space="preserve"> to </w:t>
      </w:r>
      <w:proofErr w:type="spellStart"/>
      <w:r w:rsidRPr="006C15EC">
        <w:rPr>
          <w:rFonts w:ascii="Microsoft PhagsPa" w:eastAsia="Microsoft JhengHei UI" w:hAnsi="Microsoft PhagsPa"/>
          <w:color w:val="404040" w:themeColor="text1" w:themeTint="BF"/>
          <w:sz w:val="18"/>
          <w:szCs w:val="18"/>
          <w:lang w:val="pt-PT"/>
        </w:rPr>
        <w:t>Work</w:t>
      </w:r>
      <w:proofErr w:type="spellEnd"/>
      <w:r w:rsidRPr="006C15EC">
        <w:rPr>
          <w:rFonts w:ascii="Microsoft PhagsPa" w:eastAsia="Microsoft JhengHei UI" w:hAnsi="Microsoft PhagsPa"/>
          <w:color w:val="404040" w:themeColor="text1" w:themeTint="BF"/>
          <w:sz w:val="18"/>
          <w:szCs w:val="18"/>
          <w:lang w:val="pt-PT"/>
        </w:rPr>
        <w:t xml:space="preserve"> desde 2021 e com a sua Rede de franchising tendo sido galardoada com o 3º lugar enquanto marca de franchising emergente da Europa, pela Federação Europeia de Franchising.</w:t>
      </w:r>
    </w:p>
    <w:p w14:paraId="64F47BC8" w14:textId="19B7E0DD" w:rsidR="002E2AE9" w:rsidRPr="00515FFA" w:rsidRDefault="006C15EC" w:rsidP="006C15EC">
      <w:pPr>
        <w:spacing w:after="120" w:line="360" w:lineRule="auto"/>
        <w:ind w:left="357"/>
        <w:jc w:val="both"/>
        <w:rPr>
          <w:rFonts w:ascii="Microsoft PhagsPa" w:eastAsia="Microsoft JhengHei UI" w:hAnsi="Microsoft PhagsPa"/>
          <w:color w:val="404040" w:themeColor="text1" w:themeTint="BF"/>
          <w:sz w:val="18"/>
          <w:szCs w:val="18"/>
          <w:lang w:val="pt-PT"/>
        </w:rPr>
      </w:pPr>
      <w:r w:rsidRPr="006C15EC">
        <w:rPr>
          <w:rFonts w:ascii="Microsoft PhagsPa" w:eastAsia="Microsoft JhengHei UI" w:hAnsi="Microsoft PhagsPa"/>
          <w:color w:val="404040" w:themeColor="text1" w:themeTint="BF"/>
          <w:sz w:val="18"/>
          <w:szCs w:val="18"/>
          <w:lang w:val="pt-PT"/>
        </w:rPr>
        <w:t xml:space="preserve">É possível aceder aos serviços do Doutor Finanças através do seu portal e das 100 lojas espalhadas por todo o território nacional. Mais informação em: </w:t>
      </w:r>
      <w:hyperlink r:id="rId12" w:history="1">
        <w:r w:rsidRPr="00441286">
          <w:rPr>
            <w:rStyle w:val="Hiperligao"/>
            <w:rFonts w:ascii="Microsoft PhagsPa" w:eastAsia="Microsoft JhengHei UI" w:hAnsi="Microsoft PhagsPa"/>
            <w:sz w:val="18"/>
            <w:szCs w:val="18"/>
            <w:lang w:val="pt-PT"/>
          </w:rPr>
          <w:t>www.doutorfinancas.pt/sobre-doutor-financas/</w:t>
        </w:r>
      </w:hyperlink>
      <w:r>
        <w:rPr>
          <w:rFonts w:ascii="Microsoft PhagsPa" w:eastAsia="Microsoft JhengHei UI" w:hAnsi="Microsoft PhagsPa"/>
          <w:color w:val="404040" w:themeColor="text1" w:themeTint="BF"/>
          <w:sz w:val="18"/>
          <w:szCs w:val="18"/>
          <w:lang w:val="pt-PT"/>
        </w:rPr>
        <w:t xml:space="preserve"> </w:t>
      </w:r>
      <w:r w:rsidR="007A34B5" w:rsidRPr="007A34B5">
        <w:rPr>
          <w:rFonts w:ascii="Microsoft PhagsPa" w:eastAsia="Microsoft JhengHei UI" w:hAnsi="Microsoft PhagsPa"/>
          <w:color w:val="404040" w:themeColor="text1" w:themeTint="BF"/>
          <w:sz w:val="18"/>
          <w:szCs w:val="18"/>
          <w:lang w:val="pt-PT"/>
        </w:rPr>
        <w:t> </w:t>
      </w:r>
    </w:p>
    <w:p w14:paraId="392A25EA" w14:textId="77777777" w:rsidR="00515FFA" w:rsidRDefault="00515FFA" w:rsidP="002E2AE9">
      <w:pPr>
        <w:spacing w:after="80" w:line="360" w:lineRule="auto"/>
        <w:ind w:left="357"/>
        <w:jc w:val="both"/>
        <w:rPr>
          <w:rFonts w:ascii="Microsoft PhagsPa" w:eastAsia="Microsoft JhengHei UI" w:hAnsi="Microsoft PhagsPa"/>
          <w:b/>
          <w:bCs/>
          <w:color w:val="0195C7"/>
          <w:sz w:val="18"/>
          <w:szCs w:val="18"/>
          <w:lang w:val="pt-PT"/>
        </w:rPr>
      </w:pPr>
    </w:p>
    <w:p w14:paraId="3F255ABE" w14:textId="5B0064DC" w:rsidR="002E2AE9" w:rsidRPr="002E2AE9" w:rsidRDefault="002E2AE9" w:rsidP="002E2AE9">
      <w:pPr>
        <w:spacing w:after="80" w:line="360" w:lineRule="auto"/>
        <w:ind w:left="357"/>
        <w:jc w:val="both"/>
        <w:rPr>
          <w:rFonts w:ascii="Microsoft PhagsPa" w:eastAsia="Microsoft JhengHei UI" w:hAnsi="Microsoft PhagsPa"/>
          <w:b/>
          <w:bCs/>
          <w:color w:val="0195C7"/>
          <w:sz w:val="18"/>
          <w:szCs w:val="18"/>
          <w:lang w:val="pt-PT"/>
        </w:rPr>
      </w:pPr>
      <w:r w:rsidRPr="002E2AE9">
        <w:rPr>
          <w:rFonts w:ascii="Microsoft PhagsPa" w:eastAsia="Microsoft JhengHei UI" w:hAnsi="Microsoft PhagsPa"/>
          <w:b/>
          <w:bCs/>
          <w:color w:val="0195C7"/>
          <w:sz w:val="18"/>
          <w:szCs w:val="18"/>
          <w:lang w:val="pt-PT"/>
        </w:rPr>
        <w:t>Contactos para a Comunicação Social</w:t>
      </w:r>
    </w:p>
    <w:p w14:paraId="1B61C54D" w14:textId="534EF414" w:rsidR="002E2AE9" w:rsidRPr="00A531A2" w:rsidRDefault="002E2AE9" w:rsidP="002E2AE9">
      <w:pPr>
        <w:spacing w:after="40" w:line="360" w:lineRule="auto"/>
        <w:ind w:left="357"/>
        <w:jc w:val="both"/>
        <w:rPr>
          <w:rFonts w:ascii="Microsoft PhagsPa" w:eastAsia="Microsoft JhengHei UI" w:hAnsi="Microsoft PhagsPa"/>
          <w:color w:val="404040" w:themeColor="text1" w:themeTint="BF"/>
          <w:sz w:val="18"/>
          <w:szCs w:val="18"/>
          <w:u w:val="single"/>
          <w:lang w:val="it-IT"/>
        </w:rPr>
      </w:pPr>
      <w:r w:rsidRPr="00A531A2">
        <w:rPr>
          <w:rFonts w:ascii="Microsoft PhagsPa" w:eastAsia="Microsoft JhengHei UI" w:hAnsi="Microsoft PhagsPa"/>
          <w:color w:val="404040" w:themeColor="text1" w:themeTint="BF"/>
          <w:sz w:val="18"/>
          <w:szCs w:val="18"/>
          <w:u w:val="single"/>
          <w:lang w:val="it-IT"/>
        </w:rPr>
        <w:t>Lift Consulting</w:t>
      </w:r>
    </w:p>
    <w:p w14:paraId="31C726FB" w14:textId="3484D0C9" w:rsidR="002E2AE9" w:rsidRDefault="000C7ECF" w:rsidP="002E2AE9">
      <w:pPr>
        <w:spacing w:after="40" w:line="360" w:lineRule="auto"/>
        <w:ind w:left="357"/>
        <w:jc w:val="both"/>
        <w:rPr>
          <w:rFonts w:ascii="Microsoft PhagsPa" w:eastAsia="Microsoft JhengHei UI" w:hAnsi="Microsoft PhagsPa"/>
          <w:color w:val="404040" w:themeColor="text1" w:themeTint="BF"/>
          <w:sz w:val="18"/>
          <w:szCs w:val="18"/>
          <w:lang w:val="it-IT"/>
        </w:rPr>
      </w:pPr>
      <w:r>
        <w:rPr>
          <w:rFonts w:ascii="Microsoft PhagsPa" w:eastAsia="Microsoft JhengHei UI" w:hAnsi="Microsoft PhagsPa"/>
          <w:color w:val="404040" w:themeColor="text1" w:themeTint="BF"/>
          <w:sz w:val="18"/>
          <w:szCs w:val="18"/>
          <w:lang w:val="it-IT"/>
        </w:rPr>
        <w:t>Raquel Rogeiro</w:t>
      </w:r>
      <w:r w:rsidR="002E2AE9" w:rsidRPr="000C7ECF">
        <w:rPr>
          <w:rFonts w:ascii="Microsoft PhagsPa" w:eastAsia="Microsoft JhengHei UI" w:hAnsi="Microsoft PhagsPa"/>
          <w:color w:val="404040" w:themeColor="text1" w:themeTint="BF"/>
          <w:sz w:val="18"/>
          <w:szCs w:val="18"/>
          <w:lang w:val="it-IT"/>
        </w:rPr>
        <w:t xml:space="preserve"> | </w:t>
      </w:r>
      <w:hyperlink r:id="rId13" w:history="1">
        <w:r>
          <w:rPr>
            <w:rStyle w:val="Hiperligao"/>
            <w:rFonts w:ascii="Microsoft PhagsPa" w:eastAsia="Microsoft JhengHei UI" w:hAnsi="Microsoft PhagsPa"/>
            <w:color w:val="404040" w:themeColor="text1" w:themeTint="BF"/>
            <w:sz w:val="18"/>
            <w:szCs w:val="18"/>
            <w:lang w:val="it-IT"/>
          </w:rPr>
          <w:t>raquel.rogeiro@lift.com.pt</w:t>
        </w:r>
      </w:hyperlink>
      <w:r w:rsidR="002E2AE9" w:rsidRPr="000C7ECF">
        <w:rPr>
          <w:rFonts w:ascii="Microsoft PhagsPa" w:eastAsia="Microsoft JhengHei UI" w:hAnsi="Microsoft PhagsPa"/>
          <w:color w:val="404040" w:themeColor="text1" w:themeTint="BF"/>
          <w:sz w:val="18"/>
          <w:szCs w:val="18"/>
          <w:lang w:val="it-IT"/>
        </w:rPr>
        <w:t xml:space="preserve"> | </w:t>
      </w:r>
      <w:r w:rsidRPr="000C7ECF">
        <w:rPr>
          <w:rFonts w:ascii="Microsoft PhagsPa" w:eastAsia="Microsoft JhengHei UI" w:hAnsi="Microsoft PhagsPa"/>
          <w:color w:val="404040" w:themeColor="text1" w:themeTint="BF"/>
          <w:sz w:val="18"/>
          <w:szCs w:val="18"/>
          <w:lang w:val="it-IT"/>
        </w:rPr>
        <w:t>910 7</w:t>
      </w:r>
      <w:r w:rsidR="00BA2A9F">
        <w:rPr>
          <w:rFonts w:ascii="Microsoft PhagsPa" w:eastAsia="Microsoft JhengHei UI" w:hAnsi="Microsoft PhagsPa"/>
          <w:color w:val="404040" w:themeColor="text1" w:themeTint="BF"/>
          <w:sz w:val="18"/>
          <w:szCs w:val="18"/>
          <w:lang w:val="it-IT"/>
        </w:rPr>
        <w:t>6</w:t>
      </w:r>
      <w:r w:rsidRPr="000C7ECF">
        <w:rPr>
          <w:rFonts w:ascii="Microsoft PhagsPa" w:eastAsia="Microsoft JhengHei UI" w:hAnsi="Microsoft PhagsPa"/>
          <w:color w:val="404040" w:themeColor="text1" w:themeTint="BF"/>
          <w:sz w:val="18"/>
          <w:szCs w:val="18"/>
          <w:lang w:val="it-IT"/>
        </w:rPr>
        <w:t>7</w:t>
      </w:r>
      <w:r w:rsidR="006C15EC">
        <w:rPr>
          <w:rFonts w:ascii="Microsoft PhagsPa" w:eastAsia="Microsoft JhengHei UI" w:hAnsi="Microsoft PhagsPa"/>
          <w:color w:val="404040" w:themeColor="text1" w:themeTint="BF"/>
          <w:sz w:val="18"/>
          <w:szCs w:val="18"/>
          <w:lang w:val="it-IT"/>
        </w:rPr>
        <w:t> </w:t>
      </w:r>
      <w:r w:rsidRPr="000C7ECF">
        <w:rPr>
          <w:rFonts w:ascii="Microsoft PhagsPa" w:eastAsia="Microsoft JhengHei UI" w:hAnsi="Microsoft PhagsPa"/>
          <w:color w:val="404040" w:themeColor="text1" w:themeTint="BF"/>
          <w:sz w:val="18"/>
          <w:szCs w:val="18"/>
          <w:lang w:val="it-IT"/>
        </w:rPr>
        <w:t>719</w:t>
      </w:r>
    </w:p>
    <w:p w14:paraId="51B0FEB4" w14:textId="664A85EF" w:rsidR="006C15EC" w:rsidRPr="000C7ECF" w:rsidRDefault="006C15EC" w:rsidP="002E2AE9">
      <w:pPr>
        <w:spacing w:after="40" w:line="360" w:lineRule="auto"/>
        <w:ind w:left="357"/>
        <w:jc w:val="both"/>
        <w:rPr>
          <w:rFonts w:ascii="Microsoft PhagsPa" w:eastAsia="Microsoft JhengHei UI" w:hAnsi="Microsoft PhagsPa"/>
          <w:color w:val="404040" w:themeColor="text1" w:themeTint="BF"/>
          <w:sz w:val="18"/>
          <w:szCs w:val="18"/>
          <w:lang w:val="it-IT"/>
        </w:rPr>
      </w:pPr>
      <w:r w:rsidRPr="00431E95">
        <w:rPr>
          <w:rFonts w:ascii="Microsoft PhagsPa" w:eastAsia="Microsoft JhengHei UI" w:hAnsi="Microsoft PhagsPa"/>
          <w:color w:val="404040" w:themeColor="text1" w:themeTint="BF"/>
          <w:sz w:val="18"/>
          <w:szCs w:val="18"/>
          <w:lang w:val="it-IT"/>
        </w:rPr>
        <w:t xml:space="preserve">Miguel Carrilho | </w:t>
      </w:r>
      <w:hyperlink r:id="rId14">
        <w:r w:rsidRPr="00431E95">
          <w:rPr>
            <w:rFonts w:ascii="Microsoft PhagsPa" w:eastAsia="Microsoft JhengHei UI" w:hAnsi="Microsoft PhagsPa"/>
            <w:color w:val="404040" w:themeColor="text1" w:themeTint="BF"/>
            <w:sz w:val="18"/>
            <w:szCs w:val="18"/>
            <w:u w:val="single"/>
            <w:lang w:val="it-IT"/>
          </w:rPr>
          <w:t>miguel.carrilho@lift.com.pt</w:t>
        </w:r>
      </w:hyperlink>
      <w:r w:rsidRPr="00431E95">
        <w:rPr>
          <w:rFonts w:ascii="Microsoft PhagsPa" w:eastAsia="Microsoft JhengHei UI" w:hAnsi="Microsoft PhagsPa"/>
          <w:color w:val="404040" w:themeColor="text1" w:themeTint="BF"/>
          <w:sz w:val="18"/>
          <w:szCs w:val="18"/>
          <w:lang w:val="it-IT"/>
        </w:rPr>
        <w:t xml:space="preserve"> | 967 777</w:t>
      </w:r>
      <w:r>
        <w:rPr>
          <w:rFonts w:ascii="Microsoft PhagsPa" w:eastAsia="Microsoft JhengHei UI" w:hAnsi="Microsoft PhagsPa"/>
          <w:color w:val="404040" w:themeColor="text1" w:themeTint="BF"/>
          <w:sz w:val="18"/>
          <w:szCs w:val="18"/>
          <w:lang w:val="it-IT"/>
        </w:rPr>
        <w:t> </w:t>
      </w:r>
      <w:r w:rsidRPr="00431E95">
        <w:rPr>
          <w:rFonts w:ascii="Microsoft PhagsPa" w:eastAsia="Microsoft JhengHei UI" w:hAnsi="Microsoft PhagsPa"/>
          <w:color w:val="404040" w:themeColor="text1" w:themeTint="BF"/>
          <w:sz w:val="18"/>
          <w:szCs w:val="18"/>
          <w:lang w:val="it-IT"/>
        </w:rPr>
        <w:t>714</w:t>
      </w:r>
    </w:p>
    <w:sectPr w:rsidR="006C15EC" w:rsidRPr="000C7ECF" w:rsidSect="00C66D98">
      <w:headerReference w:type="default" r:id="rId15"/>
      <w:pgSz w:w="12240" w:h="15840"/>
      <w:pgMar w:top="1560"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1EA563" w14:textId="77777777" w:rsidR="002F2A66" w:rsidRDefault="002F2A66" w:rsidP="00C66D98">
      <w:pPr>
        <w:spacing w:after="0" w:line="240" w:lineRule="auto"/>
      </w:pPr>
      <w:r>
        <w:separator/>
      </w:r>
    </w:p>
  </w:endnote>
  <w:endnote w:type="continuationSeparator" w:id="0">
    <w:p w14:paraId="6C988807" w14:textId="77777777" w:rsidR="002F2A66" w:rsidRDefault="002F2A66" w:rsidP="00C66D98">
      <w:pPr>
        <w:spacing w:after="0" w:line="240" w:lineRule="auto"/>
      </w:pPr>
      <w:r>
        <w:continuationSeparator/>
      </w:r>
    </w:p>
  </w:endnote>
  <w:endnote w:type="continuationNotice" w:id="1">
    <w:p w14:paraId="59933F09" w14:textId="77777777" w:rsidR="002F2A66" w:rsidRDefault="002F2A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icrosoft PhagsPa">
    <w:panose1 w:val="020B0502040204020203"/>
    <w:charset w:val="00"/>
    <w:family w:val="swiss"/>
    <w:pitch w:val="variable"/>
    <w:sig w:usb0="00000003" w:usb1="00000000" w:usb2="08000000" w:usb3="00000000" w:csb0="00000001" w:csb1="00000000"/>
  </w:font>
  <w:font w:name="Microsoft JhengHei UI">
    <w:panose1 w:val="020B0604030504040204"/>
    <w:charset w:val="88"/>
    <w:family w:val="swiss"/>
    <w:pitch w:val="variable"/>
    <w:sig w:usb0="000002A7" w:usb1="28CF4400" w:usb2="00000016" w:usb3="00000000" w:csb0="00100009" w:csb1="00000000"/>
  </w:font>
  <w:font w:name="Helvetica Neue Medium">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92300" w14:textId="77777777" w:rsidR="002F2A66" w:rsidRDefault="002F2A66" w:rsidP="00C66D98">
      <w:pPr>
        <w:spacing w:after="0" w:line="240" w:lineRule="auto"/>
      </w:pPr>
      <w:r>
        <w:separator/>
      </w:r>
    </w:p>
  </w:footnote>
  <w:footnote w:type="continuationSeparator" w:id="0">
    <w:p w14:paraId="740A90B9" w14:textId="77777777" w:rsidR="002F2A66" w:rsidRDefault="002F2A66" w:rsidP="00C66D98">
      <w:pPr>
        <w:spacing w:after="0" w:line="240" w:lineRule="auto"/>
      </w:pPr>
      <w:r>
        <w:continuationSeparator/>
      </w:r>
    </w:p>
  </w:footnote>
  <w:footnote w:type="continuationNotice" w:id="1">
    <w:p w14:paraId="59EAF611" w14:textId="77777777" w:rsidR="002F2A66" w:rsidRDefault="002F2A6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1F6EF" w14:textId="5EFE3FFB" w:rsidR="00C66D98" w:rsidRDefault="00C66D98">
    <w:pPr>
      <w:pStyle w:val="Cabealho"/>
    </w:pPr>
    <w:r w:rsidRPr="00C66D98">
      <w:rPr>
        <w:noProof/>
      </w:rPr>
      <w:drawing>
        <wp:anchor distT="0" distB="0" distL="114300" distR="114300" simplePos="0" relativeHeight="251658240" behindDoc="0" locked="0" layoutInCell="1" allowOverlap="1" wp14:anchorId="57C2237E" wp14:editId="33C1D526">
          <wp:simplePos x="0" y="0"/>
          <wp:positionH relativeFrom="margin">
            <wp:posOffset>1539240</wp:posOffset>
          </wp:positionH>
          <wp:positionV relativeFrom="margin">
            <wp:posOffset>-692150</wp:posOffset>
          </wp:positionV>
          <wp:extent cx="2533650" cy="426395"/>
          <wp:effectExtent l="0" t="0" r="0" b="0"/>
          <wp:wrapSquare wrapText="bothSides"/>
          <wp:docPr id="2137444502" name="Imagem 1" descr="A literacia financeira e o Na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iteracia financeira e o Nat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3650" cy="4263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048DB"/>
    <w:multiLevelType w:val="hybridMultilevel"/>
    <w:tmpl w:val="791452F6"/>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1" w15:restartNumberingAfterBreak="0">
    <w:nsid w:val="2C421273"/>
    <w:multiLevelType w:val="hybridMultilevel"/>
    <w:tmpl w:val="E0BAD354"/>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2" w15:restartNumberingAfterBreak="0">
    <w:nsid w:val="39261C3C"/>
    <w:multiLevelType w:val="hybridMultilevel"/>
    <w:tmpl w:val="A4889D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F4E47C7"/>
    <w:multiLevelType w:val="hybridMultilevel"/>
    <w:tmpl w:val="194AA61E"/>
    <w:lvl w:ilvl="0" w:tplc="27DA4E2A">
      <w:start w:val="2"/>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4" w15:restartNumberingAfterBreak="0">
    <w:nsid w:val="451A2B9F"/>
    <w:multiLevelType w:val="hybridMultilevel"/>
    <w:tmpl w:val="3DF8B9CC"/>
    <w:lvl w:ilvl="0" w:tplc="08160001">
      <w:start w:val="1"/>
      <w:numFmt w:val="bullet"/>
      <w:lvlText w:val=""/>
      <w:lvlJc w:val="left"/>
      <w:pPr>
        <w:ind w:left="1077" w:hanging="360"/>
      </w:pPr>
      <w:rPr>
        <w:rFonts w:ascii="Symbol" w:hAnsi="Symbol" w:hint="default"/>
      </w:rPr>
    </w:lvl>
    <w:lvl w:ilvl="1" w:tplc="08160003" w:tentative="1">
      <w:start w:val="1"/>
      <w:numFmt w:val="bullet"/>
      <w:lvlText w:val="o"/>
      <w:lvlJc w:val="left"/>
      <w:pPr>
        <w:ind w:left="1797" w:hanging="360"/>
      </w:pPr>
      <w:rPr>
        <w:rFonts w:ascii="Courier New" w:hAnsi="Courier New" w:cs="Courier New" w:hint="default"/>
      </w:rPr>
    </w:lvl>
    <w:lvl w:ilvl="2" w:tplc="08160005" w:tentative="1">
      <w:start w:val="1"/>
      <w:numFmt w:val="bullet"/>
      <w:lvlText w:val=""/>
      <w:lvlJc w:val="left"/>
      <w:pPr>
        <w:ind w:left="2517" w:hanging="360"/>
      </w:pPr>
      <w:rPr>
        <w:rFonts w:ascii="Wingdings" w:hAnsi="Wingdings" w:hint="default"/>
      </w:rPr>
    </w:lvl>
    <w:lvl w:ilvl="3" w:tplc="08160001" w:tentative="1">
      <w:start w:val="1"/>
      <w:numFmt w:val="bullet"/>
      <w:lvlText w:val=""/>
      <w:lvlJc w:val="left"/>
      <w:pPr>
        <w:ind w:left="3237" w:hanging="360"/>
      </w:pPr>
      <w:rPr>
        <w:rFonts w:ascii="Symbol" w:hAnsi="Symbol" w:hint="default"/>
      </w:rPr>
    </w:lvl>
    <w:lvl w:ilvl="4" w:tplc="08160003" w:tentative="1">
      <w:start w:val="1"/>
      <w:numFmt w:val="bullet"/>
      <w:lvlText w:val="o"/>
      <w:lvlJc w:val="left"/>
      <w:pPr>
        <w:ind w:left="3957" w:hanging="360"/>
      </w:pPr>
      <w:rPr>
        <w:rFonts w:ascii="Courier New" w:hAnsi="Courier New" w:cs="Courier New" w:hint="default"/>
      </w:rPr>
    </w:lvl>
    <w:lvl w:ilvl="5" w:tplc="08160005" w:tentative="1">
      <w:start w:val="1"/>
      <w:numFmt w:val="bullet"/>
      <w:lvlText w:val=""/>
      <w:lvlJc w:val="left"/>
      <w:pPr>
        <w:ind w:left="4677" w:hanging="360"/>
      </w:pPr>
      <w:rPr>
        <w:rFonts w:ascii="Wingdings" w:hAnsi="Wingdings" w:hint="default"/>
      </w:rPr>
    </w:lvl>
    <w:lvl w:ilvl="6" w:tplc="08160001" w:tentative="1">
      <w:start w:val="1"/>
      <w:numFmt w:val="bullet"/>
      <w:lvlText w:val=""/>
      <w:lvlJc w:val="left"/>
      <w:pPr>
        <w:ind w:left="5397" w:hanging="360"/>
      </w:pPr>
      <w:rPr>
        <w:rFonts w:ascii="Symbol" w:hAnsi="Symbol" w:hint="default"/>
      </w:rPr>
    </w:lvl>
    <w:lvl w:ilvl="7" w:tplc="08160003" w:tentative="1">
      <w:start w:val="1"/>
      <w:numFmt w:val="bullet"/>
      <w:lvlText w:val="o"/>
      <w:lvlJc w:val="left"/>
      <w:pPr>
        <w:ind w:left="6117" w:hanging="360"/>
      </w:pPr>
      <w:rPr>
        <w:rFonts w:ascii="Courier New" w:hAnsi="Courier New" w:cs="Courier New" w:hint="default"/>
      </w:rPr>
    </w:lvl>
    <w:lvl w:ilvl="8" w:tplc="08160005" w:tentative="1">
      <w:start w:val="1"/>
      <w:numFmt w:val="bullet"/>
      <w:lvlText w:val=""/>
      <w:lvlJc w:val="left"/>
      <w:pPr>
        <w:ind w:left="6837" w:hanging="360"/>
      </w:pPr>
      <w:rPr>
        <w:rFonts w:ascii="Wingdings" w:hAnsi="Wingdings" w:hint="default"/>
      </w:rPr>
    </w:lvl>
  </w:abstractNum>
  <w:abstractNum w:abstractNumId="5" w15:restartNumberingAfterBreak="0">
    <w:nsid w:val="638D6583"/>
    <w:multiLevelType w:val="hybridMultilevel"/>
    <w:tmpl w:val="22AEF286"/>
    <w:lvl w:ilvl="0" w:tplc="3B9ACC60">
      <w:start w:val="1"/>
      <w:numFmt w:val="decimal"/>
      <w:lvlText w:val="%1)"/>
      <w:lvlJc w:val="left"/>
      <w:pPr>
        <w:ind w:left="717" w:hanging="360"/>
      </w:pPr>
      <w:rPr>
        <w:rFonts w:hint="default"/>
        <w:b/>
        <w:color w:val="0195C7"/>
      </w:rPr>
    </w:lvl>
    <w:lvl w:ilvl="1" w:tplc="08160019" w:tentative="1">
      <w:start w:val="1"/>
      <w:numFmt w:val="lowerLetter"/>
      <w:lvlText w:val="%2."/>
      <w:lvlJc w:val="left"/>
      <w:pPr>
        <w:ind w:left="1437" w:hanging="360"/>
      </w:pPr>
    </w:lvl>
    <w:lvl w:ilvl="2" w:tplc="0816001B" w:tentative="1">
      <w:start w:val="1"/>
      <w:numFmt w:val="lowerRoman"/>
      <w:lvlText w:val="%3."/>
      <w:lvlJc w:val="right"/>
      <w:pPr>
        <w:ind w:left="2157" w:hanging="180"/>
      </w:pPr>
    </w:lvl>
    <w:lvl w:ilvl="3" w:tplc="0816000F" w:tentative="1">
      <w:start w:val="1"/>
      <w:numFmt w:val="decimal"/>
      <w:lvlText w:val="%4."/>
      <w:lvlJc w:val="left"/>
      <w:pPr>
        <w:ind w:left="2877" w:hanging="360"/>
      </w:pPr>
    </w:lvl>
    <w:lvl w:ilvl="4" w:tplc="08160019" w:tentative="1">
      <w:start w:val="1"/>
      <w:numFmt w:val="lowerLetter"/>
      <w:lvlText w:val="%5."/>
      <w:lvlJc w:val="left"/>
      <w:pPr>
        <w:ind w:left="3597" w:hanging="360"/>
      </w:pPr>
    </w:lvl>
    <w:lvl w:ilvl="5" w:tplc="0816001B" w:tentative="1">
      <w:start w:val="1"/>
      <w:numFmt w:val="lowerRoman"/>
      <w:lvlText w:val="%6."/>
      <w:lvlJc w:val="right"/>
      <w:pPr>
        <w:ind w:left="4317" w:hanging="180"/>
      </w:pPr>
    </w:lvl>
    <w:lvl w:ilvl="6" w:tplc="0816000F" w:tentative="1">
      <w:start w:val="1"/>
      <w:numFmt w:val="decimal"/>
      <w:lvlText w:val="%7."/>
      <w:lvlJc w:val="left"/>
      <w:pPr>
        <w:ind w:left="5037" w:hanging="360"/>
      </w:pPr>
    </w:lvl>
    <w:lvl w:ilvl="7" w:tplc="08160019" w:tentative="1">
      <w:start w:val="1"/>
      <w:numFmt w:val="lowerLetter"/>
      <w:lvlText w:val="%8."/>
      <w:lvlJc w:val="left"/>
      <w:pPr>
        <w:ind w:left="5757" w:hanging="360"/>
      </w:pPr>
    </w:lvl>
    <w:lvl w:ilvl="8" w:tplc="0816001B" w:tentative="1">
      <w:start w:val="1"/>
      <w:numFmt w:val="lowerRoman"/>
      <w:lvlText w:val="%9."/>
      <w:lvlJc w:val="right"/>
      <w:pPr>
        <w:ind w:left="6477" w:hanging="180"/>
      </w:pPr>
    </w:lvl>
  </w:abstractNum>
  <w:abstractNum w:abstractNumId="6" w15:restartNumberingAfterBreak="0">
    <w:nsid w:val="7A4B5284"/>
    <w:multiLevelType w:val="hybridMultilevel"/>
    <w:tmpl w:val="4DC4E0F6"/>
    <w:lvl w:ilvl="0" w:tplc="DF348CD6">
      <w:start w:val="1"/>
      <w:numFmt w:val="decimal"/>
      <w:lvlText w:val="%1."/>
      <w:lvlJc w:val="left"/>
      <w:pPr>
        <w:ind w:left="1077" w:hanging="360"/>
      </w:pPr>
      <w:rPr>
        <w:b/>
        <w:bCs/>
        <w:color w:val="auto"/>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num w:numId="1" w16cid:durableId="2134403467">
    <w:abstractNumId w:val="2"/>
  </w:num>
  <w:num w:numId="2" w16cid:durableId="749619324">
    <w:abstractNumId w:val="6"/>
  </w:num>
  <w:num w:numId="3" w16cid:durableId="1226793471">
    <w:abstractNumId w:val="4"/>
  </w:num>
  <w:num w:numId="4" w16cid:durableId="554707807">
    <w:abstractNumId w:val="5"/>
  </w:num>
  <w:num w:numId="5" w16cid:durableId="1865438093">
    <w:abstractNumId w:val="3"/>
  </w:num>
  <w:num w:numId="6" w16cid:durableId="2106729745">
    <w:abstractNumId w:val="1"/>
  </w:num>
  <w:num w:numId="7" w16cid:durableId="19518154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D98"/>
    <w:rsid w:val="00010AFB"/>
    <w:rsid w:val="0002312C"/>
    <w:rsid w:val="00031CB7"/>
    <w:rsid w:val="00043DEE"/>
    <w:rsid w:val="0004437F"/>
    <w:rsid w:val="000531D0"/>
    <w:rsid w:val="00060D9E"/>
    <w:rsid w:val="0006465F"/>
    <w:rsid w:val="00095A6A"/>
    <w:rsid w:val="000A59A6"/>
    <w:rsid w:val="000A5A0C"/>
    <w:rsid w:val="000A7849"/>
    <w:rsid w:val="000C694C"/>
    <w:rsid w:val="000C7ECF"/>
    <w:rsid w:val="000D2987"/>
    <w:rsid w:val="000D4E8F"/>
    <w:rsid w:val="000D742C"/>
    <w:rsid w:val="000E12D5"/>
    <w:rsid w:val="000E20FC"/>
    <w:rsid w:val="000E41C8"/>
    <w:rsid w:val="000E4C70"/>
    <w:rsid w:val="000E624C"/>
    <w:rsid w:val="000E7219"/>
    <w:rsid w:val="000F3ED9"/>
    <w:rsid w:val="001070F5"/>
    <w:rsid w:val="00114644"/>
    <w:rsid w:val="001216BE"/>
    <w:rsid w:val="001357E2"/>
    <w:rsid w:val="00136AD9"/>
    <w:rsid w:val="00142A7E"/>
    <w:rsid w:val="0014328B"/>
    <w:rsid w:val="001453FC"/>
    <w:rsid w:val="001515C0"/>
    <w:rsid w:val="00164EEF"/>
    <w:rsid w:val="00167F99"/>
    <w:rsid w:val="001743CA"/>
    <w:rsid w:val="00181368"/>
    <w:rsid w:val="00191765"/>
    <w:rsid w:val="00197A08"/>
    <w:rsid w:val="001B0608"/>
    <w:rsid w:val="001B1959"/>
    <w:rsid w:val="001C178B"/>
    <w:rsid w:val="001D05B2"/>
    <w:rsid w:val="001D4D11"/>
    <w:rsid w:val="001E470F"/>
    <w:rsid w:val="001E5755"/>
    <w:rsid w:val="001F00C3"/>
    <w:rsid w:val="001F4850"/>
    <w:rsid w:val="00204714"/>
    <w:rsid w:val="00204D8A"/>
    <w:rsid w:val="00206819"/>
    <w:rsid w:val="00213F07"/>
    <w:rsid w:val="00223D29"/>
    <w:rsid w:val="002369C9"/>
    <w:rsid w:val="00237917"/>
    <w:rsid w:val="002409D6"/>
    <w:rsid w:val="00242820"/>
    <w:rsid w:val="00252C4C"/>
    <w:rsid w:val="00252EE3"/>
    <w:rsid w:val="00253205"/>
    <w:rsid w:val="00253D78"/>
    <w:rsid w:val="002578B7"/>
    <w:rsid w:val="002604F3"/>
    <w:rsid w:val="002609C8"/>
    <w:rsid w:val="0026433B"/>
    <w:rsid w:val="00265DD5"/>
    <w:rsid w:val="00266EC6"/>
    <w:rsid w:val="00272414"/>
    <w:rsid w:val="0027704B"/>
    <w:rsid w:val="00277140"/>
    <w:rsid w:val="00283D1F"/>
    <w:rsid w:val="002A3868"/>
    <w:rsid w:val="002A7646"/>
    <w:rsid w:val="002B0CFA"/>
    <w:rsid w:val="002B2ADF"/>
    <w:rsid w:val="002B640E"/>
    <w:rsid w:val="002C22E2"/>
    <w:rsid w:val="002D1622"/>
    <w:rsid w:val="002E085F"/>
    <w:rsid w:val="002E25CB"/>
    <w:rsid w:val="002E2AE9"/>
    <w:rsid w:val="002E6F33"/>
    <w:rsid w:val="002F2A66"/>
    <w:rsid w:val="002F41B9"/>
    <w:rsid w:val="002F5B37"/>
    <w:rsid w:val="00300428"/>
    <w:rsid w:val="00311104"/>
    <w:rsid w:val="003148FB"/>
    <w:rsid w:val="00324ABF"/>
    <w:rsid w:val="00325784"/>
    <w:rsid w:val="00340399"/>
    <w:rsid w:val="0035189D"/>
    <w:rsid w:val="00351B85"/>
    <w:rsid w:val="00353516"/>
    <w:rsid w:val="00372F09"/>
    <w:rsid w:val="003742FB"/>
    <w:rsid w:val="00374AE2"/>
    <w:rsid w:val="00384525"/>
    <w:rsid w:val="00397839"/>
    <w:rsid w:val="003A7090"/>
    <w:rsid w:val="003A7D4E"/>
    <w:rsid w:val="003D660F"/>
    <w:rsid w:val="003D6703"/>
    <w:rsid w:val="0041781D"/>
    <w:rsid w:val="00421334"/>
    <w:rsid w:val="004217C1"/>
    <w:rsid w:val="00421C3B"/>
    <w:rsid w:val="0043131C"/>
    <w:rsid w:val="00433EF2"/>
    <w:rsid w:val="00436267"/>
    <w:rsid w:val="004418B8"/>
    <w:rsid w:val="004515EC"/>
    <w:rsid w:val="00460952"/>
    <w:rsid w:val="00462550"/>
    <w:rsid w:val="004653AD"/>
    <w:rsid w:val="00474392"/>
    <w:rsid w:val="00476D5F"/>
    <w:rsid w:val="00482E5B"/>
    <w:rsid w:val="00483228"/>
    <w:rsid w:val="00484D21"/>
    <w:rsid w:val="004874D9"/>
    <w:rsid w:val="00487602"/>
    <w:rsid w:val="00494467"/>
    <w:rsid w:val="004975D5"/>
    <w:rsid w:val="004A5082"/>
    <w:rsid w:val="004A5C04"/>
    <w:rsid w:val="004A6A81"/>
    <w:rsid w:val="004C118C"/>
    <w:rsid w:val="004C1CB3"/>
    <w:rsid w:val="004C7B01"/>
    <w:rsid w:val="004F0D35"/>
    <w:rsid w:val="005005D1"/>
    <w:rsid w:val="0050204C"/>
    <w:rsid w:val="00503193"/>
    <w:rsid w:val="00503860"/>
    <w:rsid w:val="00505031"/>
    <w:rsid w:val="00511B8B"/>
    <w:rsid w:val="00515FFA"/>
    <w:rsid w:val="00516187"/>
    <w:rsid w:val="00522026"/>
    <w:rsid w:val="005340ED"/>
    <w:rsid w:val="005507E2"/>
    <w:rsid w:val="00556762"/>
    <w:rsid w:val="00562928"/>
    <w:rsid w:val="00563C07"/>
    <w:rsid w:val="00565985"/>
    <w:rsid w:val="00571A22"/>
    <w:rsid w:val="005736BC"/>
    <w:rsid w:val="00573C31"/>
    <w:rsid w:val="00582F63"/>
    <w:rsid w:val="00584C33"/>
    <w:rsid w:val="00596DCA"/>
    <w:rsid w:val="005A207A"/>
    <w:rsid w:val="005A23E8"/>
    <w:rsid w:val="005B24CC"/>
    <w:rsid w:val="005B411F"/>
    <w:rsid w:val="005B53FD"/>
    <w:rsid w:val="005C5F97"/>
    <w:rsid w:val="005D3FA2"/>
    <w:rsid w:val="005D6232"/>
    <w:rsid w:val="005E0A39"/>
    <w:rsid w:val="005E1620"/>
    <w:rsid w:val="005E6B84"/>
    <w:rsid w:val="005E7D36"/>
    <w:rsid w:val="005F1969"/>
    <w:rsid w:val="005F3CAC"/>
    <w:rsid w:val="0060008D"/>
    <w:rsid w:val="006027A6"/>
    <w:rsid w:val="00604CC5"/>
    <w:rsid w:val="00604FBF"/>
    <w:rsid w:val="006071CD"/>
    <w:rsid w:val="006205D4"/>
    <w:rsid w:val="0062151B"/>
    <w:rsid w:val="0062417D"/>
    <w:rsid w:val="00624D4D"/>
    <w:rsid w:val="00644589"/>
    <w:rsid w:val="0065504C"/>
    <w:rsid w:val="00661D04"/>
    <w:rsid w:val="0066446E"/>
    <w:rsid w:val="0066510D"/>
    <w:rsid w:val="006652DD"/>
    <w:rsid w:val="00665317"/>
    <w:rsid w:val="00680CF3"/>
    <w:rsid w:val="00693D51"/>
    <w:rsid w:val="006B4A56"/>
    <w:rsid w:val="006C15EC"/>
    <w:rsid w:val="006C7917"/>
    <w:rsid w:val="006D1CDF"/>
    <w:rsid w:val="006D3423"/>
    <w:rsid w:val="006D36DF"/>
    <w:rsid w:val="006D7A94"/>
    <w:rsid w:val="006E3977"/>
    <w:rsid w:val="006F1E1D"/>
    <w:rsid w:val="006F3F49"/>
    <w:rsid w:val="006F545E"/>
    <w:rsid w:val="006F5B52"/>
    <w:rsid w:val="007027E3"/>
    <w:rsid w:val="00703B14"/>
    <w:rsid w:val="007048C4"/>
    <w:rsid w:val="007074D5"/>
    <w:rsid w:val="00707512"/>
    <w:rsid w:val="007128BD"/>
    <w:rsid w:val="007212C0"/>
    <w:rsid w:val="0072186A"/>
    <w:rsid w:val="0072476B"/>
    <w:rsid w:val="0074277E"/>
    <w:rsid w:val="0074517C"/>
    <w:rsid w:val="007468C5"/>
    <w:rsid w:val="00747EB8"/>
    <w:rsid w:val="00753465"/>
    <w:rsid w:val="00753D12"/>
    <w:rsid w:val="0075670E"/>
    <w:rsid w:val="00762E3B"/>
    <w:rsid w:val="00767FB4"/>
    <w:rsid w:val="007702BB"/>
    <w:rsid w:val="007736FB"/>
    <w:rsid w:val="00773731"/>
    <w:rsid w:val="00774029"/>
    <w:rsid w:val="0077699C"/>
    <w:rsid w:val="00783EEA"/>
    <w:rsid w:val="00784980"/>
    <w:rsid w:val="0078765F"/>
    <w:rsid w:val="0079107E"/>
    <w:rsid w:val="00794452"/>
    <w:rsid w:val="007A34B5"/>
    <w:rsid w:val="007A5B95"/>
    <w:rsid w:val="007B0B06"/>
    <w:rsid w:val="007B5DF7"/>
    <w:rsid w:val="007B6FE5"/>
    <w:rsid w:val="007C4886"/>
    <w:rsid w:val="007C51E8"/>
    <w:rsid w:val="007C6948"/>
    <w:rsid w:val="007D210D"/>
    <w:rsid w:val="007D4EB0"/>
    <w:rsid w:val="007D657F"/>
    <w:rsid w:val="007E020A"/>
    <w:rsid w:val="00800B99"/>
    <w:rsid w:val="00806829"/>
    <w:rsid w:val="00812124"/>
    <w:rsid w:val="008177CC"/>
    <w:rsid w:val="0082358B"/>
    <w:rsid w:val="00823DAD"/>
    <w:rsid w:val="00833259"/>
    <w:rsid w:val="00835AA5"/>
    <w:rsid w:val="008457AB"/>
    <w:rsid w:val="00852DED"/>
    <w:rsid w:val="0087011D"/>
    <w:rsid w:val="00891B4F"/>
    <w:rsid w:val="00895134"/>
    <w:rsid w:val="00895CCE"/>
    <w:rsid w:val="00897252"/>
    <w:rsid w:val="008A0E85"/>
    <w:rsid w:val="008A33CC"/>
    <w:rsid w:val="008B2AB4"/>
    <w:rsid w:val="008C133C"/>
    <w:rsid w:val="008C3082"/>
    <w:rsid w:val="008C5DA5"/>
    <w:rsid w:val="008C7A1E"/>
    <w:rsid w:val="008D2408"/>
    <w:rsid w:val="008D4276"/>
    <w:rsid w:val="008E14B9"/>
    <w:rsid w:val="008E4696"/>
    <w:rsid w:val="008E5192"/>
    <w:rsid w:val="008F09DF"/>
    <w:rsid w:val="00924320"/>
    <w:rsid w:val="00932E02"/>
    <w:rsid w:val="00937B11"/>
    <w:rsid w:val="00947EB9"/>
    <w:rsid w:val="00952F8A"/>
    <w:rsid w:val="0095622C"/>
    <w:rsid w:val="00963E08"/>
    <w:rsid w:val="00964065"/>
    <w:rsid w:val="00966435"/>
    <w:rsid w:val="00972F86"/>
    <w:rsid w:val="00973023"/>
    <w:rsid w:val="00974F8E"/>
    <w:rsid w:val="00981783"/>
    <w:rsid w:val="00993C32"/>
    <w:rsid w:val="009966A6"/>
    <w:rsid w:val="009A3FA1"/>
    <w:rsid w:val="009A47DF"/>
    <w:rsid w:val="009A7149"/>
    <w:rsid w:val="009A72AC"/>
    <w:rsid w:val="009B4C7A"/>
    <w:rsid w:val="009C3717"/>
    <w:rsid w:val="009D6183"/>
    <w:rsid w:val="009D72BC"/>
    <w:rsid w:val="009E22F4"/>
    <w:rsid w:val="009E3AED"/>
    <w:rsid w:val="009E5BCE"/>
    <w:rsid w:val="009F32D0"/>
    <w:rsid w:val="009F775E"/>
    <w:rsid w:val="00A20171"/>
    <w:rsid w:val="00A22268"/>
    <w:rsid w:val="00A23A23"/>
    <w:rsid w:val="00A3583E"/>
    <w:rsid w:val="00A40B49"/>
    <w:rsid w:val="00A531A2"/>
    <w:rsid w:val="00A6044A"/>
    <w:rsid w:val="00A63696"/>
    <w:rsid w:val="00A64476"/>
    <w:rsid w:val="00A652AC"/>
    <w:rsid w:val="00A70B90"/>
    <w:rsid w:val="00A77994"/>
    <w:rsid w:val="00AA39A8"/>
    <w:rsid w:val="00AA5E8F"/>
    <w:rsid w:val="00AA6DF7"/>
    <w:rsid w:val="00AB0A58"/>
    <w:rsid w:val="00AB1C1C"/>
    <w:rsid w:val="00AB1FD5"/>
    <w:rsid w:val="00AC5251"/>
    <w:rsid w:val="00AC77C3"/>
    <w:rsid w:val="00AD257E"/>
    <w:rsid w:val="00AE1927"/>
    <w:rsid w:val="00AE28CB"/>
    <w:rsid w:val="00AE59B2"/>
    <w:rsid w:val="00AE6017"/>
    <w:rsid w:val="00AF4896"/>
    <w:rsid w:val="00AF514D"/>
    <w:rsid w:val="00B03A99"/>
    <w:rsid w:val="00B12158"/>
    <w:rsid w:val="00B24746"/>
    <w:rsid w:val="00B41256"/>
    <w:rsid w:val="00B44458"/>
    <w:rsid w:val="00B478C7"/>
    <w:rsid w:val="00B47F37"/>
    <w:rsid w:val="00B50013"/>
    <w:rsid w:val="00B5170A"/>
    <w:rsid w:val="00B529AF"/>
    <w:rsid w:val="00B5527D"/>
    <w:rsid w:val="00B5611B"/>
    <w:rsid w:val="00B609C8"/>
    <w:rsid w:val="00B61588"/>
    <w:rsid w:val="00B63732"/>
    <w:rsid w:val="00B72A12"/>
    <w:rsid w:val="00B85983"/>
    <w:rsid w:val="00B92F0E"/>
    <w:rsid w:val="00BA2A9F"/>
    <w:rsid w:val="00BA2C48"/>
    <w:rsid w:val="00BA5E61"/>
    <w:rsid w:val="00BB108B"/>
    <w:rsid w:val="00BB1E26"/>
    <w:rsid w:val="00BB37D9"/>
    <w:rsid w:val="00BB5B91"/>
    <w:rsid w:val="00BB66CA"/>
    <w:rsid w:val="00BB7D1E"/>
    <w:rsid w:val="00BC2E0E"/>
    <w:rsid w:val="00BC5E92"/>
    <w:rsid w:val="00BD2929"/>
    <w:rsid w:val="00BD64F2"/>
    <w:rsid w:val="00BF077A"/>
    <w:rsid w:val="00BF3B1E"/>
    <w:rsid w:val="00BF3D92"/>
    <w:rsid w:val="00C06CF8"/>
    <w:rsid w:val="00C07C7E"/>
    <w:rsid w:val="00C12E03"/>
    <w:rsid w:val="00C132D1"/>
    <w:rsid w:val="00C17F35"/>
    <w:rsid w:val="00C318DD"/>
    <w:rsid w:val="00C40B4B"/>
    <w:rsid w:val="00C4528E"/>
    <w:rsid w:val="00C4738F"/>
    <w:rsid w:val="00C518B1"/>
    <w:rsid w:val="00C622A2"/>
    <w:rsid w:val="00C6442A"/>
    <w:rsid w:val="00C66D98"/>
    <w:rsid w:val="00C7045D"/>
    <w:rsid w:val="00C75C27"/>
    <w:rsid w:val="00C765AA"/>
    <w:rsid w:val="00C77C9A"/>
    <w:rsid w:val="00C81D47"/>
    <w:rsid w:val="00C856C4"/>
    <w:rsid w:val="00C90031"/>
    <w:rsid w:val="00CA33BA"/>
    <w:rsid w:val="00CA720B"/>
    <w:rsid w:val="00CB0C8E"/>
    <w:rsid w:val="00CB2701"/>
    <w:rsid w:val="00CB7000"/>
    <w:rsid w:val="00CB74E6"/>
    <w:rsid w:val="00CC01DA"/>
    <w:rsid w:val="00CC2489"/>
    <w:rsid w:val="00CC68CE"/>
    <w:rsid w:val="00CC736E"/>
    <w:rsid w:val="00CD28A0"/>
    <w:rsid w:val="00CE1AE6"/>
    <w:rsid w:val="00CE20E1"/>
    <w:rsid w:val="00CE4C43"/>
    <w:rsid w:val="00CE7139"/>
    <w:rsid w:val="00CF2273"/>
    <w:rsid w:val="00CF2F47"/>
    <w:rsid w:val="00CF3071"/>
    <w:rsid w:val="00D04723"/>
    <w:rsid w:val="00D05085"/>
    <w:rsid w:val="00D119E9"/>
    <w:rsid w:val="00D11EAC"/>
    <w:rsid w:val="00D249E0"/>
    <w:rsid w:val="00D24B71"/>
    <w:rsid w:val="00D31C30"/>
    <w:rsid w:val="00D32456"/>
    <w:rsid w:val="00D4022A"/>
    <w:rsid w:val="00D44DA5"/>
    <w:rsid w:val="00D528BB"/>
    <w:rsid w:val="00D5397C"/>
    <w:rsid w:val="00D53B5F"/>
    <w:rsid w:val="00D57F7F"/>
    <w:rsid w:val="00D62DC2"/>
    <w:rsid w:val="00D62F19"/>
    <w:rsid w:val="00D637E4"/>
    <w:rsid w:val="00D66834"/>
    <w:rsid w:val="00D672A9"/>
    <w:rsid w:val="00D763C9"/>
    <w:rsid w:val="00D829D2"/>
    <w:rsid w:val="00D830A8"/>
    <w:rsid w:val="00D83DE4"/>
    <w:rsid w:val="00D8477D"/>
    <w:rsid w:val="00D862C6"/>
    <w:rsid w:val="00D90F62"/>
    <w:rsid w:val="00D925D4"/>
    <w:rsid w:val="00D93163"/>
    <w:rsid w:val="00D96512"/>
    <w:rsid w:val="00DA2817"/>
    <w:rsid w:val="00DB4B88"/>
    <w:rsid w:val="00DC1E25"/>
    <w:rsid w:val="00DC411D"/>
    <w:rsid w:val="00DC6F58"/>
    <w:rsid w:val="00DE5311"/>
    <w:rsid w:val="00DE5D0A"/>
    <w:rsid w:val="00DF2C62"/>
    <w:rsid w:val="00DF2F77"/>
    <w:rsid w:val="00DF4C6D"/>
    <w:rsid w:val="00DF7F0D"/>
    <w:rsid w:val="00E04C41"/>
    <w:rsid w:val="00E1007D"/>
    <w:rsid w:val="00E113D1"/>
    <w:rsid w:val="00E128FE"/>
    <w:rsid w:val="00E22859"/>
    <w:rsid w:val="00E342E8"/>
    <w:rsid w:val="00E50F6E"/>
    <w:rsid w:val="00E529AF"/>
    <w:rsid w:val="00E54077"/>
    <w:rsid w:val="00E607C2"/>
    <w:rsid w:val="00E64287"/>
    <w:rsid w:val="00E64BA5"/>
    <w:rsid w:val="00E7785C"/>
    <w:rsid w:val="00E80988"/>
    <w:rsid w:val="00E838A8"/>
    <w:rsid w:val="00E8477D"/>
    <w:rsid w:val="00E87234"/>
    <w:rsid w:val="00E92401"/>
    <w:rsid w:val="00E96D9F"/>
    <w:rsid w:val="00EA004A"/>
    <w:rsid w:val="00EB3FC1"/>
    <w:rsid w:val="00EB49A5"/>
    <w:rsid w:val="00EC4B86"/>
    <w:rsid w:val="00ED71B8"/>
    <w:rsid w:val="00ED7689"/>
    <w:rsid w:val="00EE40E1"/>
    <w:rsid w:val="00EF0BD2"/>
    <w:rsid w:val="00EF6B41"/>
    <w:rsid w:val="00EF6B86"/>
    <w:rsid w:val="00EF7010"/>
    <w:rsid w:val="00F0724A"/>
    <w:rsid w:val="00F12584"/>
    <w:rsid w:val="00F17236"/>
    <w:rsid w:val="00F20DF1"/>
    <w:rsid w:val="00F25DA8"/>
    <w:rsid w:val="00F2610C"/>
    <w:rsid w:val="00F30379"/>
    <w:rsid w:val="00F30A35"/>
    <w:rsid w:val="00F31184"/>
    <w:rsid w:val="00F42CBD"/>
    <w:rsid w:val="00F5109A"/>
    <w:rsid w:val="00F56605"/>
    <w:rsid w:val="00F70505"/>
    <w:rsid w:val="00F753E7"/>
    <w:rsid w:val="00F756DD"/>
    <w:rsid w:val="00F761EC"/>
    <w:rsid w:val="00F85956"/>
    <w:rsid w:val="00F90F80"/>
    <w:rsid w:val="00F91C66"/>
    <w:rsid w:val="00FA09B6"/>
    <w:rsid w:val="00FB1F8A"/>
    <w:rsid w:val="00FB483D"/>
    <w:rsid w:val="00FB7EF0"/>
    <w:rsid w:val="00FC2EE8"/>
    <w:rsid w:val="00FC5F7E"/>
    <w:rsid w:val="00FD1DC4"/>
    <w:rsid w:val="00FE3DBB"/>
    <w:rsid w:val="00FF6A59"/>
    <w:rsid w:val="13FF7AA2"/>
    <w:rsid w:val="4D5C705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A7616"/>
  <w15:chartTrackingRefBased/>
  <w15:docId w15:val="{F3450B14-9107-4B05-8580-F3FB71017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ter"/>
    <w:uiPriority w:val="9"/>
    <w:qFormat/>
    <w:rsid w:val="00C66D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ter"/>
    <w:uiPriority w:val="9"/>
    <w:semiHidden/>
    <w:unhideWhenUsed/>
    <w:qFormat/>
    <w:rsid w:val="00C66D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ter"/>
    <w:uiPriority w:val="9"/>
    <w:semiHidden/>
    <w:unhideWhenUsed/>
    <w:qFormat/>
    <w:rsid w:val="00C66D98"/>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ter"/>
    <w:uiPriority w:val="9"/>
    <w:semiHidden/>
    <w:unhideWhenUsed/>
    <w:qFormat/>
    <w:rsid w:val="00C66D98"/>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ter"/>
    <w:uiPriority w:val="9"/>
    <w:semiHidden/>
    <w:unhideWhenUsed/>
    <w:qFormat/>
    <w:rsid w:val="00C66D98"/>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ter"/>
    <w:uiPriority w:val="9"/>
    <w:semiHidden/>
    <w:unhideWhenUsed/>
    <w:qFormat/>
    <w:rsid w:val="00C66D9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ter"/>
    <w:uiPriority w:val="9"/>
    <w:semiHidden/>
    <w:unhideWhenUsed/>
    <w:qFormat/>
    <w:rsid w:val="00C66D9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ter"/>
    <w:uiPriority w:val="9"/>
    <w:semiHidden/>
    <w:unhideWhenUsed/>
    <w:qFormat/>
    <w:rsid w:val="00C66D9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ter"/>
    <w:uiPriority w:val="9"/>
    <w:semiHidden/>
    <w:unhideWhenUsed/>
    <w:qFormat/>
    <w:rsid w:val="00C66D98"/>
    <w:pPr>
      <w:keepNext/>
      <w:keepLines/>
      <w:spacing w:after="0"/>
      <w:outlineLvl w:val="8"/>
    </w:pPr>
    <w:rPr>
      <w:rFonts w:eastAsiaTheme="majorEastAsia" w:cstheme="majorBidi"/>
      <w:color w:val="272727" w:themeColor="text1" w:themeTint="D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basedOn w:val="Tipodeletrapredefinidodopargrafo"/>
    <w:link w:val="Ttulo1"/>
    <w:uiPriority w:val="9"/>
    <w:rsid w:val="00C66D98"/>
    <w:rPr>
      <w:rFonts w:asciiTheme="majorHAnsi" w:eastAsiaTheme="majorEastAsia" w:hAnsiTheme="majorHAnsi" w:cstheme="majorBidi"/>
      <w:color w:val="0F4761" w:themeColor="accent1" w:themeShade="BF"/>
      <w:sz w:val="40"/>
      <w:szCs w:val="40"/>
    </w:rPr>
  </w:style>
  <w:style w:type="character" w:customStyle="1" w:styleId="Ttulo2Carter">
    <w:name w:val="Título 2 Caráter"/>
    <w:basedOn w:val="Tipodeletrapredefinidodopargrafo"/>
    <w:link w:val="Ttulo2"/>
    <w:uiPriority w:val="9"/>
    <w:semiHidden/>
    <w:rsid w:val="00C66D98"/>
    <w:rPr>
      <w:rFonts w:asciiTheme="majorHAnsi" w:eastAsiaTheme="majorEastAsia" w:hAnsiTheme="majorHAnsi" w:cstheme="majorBidi"/>
      <w:color w:val="0F4761" w:themeColor="accent1" w:themeShade="BF"/>
      <w:sz w:val="32"/>
      <w:szCs w:val="32"/>
    </w:rPr>
  </w:style>
  <w:style w:type="character" w:customStyle="1" w:styleId="Ttulo3Carter">
    <w:name w:val="Título 3 Caráter"/>
    <w:basedOn w:val="Tipodeletrapredefinidodopargrafo"/>
    <w:link w:val="Ttulo3"/>
    <w:uiPriority w:val="9"/>
    <w:semiHidden/>
    <w:rsid w:val="00C66D98"/>
    <w:rPr>
      <w:rFonts w:eastAsiaTheme="majorEastAsia" w:cstheme="majorBidi"/>
      <w:color w:val="0F4761" w:themeColor="accent1" w:themeShade="BF"/>
      <w:sz w:val="28"/>
      <w:szCs w:val="28"/>
    </w:rPr>
  </w:style>
  <w:style w:type="character" w:customStyle="1" w:styleId="Ttulo4Carter">
    <w:name w:val="Título 4 Caráter"/>
    <w:basedOn w:val="Tipodeletrapredefinidodopargrafo"/>
    <w:link w:val="Ttulo4"/>
    <w:uiPriority w:val="9"/>
    <w:semiHidden/>
    <w:rsid w:val="00C66D98"/>
    <w:rPr>
      <w:rFonts w:eastAsiaTheme="majorEastAsia" w:cstheme="majorBidi"/>
      <w:i/>
      <w:iCs/>
      <w:color w:val="0F4761" w:themeColor="accent1" w:themeShade="BF"/>
    </w:rPr>
  </w:style>
  <w:style w:type="character" w:customStyle="1" w:styleId="Ttulo5Carter">
    <w:name w:val="Título 5 Caráter"/>
    <w:basedOn w:val="Tipodeletrapredefinidodopargrafo"/>
    <w:link w:val="Ttulo5"/>
    <w:uiPriority w:val="9"/>
    <w:semiHidden/>
    <w:rsid w:val="00C66D98"/>
    <w:rPr>
      <w:rFonts w:eastAsiaTheme="majorEastAsia" w:cstheme="majorBidi"/>
      <w:color w:val="0F4761" w:themeColor="accent1" w:themeShade="BF"/>
    </w:rPr>
  </w:style>
  <w:style w:type="character" w:customStyle="1" w:styleId="Ttulo6Carter">
    <w:name w:val="Título 6 Caráter"/>
    <w:basedOn w:val="Tipodeletrapredefinidodopargrafo"/>
    <w:link w:val="Ttulo6"/>
    <w:uiPriority w:val="9"/>
    <w:semiHidden/>
    <w:rsid w:val="00C66D98"/>
    <w:rPr>
      <w:rFonts w:eastAsiaTheme="majorEastAsia" w:cstheme="majorBidi"/>
      <w:i/>
      <w:iCs/>
      <w:color w:val="595959" w:themeColor="text1" w:themeTint="A6"/>
    </w:rPr>
  </w:style>
  <w:style w:type="character" w:customStyle="1" w:styleId="Ttulo7Carter">
    <w:name w:val="Título 7 Caráter"/>
    <w:basedOn w:val="Tipodeletrapredefinidodopargrafo"/>
    <w:link w:val="Ttulo7"/>
    <w:uiPriority w:val="9"/>
    <w:semiHidden/>
    <w:rsid w:val="00C66D98"/>
    <w:rPr>
      <w:rFonts w:eastAsiaTheme="majorEastAsia" w:cstheme="majorBidi"/>
      <w:color w:val="595959" w:themeColor="text1" w:themeTint="A6"/>
    </w:rPr>
  </w:style>
  <w:style w:type="character" w:customStyle="1" w:styleId="Ttulo8Carter">
    <w:name w:val="Título 8 Caráter"/>
    <w:basedOn w:val="Tipodeletrapredefinidodopargrafo"/>
    <w:link w:val="Ttulo8"/>
    <w:uiPriority w:val="9"/>
    <w:semiHidden/>
    <w:rsid w:val="00C66D98"/>
    <w:rPr>
      <w:rFonts w:eastAsiaTheme="majorEastAsia" w:cstheme="majorBidi"/>
      <w:i/>
      <w:iCs/>
      <w:color w:val="272727" w:themeColor="text1" w:themeTint="D8"/>
    </w:rPr>
  </w:style>
  <w:style w:type="character" w:customStyle="1" w:styleId="Ttulo9Carter">
    <w:name w:val="Título 9 Caráter"/>
    <w:basedOn w:val="Tipodeletrapredefinidodopargrafo"/>
    <w:link w:val="Ttulo9"/>
    <w:uiPriority w:val="9"/>
    <w:semiHidden/>
    <w:rsid w:val="00C66D98"/>
    <w:rPr>
      <w:rFonts w:eastAsiaTheme="majorEastAsia" w:cstheme="majorBidi"/>
      <w:color w:val="272727" w:themeColor="text1" w:themeTint="D8"/>
    </w:rPr>
  </w:style>
  <w:style w:type="paragraph" w:styleId="Ttulo">
    <w:name w:val="Title"/>
    <w:basedOn w:val="Normal"/>
    <w:next w:val="Normal"/>
    <w:link w:val="TtuloCarter"/>
    <w:uiPriority w:val="10"/>
    <w:qFormat/>
    <w:rsid w:val="00C66D9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ter">
    <w:name w:val="Título Caráter"/>
    <w:basedOn w:val="Tipodeletrapredefinidodopargrafo"/>
    <w:link w:val="Ttulo"/>
    <w:uiPriority w:val="10"/>
    <w:rsid w:val="00C66D9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ter"/>
    <w:uiPriority w:val="11"/>
    <w:qFormat/>
    <w:rsid w:val="00C66D98"/>
    <w:pPr>
      <w:numPr>
        <w:ilvl w:val="1"/>
      </w:numPr>
    </w:pPr>
    <w:rPr>
      <w:rFonts w:eastAsiaTheme="majorEastAsia" w:cstheme="majorBidi"/>
      <w:color w:val="595959" w:themeColor="text1" w:themeTint="A6"/>
      <w:spacing w:val="15"/>
      <w:sz w:val="28"/>
      <w:szCs w:val="28"/>
    </w:rPr>
  </w:style>
  <w:style w:type="character" w:customStyle="1" w:styleId="SubttuloCarter">
    <w:name w:val="Subtítulo Caráter"/>
    <w:basedOn w:val="Tipodeletrapredefinidodopargrafo"/>
    <w:link w:val="Subttulo"/>
    <w:uiPriority w:val="11"/>
    <w:rsid w:val="00C66D98"/>
    <w:rPr>
      <w:rFonts w:eastAsiaTheme="majorEastAsia" w:cstheme="majorBidi"/>
      <w:color w:val="595959" w:themeColor="text1" w:themeTint="A6"/>
      <w:spacing w:val="15"/>
      <w:sz w:val="28"/>
      <w:szCs w:val="28"/>
    </w:rPr>
  </w:style>
  <w:style w:type="paragraph" w:styleId="Citao">
    <w:name w:val="Quote"/>
    <w:basedOn w:val="Normal"/>
    <w:next w:val="Normal"/>
    <w:link w:val="CitaoCarter"/>
    <w:uiPriority w:val="29"/>
    <w:qFormat/>
    <w:rsid w:val="00C66D98"/>
    <w:pPr>
      <w:spacing w:before="160"/>
      <w:jc w:val="center"/>
    </w:pPr>
    <w:rPr>
      <w:i/>
      <w:iCs/>
      <w:color w:val="404040" w:themeColor="text1" w:themeTint="BF"/>
    </w:rPr>
  </w:style>
  <w:style w:type="character" w:customStyle="1" w:styleId="CitaoCarter">
    <w:name w:val="Citação Caráter"/>
    <w:basedOn w:val="Tipodeletrapredefinidodopargrafo"/>
    <w:link w:val="Citao"/>
    <w:uiPriority w:val="29"/>
    <w:rsid w:val="00C66D98"/>
    <w:rPr>
      <w:i/>
      <w:iCs/>
      <w:color w:val="404040" w:themeColor="text1" w:themeTint="BF"/>
    </w:rPr>
  </w:style>
  <w:style w:type="paragraph" w:styleId="PargrafodaLista">
    <w:name w:val="List Paragraph"/>
    <w:basedOn w:val="Normal"/>
    <w:uiPriority w:val="34"/>
    <w:qFormat/>
    <w:rsid w:val="00C66D98"/>
    <w:pPr>
      <w:ind w:left="720"/>
      <w:contextualSpacing/>
    </w:pPr>
  </w:style>
  <w:style w:type="character" w:styleId="nfaseIntensa">
    <w:name w:val="Intense Emphasis"/>
    <w:basedOn w:val="Tipodeletrapredefinidodopargrafo"/>
    <w:uiPriority w:val="21"/>
    <w:qFormat/>
    <w:rsid w:val="00C66D98"/>
    <w:rPr>
      <w:i/>
      <w:iCs/>
      <w:color w:val="0F4761" w:themeColor="accent1" w:themeShade="BF"/>
    </w:rPr>
  </w:style>
  <w:style w:type="paragraph" w:styleId="CitaoIntensa">
    <w:name w:val="Intense Quote"/>
    <w:basedOn w:val="Normal"/>
    <w:next w:val="Normal"/>
    <w:link w:val="CitaoIntensaCarter"/>
    <w:uiPriority w:val="30"/>
    <w:qFormat/>
    <w:rsid w:val="00C66D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arter">
    <w:name w:val="Citação Intensa Caráter"/>
    <w:basedOn w:val="Tipodeletrapredefinidodopargrafo"/>
    <w:link w:val="CitaoIntensa"/>
    <w:uiPriority w:val="30"/>
    <w:rsid w:val="00C66D98"/>
    <w:rPr>
      <w:i/>
      <w:iCs/>
      <w:color w:val="0F4761" w:themeColor="accent1" w:themeShade="BF"/>
    </w:rPr>
  </w:style>
  <w:style w:type="character" w:styleId="RefernciaIntensa">
    <w:name w:val="Intense Reference"/>
    <w:basedOn w:val="Tipodeletrapredefinidodopargrafo"/>
    <w:uiPriority w:val="32"/>
    <w:qFormat/>
    <w:rsid w:val="00C66D98"/>
    <w:rPr>
      <w:b/>
      <w:bCs/>
      <w:smallCaps/>
      <w:color w:val="0F4761" w:themeColor="accent1" w:themeShade="BF"/>
      <w:spacing w:val="5"/>
    </w:rPr>
  </w:style>
  <w:style w:type="paragraph" w:styleId="Cabealho">
    <w:name w:val="header"/>
    <w:basedOn w:val="Normal"/>
    <w:link w:val="CabealhoCarter"/>
    <w:uiPriority w:val="99"/>
    <w:unhideWhenUsed/>
    <w:rsid w:val="00C66D98"/>
    <w:pPr>
      <w:tabs>
        <w:tab w:val="center" w:pos="4419"/>
        <w:tab w:val="right" w:pos="8838"/>
      </w:tabs>
      <w:spacing w:after="0" w:line="240" w:lineRule="auto"/>
    </w:pPr>
  </w:style>
  <w:style w:type="character" w:customStyle="1" w:styleId="CabealhoCarter">
    <w:name w:val="Cabeçalho Caráter"/>
    <w:basedOn w:val="Tipodeletrapredefinidodopargrafo"/>
    <w:link w:val="Cabealho"/>
    <w:uiPriority w:val="99"/>
    <w:rsid w:val="00C66D98"/>
  </w:style>
  <w:style w:type="paragraph" w:styleId="Rodap">
    <w:name w:val="footer"/>
    <w:basedOn w:val="Normal"/>
    <w:link w:val="RodapCarter"/>
    <w:uiPriority w:val="99"/>
    <w:unhideWhenUsed/>
    <w:rsid w:val="00C66D98"/>
    <w:pPr>
      <w:tabs>
        <w:tab w:val="center" w:pos="4419"/>
        <w:tab w:val="right" w:pos="8838"/>
      </w:tabs>
      <w:spacing w:after="0" w:line="240" w:lineRule="auto"/>
    </w:pPr>
  </w:style>
  <w:style w:type="character" w:customStyle="1" w:styleId="RodapCarter">
    <w:name w:val="Rodapé Caráter"/>
    <w:basedOn w:val="Tipodeletrapredefinidodopargrafo"/>
    <w:link w:val="Rodap"/>
    <w:uiPriority w:val="99"/>
    <w:rsid w:val="00C66D98"/>
  </w:style>
  <w:style w:type="character" w:styleId="Hiperligao">
    <w:name w:val="Hyperlink"/>
    <w:basedOn w:val="Tipodeletrapredefinidodopargrafo"/>
    <w:uiPriority w:val="99"/>
    <w:unhideWhenUsed/>
    <w:rsid w:val="002E2AE9"/>
    <w:rPr>
      <w:color w:val="467886" w:themeColor="hyperlink"/>
      <w:u w:val="single"/>
    </w:rPr>
  </w:style>
  <w:style w:type="character" w:styleId="MenoNoResolvida">
    <w:name w:val="Unresolved Mention"/>
    <w:basedOn w:val="Tipodeletrapredefinidodopargrafo"/>
    <w:uiPriority w:val="99"/>
    <w:semiHidden/>
    <w:unhideWhenUsed/>
    <w:rsid w:val="002E2AE9"/>
    <w:rPr>
      <w:color w:val="605E5C"/>
      <w:shd w:val="clear" w:color="auto" w:fill="E1DFDD"/>
    </w:rPr>
  </w:style>
  <w:style w:type="character" w:styleId="Refdecomentrio">
    <w:name w:val="annotation reference"/>
    <w:basedOn w:val="Tipodeletrapredefinidodopargrafo"/>
    <w:uiPriority w:val="99"/>
    <w:semiHidden/>
    <w:unhideWhenUsed/>
    <w:rsid w:val="002E2AE9"/>
    <w:rPr>
      <w:sz w:val="16"/>
      <w:szCs w:val="16"/>
    </w:rPr>
  </w:style>
  <w:style w:type="paragraph" w:styleId="Textodecomentrio">
    <w:name w:val="annotation text"/>
    <w:basedOn w:val="Normal"/>
    <w:link w:val="TextodecomentrioCarter"/>
    <w:uiPriority w:val="99"/>
    <w:unhideWhenUsed/>
    <w:rsid w:val="002E2AE9"/>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rsid w:val="002E2AE9"/>
    <w:rPr>
      <w:sz w:val="20"/>
      <w:szCs w:val="20"/>
    </w:rPr>
  </w:style>
  <w:style w:type="paragraph" w:styleId="Assuntodecomentrio">
    <w:name w:val="annotation subject"/>
    <w:basedOn w:val="Textodecomentrio"/>
    <w:next w:val="Textodecomentrio"/>
    <w:link w:val="AssuntodecomentrioCarter"/>
    <w:uiPriority w:val="99"/>
    <w:semiHidden/>
    <w:unhideWhenUsed/>
    <w:rsid w:val="002E2AE9"/>
    <w:rPr>
      <w:b/>
      <w:bCs/>
    </w:rPr>
  </w:style>
  <w:style w:type="character" w:customStyle="1" w:styleId="AssuntodecomentrioCarter">
    <w:name w:val="Assunto de comentário Caráter"/>
    <w:basedOn w:val="TextodecomentrioCarter"/>
    <w:link w:val="Assuntodecomentrio"/>
    <w:uiPriority w:val="99"/>
    <w:semiHidden/>
    <w:rsid w:val="002E2AE9"/>
    <w:rPr>
      <w:b/>
      <w:bCs/>
      <w:sz w:val="20"/>
      <w:szCs w:val="20"/>
    </w:rPr>
  </w:style>
  <w:style w:type="paragraph" w:styleId="Reviso">
    <w:name w:val="Revision"/>
    <w:hidden/>
    <w:uiPriority w:val="99"/>
    <w:semiHidden/>
    <w:rsid w:val="00167F99"/>
    <w:pPr>
      <w:spacing w:after="0" w:line="240" w:lineRule="auto"/>
    </w:pPr>
  </w:style>
  <w:style w:type="character" w:styleId="Hiperligaovisitada">
    <w:name w:val="FollowedHyperlink"/>
    <w:basedOn w:val="Tipodeletrapredefinidodopargrafo"/>
    <w:uiPriority w:val="99"/>
    <w:semiHidden/>
    <w:unhideWhenUsed/>
    <w:rsid w:val="00644589"/>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162038">
      <w:bodyDiv w:val="1"/>
      <w:marLeft w:val="0"/>
      <w:marRight w:val="0"/>
      <w:marTop w:val="0"/>
      <w:marBottom w:val="0"/>
      <w:divBdr>
        <w:top w:val="none" w:sz="0" w:space="0" w:color="auto"/>
        <w:left w:val="none" w:sz="0" w:space="0" w:color="auto"/>
        <w:bottom w:val="none" w:sz="0" w:space="0" w:color="auto"/>
        <w:right w:val="none" w:sz="0" w:space="0" w:color="auto"/>
      </w:divBdr>
    </w:div>
    <w:div w:id="899173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aquel.rogeiro@lift.com.p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doutorfinancas.pt/sobre-doutor-financa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doutorfinancas.pt/financas-pessoais/o-seu-filho-ficou-colocado-longe-de-casa-o-que-deve-considerar/"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hyperlink" Target="https://www.doutorfinancas.p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miguel.carrilho@lift.com.p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CE2CC265F5C2334985E4B3FC6F05D8EC" ma:contentTypeVersion="11" ma:contentTypeDescription="Criar um novo documento." ma:contentTypeScope="" ma:versionID="3e0c0f55a9c5d0c1b4c732b1ee1ee6dc">
  <xsd:schema xmlns:xsd="http://www.w3.org/2001/XMLSchema" xmlns:xs="http://www.w3.org/2001/XMLSchema" xmlns:p="http://schemas.microsoft.com/office/2006/metadata/properties" xmlns:ns2="5b430281-fad7-436a-b902-e011d6f73fb0" xmlns:ns3="758c6338-9cc2-440b-9e2c-ab0d12a0ff25" targetNamespace="http://schemas.microsoft.com/office/2006/metadata/properties" ma:root="true" ma:fieldsID="266be52e6d20fefa9b2cb8ff3e2c2dc4" ns2:_="" ns3:_="">
    <xsd:import namespace="5b430281-fad7-436a-b902-e011d6f73fb0"/>
    <xsd:import namespace="758c6338-9cc2-440b-9e2c-ab0d12a0ff2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30281-fad7-436a-b902-e011d6f73f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m" ma:readOnly="false" ma:fieldId="{5cf76f15-5ced-4ddc-b409-7134ff3c332f}" ma:taxonomyMulti="true" ma:sspId="ddcb7503-4b75-4e84-976f-67b56c43c83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8c6338-9cc2-440b-9e2c-ab0d12a0ff2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5e6d457-6d3e-4a1d-bab7-9564f40c69ee}" ma:internalName="TaxCatchAll" ma:showField="CatchAllData" ma:web="758c6338-9cc2-440b-9e2c-ab0d12a0ff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b430281-fad7-436a-b902-e011d6f73fb0">
      <Terms xmlns="http://schemas.microsoft.com/office/infopath/2007/PartnerControls"/>
    </lcf76f155ced4ddcb4097134ff3c332f>
    <TaxCatchAll xmlns="758c6338-9cc2-440b-9e2c-ab0d12a0ff25" xsi:nil="true"/>
  </documentManagement>
</p:properties>
</file>

<file path=customXml/itemProps1.xml><?xml version="1.0" encoding="utf-8"?>
<ds:datastoreItem xmlns:ds="http://schemas.openxmlformats.org/officeDocument/2006/customXml" ds:itemID="{2CAE7453-388D-4124-A3CD-9E70FB9157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30281-fad7-436a-b902-e011d6f73fb0"/>
    <ds:schemaRef ds:uri="758c6338-9cc2-440b-9e2c-ab0d12a0ff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0B4A6B-0C42-4D8E-97A6-8E18AB38C41A}">
  <ds:schemaRefs>
    <ds:schemaRef ds:uri="http://schemas.microsoft.com/sharepoint/v3/contenttype/forms"/>
  </ds:schemaRefs>
</ds:datastoreItem>
</file>

<file path=customXml/itemProps3.xml><?xml version="1.0" encoding="utf-8"?>
<ds:datastoreItem xmlns:ds="http://schemas.openxmlformats.org/officeDocument/2006/customXml" ds:itemID="{F57C5965-E003-404F-A887-C3ED02F3D5D5}">
  <ds:schemaRefs>
    <ds:schemaRef ds:uri="http://schemas.microsoft.com/office/2006/metadata/properties"/>
    <ds:schemaRef ds:uri="http://schemas.microsoft.com/office/infopath/2007/PartnerControls"/>
    <ds:schemaRef ds:uri="5b430281-fad7-436a-b902-e011d6f73fb0"/>
    <ds:schemaRef ds:uri="758c6338-9cc2-440b-9e2c-ab0d12a0ff25"/>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5</Pages>
  <Words>1349</Words>
  <Characters>7290</Characters>
  <Application>Microsoft Office Word</Application>
  <DocSecurity>0</DocSecurity>
  <Lines>60</Lines>
  <Paragraphs>17</Paragraphs>
  <ScaleCrop>false</ScaleCrop>
  <Company/>
  <LinksUpToDate>false</LinksUpToDate>
  <CharactersWithSpaces>8622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Fábio Duarte</dc:creator>
  <cp:keywords/>
  <dc:description/>
  <cp:lastModifiedBy>Raquel Rogeiro</cp:lastModifiedBy>
  <cp:revision>130</cp:revision>
  <cp:lastPrinted>2025-11-12T10:24:00Z</cp:lastPrinted>
  <dcterms:created xsi:type="dcterms:W3CDTF">2026-02-24T16:32:00Z</dcterms:created>
  <dcterms:modified xsi:type="dcterms:W3CDTF">2026-08-11T13:47:00Z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0x010100CE2CC265F5C2334985E4B3FC6F05D8EC</vt:lpwstr>
  </property>
  <property fmtid="{D5CDD505-2E9C-101B-9397-08002B2CF9AE}" pid="3" name="MediaServiceImageTags">
    <vt:lpwstr/>
  </property>
</Properties>
</file>