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C760" w14:textId="45E92F7F" w:rsidR="009D7EBB" w:rsidRPr="00352F50" w:rsidRDefault="00FE2833" w:rsidP="009D7EBB">
      <w:pPr>
        <w:pStyle w:val="Akapitzlist"/>
        <w:tabs>
          <w:tab w:val="left" w:pos="5630"/>
        </w:tabs>
        <w:ind w:left="0"/>
        <w:jc w:val="center"/>
        <w:rPr>
          <w:rFonts w:ascii="Arial" w:hAnsi="Arial" w:cs="Arial"/>
          <w:i/>
          <w:iCs/>
          <w:sz w:val="24"/>
          <w:szCs w:val="24"/>
          <w:lang w:val="pl-PL"/>
        </w:rPr>
      </w:pPr>
      <w:bookmarkStart w:id="0" w:name="_Hlk82005360"/>
      <w:bookmarkStart w:id="1" w:name="_Hlk98792970"/>
      <w:r w:rsidRPr="00352F50">
        <w:rPr>
          <w:rFonts w:ascii="Arial" w:hAnsi="Arial" w:cs="Arial"/>
          <w:b/>
          <w:bCs/>
          <w:sz w:val="28"/>
          <w:szCs w:val="28"/>
          <w:lang w:val="pl-PL"/>
        </w:rPr>
        <w:t xml:space="preserve">Czynsze w najlepszych </w:t>
      </w:r>
      <w:r w:rsidR="00FD7777">
        <w:rPr>
          <w:rFonts w:ascii="Arial" w:hAnsi="Arial" w:cs="Arial"/>
          <w:b/>
          <w:bCs/>
          <w:sz w:val="28"/>
          <w:szCs w:val="28"/>
          <w:lang w:val="pl-PL"/>
        </w:rPr>
        <w:t xml:space="preserve">nieruchomościach </w:t>
      </w:r>
      <w:r w:rsidR="00B977A4" w:rsidRPr="00352F50">
        <w:rPr>
          <w:rFonts w:ascii="Arial" w:hAnsi="Arial" w:cs="Arial"/>
          <w:b/>
          <w:bCs/>
          <w:sz w:val="28"/>
          <w:szCs w:val="28"/>
          <w:lang w:val="pl-PL"/>
        </w:rPr>
        <w:t xml:space="preserve">w Europie </w:t>
      </w:r>
      <w:r w:rsidR="00FD7777">
        <w:rPr>
          <w:rFonts w:ascii="Arial" w:hAnsi="Arial" w:cs="Arial"/>
          <w:b/>
          <w:bCs/>
          <w:sz w:val="28"/>
          <w:szCs w:val="28"/>
          <w:lang w:val="pl-PL"/>
        </w:rPr>
        <w:t xml:space="preserve">utrzymują się na </w:t>
      </w:r>
      <w:r w:rsidR="00184B5E" w:rsidRPr="00352F50">
        <w:rPr>
          <w:rFonts w:ascii="Arial" w:hAnsi="Arial" w:cs="Arial"/>
          <w:b/>
          <w:bCs/>
          <w:sz w:val="28"/>
          <w:szCs w:val="28"/>
          <w:lang w:val="pl-PL"/>
        </w:rPr>
        <w:t>stabiln</w:t>
      </w:r>
      <w:r w:rsidR="00FD7777">
        <w:rPr>
          <w:rFonts w:ascii="Arial" w:hAnsi="Arial" w:cs="Arial"/>
          <w:b/>
          <w:bCs/>
          <w:sz w:val="28"/>
          <w:szCs w:val="28"/>
          <w:lang w:val="pl-PL"/>
        </w:rPr>
        <w:t>ym poziomi</w:t>
      </w:r>
      <w:r w:rsidR="00184B5E" w:rsidRPr="00352F50">
        <w:rPr>
          <w:rFonts w:ascii="Arial" w:hAnsi="Arial" w:cs="Arial"/>
          <w:b/>
          <w:bCs/>
          <w:sz w:val="28"/>
          <w:szCs w:val="28"/>
          <w:lang w:val="pl-PL"/>
        </w:rPr>
        <w:t xml:space="preserve">e przy pierwszych oznakach </w:t>
      </w:r>
      <w:r w:rsidR="00A5642F" w:rsidRPr="00352F50">
        <w:rPr>
          <w:rFonts w:ascii="Arial" w:hAnsi="Arial" w:cs="Arial"/>
          <w:b/>
          <w:bCs/>
          <w:sz w:val="28"/>
          <w:szCs w:val="28"/>
          <w:lang w:val="pl-PL"/>
        </w:rPr>
        <w:t>wzrostu stóp kapitalizacji</w:t>
      </w:r>
    </w:p>
    <w:p w14:paraId="0D706F42" w14:textId="73B0BC5B" w:rsidR="00573968" w:rsidRPr="000108EB" w:rsidRDefault="00C15653" w:rsidP="000A7731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0108EB">
        <w:rPr>
          <w:rFonts w:ascii="Arial" w:hAnsi="Arial" w:cs="Arial"/>
          <w:b/>
          <w:sz w:val="20"/>
          <w:szCs w:val="20"/>
          <w:lang w:val="pl-PL"/>
        </w:rPr>
        <w:t>Z najno</w:t>
      </w:r>
      <w:r w:rsidR="00D373A8" w:rsidRPr="000108EB">
        <w:rPr>
          <w:rFonts w:ascii="Arial" w:hAnsi="Arial" w:cs="Arial"/>
          <w:b/>
          <w:sz w:val="20"/>
          <w:szCs w:val="20"/>
          <w:lang w:val="pl-PL"/>
        </w:rPr>
        <w:t>w</w:t>
      </w:r>
      <w:r w:rsidRPr="000108EB">
        <w:rPr>
          <w:rFonts w:ascii="Arial" w:hAnsi="Arial" w:cs="Arial"/>
          <w:b/>
          <w:sz w:val="20"/>
          <w:szCs w:val="20"/>
          <w:lang w:val="pl-PL"/>
        </w:rPr>
        <w:t xml:space="preserve">szego raportu międzynarodowej firmy doradczej </w:t>
      </w:r>
      <w:r w:rsidR="00573968" w:rsidRPr="000108EB">
        <w:rPr>
          <w:rFonts w:ascii="Arial" w:hAnsi="Arial" w:cs="Arial"/>
          <w:b/>
          <w:sz w:val="20"/>
          <w:szCs w:val="20"/>
          <w:lang w:val="pl-PL"/>
        </w:rPr>
        <w:t xml:space="preserve">Cushman &amp; Wakefield </w:t>
      </w:r>
      <w:r w:rsidRPr="000108EB">
        <w:rPr>
          <w:rFonts w:ascii="Arial" w:hAnsi="Arial" w:cs="Arial"/>
          <w:b/>
          <w:sz w:val="20"/>
          <w:szCs w:val="20"/>
          <w:lang w:val="pl-PL"/>
        </w:rPr>
        <w:t>pt. „</w:t>
      </w:r>
      <w:r w:rsidR="00573968" w:rsidRPr="000108EB">
        <w:rPr>
          <w:rFonts w:ascii="Arial" w:hAnsi="Arial" w:cs="Arial"/>
          <w:b/>
          <w:i/>
          <w:iCs/>
          <w:sz w:val="20"/>
          <w:szCs w:val="20"/>
          <w:lang w:val="pl-PL"/>
        </w:rPr>
        <w:t xml:space="preserve">DNA of Real </w:t>
      </w:r>
      <w:proofErr w:type="spellStart"/>
      <w:r w:rsidR="00573968" w:rsidRPr="000108EB">
        <w:rPr>
          <w:rFonts w:ascii="Arial" w:hAnsi="Arial" w:cs="Arial"/>
          <w:b/>
          <w:i/>
          <w:iCs/>
          <w:sz w:val="20"/>
          <w:szCs w:val="20"/>
          <w:lang w:val="pl-PL"/>
        </w:rPr>
        <w:t>Estate</w:t>
      </w:r>
      <w:proofErr w:type="spellEnd"/>
      <w:r w:rsidRPr="000108EB">
        <w:rPr>
          <w:rFonts w:ascii="Arial" w:hAnsi="Arial" w:cs="Arial"/>
          <w:b/>
          <w:i/>
          <w:iCs/>
          <w:sz w:val="20"/>
          <w:szCs w:val="20"/>
          <w:lang w:val="pl-PL"/>
        </w:rPr>
        <w:t>”</w:t>
      </w:r>
      <w:r w:rsidR="00573968" w:rsidRPr="000108EB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0108EB">
        <w:rPr>
          <w:rFonts w:ascii="Arial" w:hAnsi="Arial" w:cs="Arial"/>
          <w:b/>
          <w:sz w:val="20"/>
          <w:szCs w:val="20"/>
          <w:lang w:val="pl-PL"/>
        </w:rPr>
        <w:t xml:space="preserve">wynika, że </w:t>
      </w:r>
      <w:r w:rsidR="00D373A8" w:rsidRPr="000108EB">
        <w:rPr>
          <w:rFonts w:ascii="Arial" w:hAnsi="Arial" w:cs="Arial"/>
          <w:b/>
          <w:sz w:val="20"/>
          <w:szCs w:val="20"/>
          <w:lang w:val="pl-PL"/>
        </w:rPr>
        <w:t xml:space="preserve">w drugim kwartale 2026 roku rynki nieruchomości w Europie utrzymywały stabilny kurs. </w:t>
      </w:r>
      <w:r w:rsidR="008E75B1" w:rsidRPr="000108EB">
        <w:rPr>
          <w:rFonts w:ascii="Arial" w:hAnsi="Arial" w:cs="Arial"/>
          <w:b/>
          <w:sz w:val="20"/>
          <w:szCs w:val="20"/>
          <w:lang w:val="pl-PL"/>
        </w:rPr>
        <w:t xml:space="preserve">Odnotowano </w:t>
      </w:r>
      <w:r w:rsidR="00C121E4" w:rsidRPr="000108EB">
        <w:rPr>
          <w:rFonts w:ascii="Arial" w:hAnsi="Arial" w:cs="Arial"/>
          <w:b/>
          <w:sz w:val="20"/>
          <w:szCs w:val="20"/>
          <w:lang w:val="pl-PL"/>
        </w:rPr>
        <w:t>wzrost czynszów w najważniejszych sektorach (biurowym, logistycznym i handlowym)</w:t>
      </w:r>
      <w:r w:rsidR="00350A08" w:rsidRPr="000108EB">
        <w:rPr>
          <w:rFonts w:ascii="Arial" w:hAnsi="Arial" w:cs="Arial"/>
          <w:b/>
          <w:sz w:val="20"/>
          <w:szCs w:val="20"/>
          <w:lang w:val="pl-PL"/>
        </w:rPr>
        <w:t xml:space="preserve"> pomimo </w:t>
      </w:r>
      <w:r w:rsidR="00B72FA2" w:rsidRPr="000108EB">
        <w:rPr>
          <w:rFonts w:ascii="Arial" w:hAnsi="Arial" w:cs="Arial"/>
          <w:b/>
          <w:sz w:val="20"/>
          <w:szCs w:val="20"/>
          <w:lang w:val="pl-PL"/>
        </w:rPr>
        <w:t xml:space="preserve">pierwszych </w:t>
      </w:r>
      <w:r w:rsidR="0049457C" w:rsidRPr="000108EB">
        <w:rPr>
          <w:rFonts w:ascii="Arial" w:hAnsi="Arial" w:cs="Arial"/>
          <w:b/>
          <w:sz w:val="20"/>
          <w:szCs w:val="20"/>
          <w:lang w:val="pl-PL"/>
        </w:rPr>
        <w:t xml:space="preserve">od dwóch lat </w:t>
      </w:r>
      <w:r w:rsidR="00B72FA2" w:rsidRPr="000108EB">
        <w:rPr>
          <w:rFonts w:ascii="Arial" w:hAnsi="Arial" w:cs="Arial"/>
          <w:b/>
          <w:sz w:val="20"/>
          <w:szCs w:val="20"/>
          <w:lang w:val="pl-PL"/>
        </w:rPr>
        <w:t>oznak dekompresji stóp kapitaliz</w:t>
      </w:r>
      <w:r w:rsidR="0049457C" w:rsidRPr="000108EB">
        <w:rPr>
          <w:rFonts w:ascii="Arial" w:hAnsi="Arial" w:cs="Arial"/>
          <w:b/>
          <w:sz w:val="20"/>
          <w:szCs w:val="20"/>
          <w:lang w:val="pl-PL"/>
        </w:rPr>
        <w:t>acji</w:t>
      </w:r>
      <w:r w:rsidR="00573968" w:rsidRPr="000108EB">
        <w:rPr>
          <w:rFonts w:ascii="Arial" w:hAnsi="Arial" w:cs="Arial"/>
          <w:b/>
          <w:sz w:val="20"/>
          <w:szCs w:val="20"/>
          <w:lang w:val="pl-PL"/>
        </w:rPr>
        <w:t>.</w:t>
      </w:r>
      <w:r w:rsidR="000108EB" w:rsidRPr="000108EB">
        <w:rPr>
          <w:b/>
          <w:lang w:val="pl-PL"/>
        </w:rPr>
        <w:t xml:space="preserve"> </w:t>
      </w:r>
      <w:r w:rsidR="000108EB" w:rsidRPr="000108EB">
        <w:rPr>
          <w:rFonts w:ascii="Arial" w:hAnsi="Arial" w:cs="Arial"/>
          <w:b/>
          <w:sz w:val="20"/>
          <w:szCs w:val="20"/>
          <w:lang w:val="pl-PL"/>
        </w:rPr>
        <w:t xml:space="preserve">W Polsce największą dynamikę wzrostu czynszów </w:t>
      </w:r>
      <w:r w:rsidR="00C20D0D">
        <w:rPr>
          <w:rFonts w:ascii="Arial" w:hAnsi="Arial" w:cs="Arial"/>
          <w:b/>
          <w:sz w:val="20"/>
          <w:szCs w:val="20"/>
          <w:lang w:val="pl-PL"/>
        </w:rPr>
        <w:t>zaobserwowano</w:t>
      </w:r>
      <w:r w:rsidR="00C20D0D" w:rsidRPr="000108EB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0108EB" w:rsidRPr="000108EB">
        <w:rPr>
          <w:rFonts w:ascii="Arial" w:hAnsi="Arial" w:cs="Arial"/>
          <w:b/>
          <w:sz w:val="20"/>
          <w:szCs w:val="20"/>
          <w:lang w:val="pl-PL"/>
        </w:rPr>
        <w:t>na rynku biurowym, gdzie stawki za najlepsze powierzchnie zwiększyły się o ponad 8,5% rok do roku.</w:t>
      </w:r>
    </w:p>
    <w:p w14:paraId="04CC2144" w14:textId="77777777" w:rsidR="009608BD" w:rsidRPr="00352F50" w:rsidRDefault="009608BD" w:rsidP="000108EB">
      <w:pPr>
        <w:tabs>
          <w:tab w:val="left" w:pos="5630"/>
        </w:tabs>
        <w:spacing w:after="0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26059A25" w14:textId="7299617A" w:rsidR="00F650DB" w:rsidRPr="00352F50" w:rsidRDefault="0013021C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52F50">
        <w:rPr>
          <w:rFonts w:ascii="Arial" w:hAnsi="Arial" w:cs="Arial"/>
          <w:bCs/>
          <w:sz w:val="20"/>
          <w:szCs w:val="20"/>
          <w:lang w:val="pl-PL"/>
        </w:rPr>
        <w:t xml:space="preserve">Drugi kwartał upłynął pod znakiem zawirowań geopolitycznych </w:t>
      </w:r>
      <w:r w:rsidR="00145035">
        <w:rPr>
          <w:rFonts w:ascii="Arial" w:hAnsi="Arial" w:cs="Arial"/>
          <w:bCs/>
          <w:sz w:val="20"/>
          <w:szCs w:val="20"/>
          <w:lang w:val="pl-PL"/>
        </w:rPr>
        <w:t xml:space="preserve">związanych z </w:t>
      </w:r>
      <w:r w:rsidRPr="00352F50">
        <w:rPr>
          <w:rFonts w:ascii="Arial" w:hAnsi="Arial" w:cs="Arial"/>
          <w:bCs/>
          <w:sz w:val="20"/>
          <w:szCs w:val="20"/>
          <w:lang w:val="pl-PL"/>
        </w:rPr>
        <w:t>utrzymując</w:t>
      </w:r>
      <w:r w:rsidR="00145035">
        <w:rPr>
          <w:rFonts w:ascii="Arial" w:hAnsi="Arial" w:cs="Arial"/>
          <w:bCs/>
          <w:sz w:val="20"/>
          <w:szCs w:val="20"/>
          <w:lang w:val="pl-PL"/>
        </w:rPr>
        <w:t>ymi</w:t>
      </w:r>
      <w:r w:rsidRPr="00352F50">
        <w:rPr>
          <w:rFonts w:ascii="Arial" w:hAnsi="Arial" w:cs="Arial"/>
          <w:bCs/>
          <w:sz w:val="20"/>
          <w:szCs w:val="20"/>
          <w:lang w:val="pl-PL"/>
        </w:rPr>
        <w:t xml:space="preserve"> się </w:t>
      </w:r>
      <w:r w:rsidR="007E5480" w:rsidRPr="00352F50">
        <w:rPr>
          <w:rFonts w:ascii="Arial" w:hAnsi="Arial" w:cs="Arial"/>
          <w:bCs/>
          <w:sz w:val="20"/>
          <w:szCs w:val="20"/>
          <w:lang w:val="pl-PL"/>
        </w:rPr>
        <w:t>napięcia</w:t>
      </w:r>
      <w:r w:rsidR="004867EC">
        <w:rPr>
          <w:rFonts w:ascii="Arial" w:hAnsi="Arial" w:cs="Arial"/>
          <w:bCs/>
          <w:sz w:val="20"/>
          <w:szCs w:val="20"/>
          <w:lang w:val="pl-PL"/>
        </w:rPr>
        <w:t>mi</w:t>
      </w:r>
      <w:r w:rsidR="007E5480" w:rsidRPr="00352F50">
        <w:rPr>
          <w:rFonts w:ascii="Arial" w:hAnsi="Arial" w:cs="Arial"/>
          <w:bCs/>
          <w:sz w:val="20"/>
          <w:szCs w:val="20"/>
          <w:lang w:val="pl-PL"/>
        </w:rPr>
        <w:t xml:space="preserve"> na Bliskim Wschodzie. </w:t>
      </w:r>
      <w:r w:rsidR="00D44288" w:rsidRPr="00352F50">
        <w:rPr>
          <w:rFonts w:ascii="Arial" w:hAnsi="Arial" w:cs="Arial"/>
          <w:bCs/>
          <w:sz w:val="20"/>
          <w:szCs w:val="20"/>
          <w:lang w:val="pl-PL"/>
        </w:rPr>
        <w:t xml:space="preserve">W tym </w:t>
      </w:r>
      <w:r w:rsidR="00EE5970">
        <w:rPr>
          <w:rFonts w:ascii="Arial" w:hAnsi="Arial" w:cs="Arial"/>
          <w:bCs/>
          <w:sz w:val="20"/>
          <w:szCs w:val="20"/>
          <w:lang w:val="pl-PL"/>
        </w:rPr>
        <w:t>okresie</w:t>
      </w:r>
      <w:r w:rsidR="00D44288" w:rsidRPr="00352F50">
        <w:rPr>
          <w:rFonts w:ascii="Arial" w:hAnsi="Arial" w:cs="Arial"/>
          <w:bCs/>
          <w:sz w:val="20"/>
          <w:szCs w:val="20"/>
          <w:lang w:val="pl-PL"/>
        </w:rPr>
        <w:t xml:space="preserve"> r</w:t>
      </w:r>
      <w:r w:rsidR="00740783" w:rsidRPr="00352F50">
        <w:rPr>
          <w:rFonts w:ascii="Arial" w:hAnsi="Arial" w:cs="Arial"/>
          <w:bCs/>
          <w:sz w:val="20"/>
          <w:szCs w:val="20"/>
          <w:lang w:val="pl-PL"/>
        </w:rPr>
        <w:t xml:space="preserve">entowności obligacji </w:t>
      </w:r>
      <w:r w:rsidR="00D44288" w:rsidRPr="00352F50">
        <w:rPr>
          <w:rFonts w:ascii="Arial" w:hAnsi="Arial" w:cs="Arial"/>
          <w:bCs/>
          <w:sz w:val="20"/>
          <w:szCs w:val="20"/>
          <w:lang w:val="pl-PL"/>
        </w:rPr>
        <w:t>pozostawały na wysokim poziomie, nieznacznie obniżają</w:t>
      </w:r>
      <w:r w:rsidR="00535236" w:rsidRPr="00352F50">
        <w:rPr>
          <w:rFonts w:ascii="Arial" w:hAnsi="Arial" w:cs="Arial"/>
          <w:bCs/>
          <w:sz w:val="20"/>
          <w:szCs w:val="20"/>
          <w:lang w:val="pl-PL"/>
        </w:rPr>
        <w:t xml:space="preserve">c </w:t>
      </w:r>
      <w:r w:rsidR="004867EC">
        <w:rPr>
          <w:rFonts w:ascii="Arial" w:hAnsi="Arial" w:cs="Arial"/>
          <w:bCs/>
          <w:sz w:val="20"/>
          <w:szCs w:val="20"/>
          <w:lang w:val="pl-PL"/>
        </w:rPr>
        <w:t xml:space="preserve">się </w:t>
      </w:r>
      <w:r w:rsidR="00535236" w:rsidRPr="00352F50">
        <w:rPr>
          <w:rFonts w:ascii="Arial" w:hAnsi="Arial" w:cs="Arial"/>
          <w:bCs/>
          <w:sz w:val="20"/>
          <w:szCs w:val="20"/>
          <w:lang w:val="pl-PL"/>
        </w:rPr>
        <w:t xml:space="preserve">pod koniec kwartału w związku z nadziejami na zawarcie porozumienia pokojowego. </w:t>
      </w:r>
      <w:r w:rsidR="00270E7E" w:rsidRPr="00352F50">
        <w:rPr>
          <w:rFonts w:ascii="Arial" w:hAnsi="Arial" w:cs="Arial"/>
          <w:bCs/>
          <w:sz w:val="20"/>
          <w:szCs w:val="20"/>
          <w:lang w:val="pl-PL"/>
        </w:rPr>
        <w:t xml:space="preserve">Wraz z podwyżkami stóp procentowych przez Europejski Bank Centralny (EBC) perspektywa kompresji stóp kapitalizacji osłabła, co wywarło presję na </w:t>
      </w:r>
      <w:r w:rsidR="002462B6" w:rsidRPr="00352F50">
        <w:rPr>
          <w:rFonts w:ascii="Arial" w:hAnsi="Arial" w:cs="Arial"/>
          <w:bCs/>
          <w:sz w:val="20"/>
          <w:szCs w:val="20"/>
          <w:lang w:val="pl-PL"/>
        </w:rPr>
        <w:t>cen</w:t>
      </w:r>
      <w:r w:rsidR="00F10F58">
        <w:rPr>
          <w:rFonts w:ascii="Arial" w:hAnsi="Arial" w:cs="Arial"/>
          <w:bCs/>
          <w:sz w:val="20"/>
          <w:szCs w:val="20"/>
          <w:lang w:val="pl-PL"/>
        </w:rPr>
        <w:t>y</w:t>
      </w:r>
      <w:r w:rsidR="00270E7E" w:rsidRPr="00352F50">
        <w:rPr>
          <w:rFonts w:ascii="Arial" w:hAnsi="Arial" w:cs="Arial"/>
          <w:bCs/>
          <w:sz w:val="20"/>
          <w:szCs w:val="20"/>
          <w:lang w:val="pl-PL"/>
        </w:rPr>
        <w:t xml:space="preserve"> nieruchomości</w:t>
      </w:r>
      <w:r w:rsidR="00F80663" w:rsidRPr="00352F50">
        <w:rPr>
          <w:rFonts w:ascii="Arial" w:hAnsi="Arial" w:cs="Arial"/>
          <w:bCs/>
          <w:sz w:val="20"/>
          <w:szCs w:val="20"/>
          <w:lang w:val="pl-PL"/>
        </w:rPr>
        <w:t xml:space="preserve">. </w:t>
      </w:r>
    </w:p>
    <w:p w14:paraId="6F107CB1" w14:textId="77777777" w:rsidR="009608BD" w:rsidRPr="00352F50" w:rsidRDefault="009608BD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14:paraId="3D8D5A8E" w14:textId="79D3CE1F" w:rsidR="006B21C6" w:rsidRPr="00550C32" w:rsidRDefault="003D55DF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550C32">
        <w:rPr>
          <w:rFonts w:ascii="Arial" w:hAnsi="Arial" w:cs="Arial"/>
          <w:bCs/>
          <w:sz w:val="20"/>
          <w:szCs w:val="20"/>
          <w:lang w:val="pl-PL"/>
        </w:rPr>
        <w:t xml:space="preserve">Pomimo </w:t>
      </w:r>
      <w:r w:rsidR="004867EC" w:rsidRPr="00550C32">
        <w:rPr>
          <w:rFonts w:ascii="Arial" w:hAnsi="Arial" w:cs="Arial"/>
          <w:bCs/>
          <w:sz w:val="20"/>
          <w:szCs w:val="20"/>
          <w:lang w:val="pl-PL"/>
        </w:rPr>
        <w:t>niesprzyj</w:t>
      </w:r>
      <w:r w:rsidR="008871B9" w:rsidRPr="00550C32">
        <w:rPr>
          <w:rFonts w:ascii="Arial" w:hAnsi="Arial" w:cs="Arial"/>
          <w:bCs/>
          <w:sz w:val="20"/>
          <w:szCs w:val="20"/>
          <w:lang w:val="pl-PL"/>
        </w:rPr>
        <w:t>ających uwarunkowań</w:t>
      </w:r>
      <w:r w:rsidR="00651362" w:rsidRPr="00550C32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BD0CDB" w:rsidRPr="00550C32">
        <w:rPr>
          <w:rFonts w:ascii="Arial" w:hAnsi="Arial" w:cs="Arial"/>
          <w:bCs/>
          <w:sz w:val="20"/>
          <w:szCs w:val="20"/>
          <w:lang w:val="pl-PL"/>
        </w:rPr>
        <w:t>nie</w:t>
      </w:r>
      <w:r w:rsidR="005872E3" w:rsidRPr="00550C32">
        <w:rPr>
          <w:rFonts w:ascii="Arial" w:hAnsi="Arial" w:cs="Arial"/>
          <w:bCs/>
          <w:sz w:val="20"/>
          <w:szCs w:val="20"/>
          <w:lang w:val="pl-PL"/>
        </w:rPr>
        <w:t xml:space="preserve"> odnotowano zmian stóp kapitalizacji na </w:t>
      </w:r>
      <w:r w:rsidR="007A0475" w:rsidRPr="00550C32">
        <w:rPr>
          <w:rFonts w:ascii="Arial" w:hAnsi="Arial" w:cs="Arial"/>
          <w:bCs/>
          <w:sz w:val="20"/>
          <w:szCs w:val="20"/>
          <w:lang w:val="pl-PL"/>
        </w:rPr>
        <w:t xml:space="preserve">ponad </w:t>
      </w:r>
      <w:r w:rsidR="005872E3" w:rsidRPr="00550C32">
        <w:rPr>
          <w:rFonts w:ascii="Arial" w:hAnsi="Arial" w:cs="Arial"/>
          <w:bCs/>
          <w:sz w:val="20"/>
          <w:szCs w:val="20"/>
          <w:lang w:val="pl-PL"/>
        </w:rPr>
        <w:t xml:space="preserve">trzech czwartych </w:t>
      </w:r>
      <w:r w:rsidR="00282D2D" w:rsidRPr="00550C32">
        <w:rPr>
          <w:rFonts w:ascii="Arial" w:hAnsi="Arial" w:cs="Arial"/>
          <w:bCs/>
          <w:sz w:val="20"/>
          <w:szCs w:val="20"/>
          <w:lang w:val="pl-PL"/>
        </w:rPr>
        <w:t xml:space="preserve">analizowanych </w:t>
      </w:r>
      <w:r w:rsidR="005872E3" w:rsidRPr="00550C32">
        <w:rPr>
          <w:rFonts w:ascii="Arial" w:hAnsi="Arial" w:cs="Arial"/>
          <w:bCs/>
          <w:sz w:val="20"/>
          <w:szCs w:val="20"/>
          <w:lang w:val="pl-PL"/>
        </w:rPr>
        <w:t>rynków</w:t>
      </w:r>
      <w:r w:rsidR="00282D2D" w:rsidRPr="00550C32">
        <w:rPr>
          <w:rFonts w:ascii="Arial" w:hAnsi="Arial" w:cs="Arial"/>
          <w:bCs/>
          <w:sz w:val="20"/>
          <w:szCs w:val="20"/>
          <w:lang w:val="pl-PL"/>
        </w:rPr>
        <w:t xml:space="preserve">, choć </w:t>
      </w:r>
      <w:r w:rsidR="0065761F" w:rsidRPr="00550C32">
        <w:rPr>
          <w:rFonts w:ascii="Arial" w:hAnsi="Arial" w:cs="Arial"/>
          <w:bCs/>
          <w:sz w:val="20"/>
          <w:szCs w:val="20"/>
          <w:lang w:val="pl-PL"/>
        </w:rPr>
        <w:t xml:space="preserve">ich </w:t>
      </w:r>
      <w:r w:rsidR="007E7808" w:rsidRPr="00550C32">
        <w:rPr>
          <w:rFonts w:ascii="Arial" w:hAnsi="Arial" w:cs="Arial"/>
          <w:bCs/>
          <w:sz w:val="20"/>
          <w:szCs w:val="20"/>
          <w:lang w:val="pl-PL"/>
        </w:rPr>
        <w:t xml:space="preserve">wzrosty </w:t>
      </w:r>
      <w:r w:rsidR="009A6D11">
        <w:rPr>
          <w:rFonts w:ascii="Arial" w:hAnsi="Arial" w:cs="Arial"/>
          <w:bCs/>
          <w:sz w:val="20"/>
          <w:szCs w:val="20"/>
          <w:lang w:val="pl-PL"/>
        </w:rPr>
        <w:t>pojawiają się</w:t>
      </w:r>
      <w:r w:rsidR="009A6D11" w:rsidRPr="00550C32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7016B2" w:rsidRPr="00550C32">
        <w:rPr>
          <w:rFonts w:ascii="Arial" w:hAnsi="Arial" w:cs="Arial"/>
          <w:bCs/>
          <w:sz w:val="20"/>
          <w:szCs w:val="20"/>
          <w:lang w:val="pl-PL"/>
        </w:rPr>
        <w:t>w</w:t>
      </w:r>
      <w:r w:rsidR="007E7808" w:rsidRPr="00550C32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65761F" w:rsidRPr="00550C32">
        <w:rPr>
          <w:rFonts w:ascii="Arial" w:hAnsi="Arial" w:cs="Arial"/>
          <w:bCs/>
          <w:sz w:val="20"/>
          <w:szCs w:val="20"/>
          <w:lang w:val="pl-PL"/>
        </w:rPr>
        <w:t>coraz większej liczbie regionów Europy</w:t>
      </w:r>
      <w:r w:rsidR="00D7467F" w:rsidRPr="00550C32">
        <w:rPr>
          <w:rFonts w:ascii="Arial" w:hAnsi="Arial" w:cs="Arial"/>
          <w:bCs/>
          <w:sz w:val="20"/>
          <w:szCs w:val="20"/>
          <w:lang w:val="pl-PL"/>
        </w:rPr>
        <w:t xml:space="preserve">. Ostatecznie </w:t>
      </w:r>
      <w:r w:rsidR="00D13625" w:rsidRPr="00550C32">
        <w:rPr>
          <w:rFonts w:ascii="Arial" w:hAnsi="Arial" w:cs="Arial"/>
          <w:bCs/>
          <w:sz w:val="20"/>
          <w:szCs w:val="20"/>
          <w:lang w:val="pl-PL"/>
        </w:rPr>
        <w:t>w skali całe</w:t>
      </w:r>
      <w:r w:rsidR="008F6803" w:rsidRPr="00550C32">
        <w:rPr>
          <w:rFonts w:ascii="Arial" w:hAnsi="Arial" w:cs="Arial"/>
          <w:bCs/>
          <w:sz w:val="20"/>
          <w:szCs w:val="20"/>
          <w:lang w:val="pl-PL"/>
        </w:rPr>
        <w:t>go kontynentu</w:t>
      </w:r>
      <w:r w:rsidR="00D13625" w:rsidRPr="00550C32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D7467F" w:rsidRPr="00550C32">
        <w:rPr>
          <w:rFonts w:ascii="Arial" w:hAnsi="Arial" w:cs="Arial"/>
          <w:bCs/>
          <w:sz w:val="20"/>
          <w:szCs w:val="20"/>
          <w:lang w:val="pl-PL"/>
        </w:rPr>
        <w:t xml:space="preserve">stopy kapitalizacji </w:t>
      </w:r>
      <w:r w:rsidR="002A6A26" w:rsidRPr="00550C32">
        <w:rPr>
          <w:rFonts w:ascii="Arial" w:hAnsi="Arial" w:cs="Arial"/>
          <w:bCs/>
          <w:sz w:val="20"/>
          <w:szCs w:val="20"/>
          <w:lang w:val="pl-PL"/>
        </w:rPr>
        <w:t xml:space="preserve">wzrosły </w:t>
      </w:r>
      <w:r w:rsidR="008F6803" w:rsidRPr="00550C32">
        <w:rPr>
          <w:rFonts w:ascii="Arial" w:hAnsi="Arial" w:cs="Arial"/>
          <w:bCs/>
          <w:sz w:val="20"/>
          <w:szCs w:val="20"/>
          <w:lang w:val="pl-PL"/>
        </w:rPr>
        <w:t xml:space="preserve">w sektorach </w:t>
      </w:r>
      <w:r w:rsidR="002A6A26" w:rsidRPr="00550C32">
        <w:rPr>
          <w:rFonts w:ascii="Arial" w:hAnsi="Arial" w:cs="Arial"/>
          <w:bCs/>
          <w:sz w:val="20"/>
          <w:szCs w:val="20"/>
          <w:lang w:val="pl-PL"/>
        </w:rPr>
        <w:t>nieruchomości biurowych i logistycznych</w:t>
      </w:r>
      <w:r w:rsidR="00106F1A" w:rsidRPr="00550C32">
        <w:rPr>
          <w:rFonts w:ascii="Arial" w:hAnsi="Arial" w:cs="Arial"/>
          <w:bCs/>
          <w:sz w:val="20"/>
          <w:szCs w:val="20"/>
          <w:lang w:val="pl-PL"/>
        </w:rPr>
        <w:t>.</w:t>
      </w:r>
      <w:r w:rsidR="00BD27F8" w:rsidRPr="00550C32">
        <w:rPr>
          <w:rFonts w:ascii="Arial" w:hAnsi="Arial" w:cs="Arial"/>
          <w:bCs/>
          <w:sz w:val="20"/>
          <w:szCs w:val="20"/>
          <w:lang w:val="pl-PL"/>
        </w:rPr>
        <w:t xml:space="preserve"> Pozytywnym zjawiskiem była</w:t>
      </w:r>
      <w:r w:rsidR="00776D2C" w:rsidRPr="00550C32">
        <w:rPr>
          <w:rFonts w:ascii="Arial" w:hAnsi="Arial" w:cs="Arial"/>
          <w:bCs/>
          <w:sz w:val="20"/>
          <w:szCs w:val="20"/>
          <w:lang w:val="pl-PL"/>
        </w:rPr>
        <w:t xml:space="preserve"> natomiast </w:t>
      </w:r>
      <w:r w:rsidR="00FA2878" w:rsidRPr="00550C32">
        <w:rPr>
          <w:rFonts w:ascii="Arial" w:hAnsi="Arial" w:cs="Arial"/>
          <w:bCs/>
          <w:sz w:val="20"/>
          <w:szCs w:val="20"/>
          <w:lang w:val="pl-PL"/>
        </w:rPr>
        <w:t xml:space="preserve">poprawa sytuacji na rynkach </w:t>
      </w:r>
      <w:r w:rsidR="00776D2C" w:rsidRPr="00550C32">
        <w:rPr>
          <w:rFonts w:ascii="Arial" w:hAnsi="Arial" w:cs="Arial"/>
          <w:bCs/>
          <w:sz w:val="20"/>
          <w:szCs w:val="20"/>
          <w:lang w:val="pl-PL"/>
        </w:rPr>
        <w:t>najmu</w:t>
      </w:r>
      <w:r w:rsidR="000B13B7" w:rsidRPr="00550C32">
        <w:rPr>
          <w:rFonts w:ascii="Arial" w:hAnsi="Arial" w:cs="Arial"/>
          <w:bCs/>
          <w:sz w:val="20"/>
          <w:szCs w:val="20"/>
          <w:lang w:val="pl-PL"/>
        </w:rPr>
        <w:t>, na których</w:t>
      </w:r>
      <w:r w:rsidR="00776D2C" w:rsidRPr="00550C32">
        <w:rPr>
          <w:rFonts w:ascii="Arial" w:hAnsi="Arial" w:cs="Arial"/>
          <w:bCs/>
          <w:sz w:val="20"/>
          <w:szCs w:val="20"/>
          <w:lang w:val="pl-PL"/>
        </w:rPr>
        <w:t xml:space="preserve"> czynsze </w:t>
      </w:r>
      <w:r w:rsidR="00D32374" w:rsidRPr="00550C32">
        <w:rPr>
          <w:rFonts w:ascii="Arial" w:hAnsi="Arial" w:cs="Arial"/>
          <w:bCs/>
          <w:sz w:val="20"/>
          <w:szCs w:val="20"/>
          <w:lang w:val="pl-PL"/>
        </w:rPr>
        <w:t xml:space="preserve">wzrosły zarówno w ujęciu kwartalnym, jak i rocznym, szczególnie w sektorze biurowym. </w:t>
      </w:r>
      <w:r w:rsidR="000B13B7" w:rsidRPr="00550C32">
        <w:rPr>
          <w:rFonts w:ascii="Arial" w:hAnsi="Arial" w:cs="Arial"/>
          <w:bCs/>
          <w:sz w:val="20"/>
          <w:szCs w:val="20"/>
          <w:lang w:val="pl-PL"/>
        </w:rPr>
        <w:t xml:space="preserve">Wszystko to w dalszym ciągu przekłada się na umiarkowany wzrost </w:t>
      </w:r>
      <w:r w:rsidR="00251E8A" w:rsidRPr="00550C32">
        <w:rPr>
          <w:rFonts w:ascii="Arial" w:hAnsi="Arial" w:cs="Arial"/>
          <w:bCs/>
          <w:sz w:val="20"/>
          <w:szCs w:val="20"/>
          <w:lang w:val="pl-PL"/>
        </w:rPr>
        <w:t>cen n</w:t>
      </w:r>
      <w:r w:rsidR="004464E4" w:rsidRPr="00550C32">
        <w:rPr>
          <w:rFonts w:ascii="Arial" w:hAnsi="Arial" w:cs="Arial"/>
          <w:bCs/>
          <w:sz w:val="20"/>
          <w:szCs w:val="20"/>
          <w:lang w:val="pl-PL"/>
        </w:rPr>
        <w:t>ieruchomości na poziomie ogólnoeuropejskim, jak i w większości regionów</w:t>
      </w:r>
      <w:r w:rsidR="00550C32" w:rsidRPr="00550C32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2E5E2934" w14:textId="77777777" w:rsidR="009608BD" w:rsidRPr="00550C32" w:rsidRDefault="009608BD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14:paraId="2D68FC23" w14:textId="68D04F66" w:rsidR="00573968" w:rsidRPr="00352F50" w:rsidRDefault="00A94FA3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352F50">
        <w:rPr>
          <w:rFonts w:ascii="Arial" w:hAnsi="Arial" w:cs="Arial"/>
          <w:b/>
          <w:sz w:val="20"/>
          <w:szCs w:val="20"/>
          <w:lang w:val="pl-PL"/>
        </w:rPr>
        <w:t>Nieruchomości biurowe</w:t>
      </w:r>
    </w:p>
    <w:p w14:paraId="2F9D974B" w14:textId="2E3C91A6" w:rsidR="00573968" w:rsidRPr="00352F50" w:rsidRDefault="00392671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52F50">
        <w:rPr>
          <w:rFonts w:ascii="Arial" w:hAnsi="Arial" w:cs="Arial"/>
          <w:bCs/>
          <w:sz w:val="20"/>
          <w:szCs w:val="20"/>
          <w:lang w:val="pl-PL"/>
        </w:rPr>
        <w:t>Za wzrost czynszów w sektorze biurowym</w:t>
      </w:r>
      <w:r w:rsidR="0003069F" w:rsidRPr="00352F50">
        <w:rPr>
          <w:rFonts w:ascii="Arial" w:hAnsi="Arial" w:cs="Arial"/>
          <w:bCs/>
          <w:sz w:val="20"/>
          <w:szCs w:val="20"/>
          <w:lang w:val="pl-PL"/>
        </w:rPr>
        <w:t xml:space="preserve"> odpowiadały przede wszystkim najbardziej atrakcyjne lokalizacj</w:t>
      </w:r>
      <w:r w:rsidR="00234AD2" w:rsidRPr="00352F50">
        <w:rPr>
          <w:rFonts w:ascii="Arial" w:hAnsi="Arial" w:cs="Arial"/>
          <w:bCs/>
          <w:sz w:val="20"/>
          <w:szCs w:val="20"/>
          <w:lang w:val="pl-PL"/>
        </w:rPr>
        <w:t>e</w:t>
      </w:r>
      <w:r w:rsidR="0003069F" w:rsidRPr="00352F50">
        <w:rPr>
          <w:rFonts w:ascii="Arial" w:hAnsi="Arial" w:cs="Arial"/>
          <w:bCs/>
          <w:sz w:val="20"/>
          <w:szCs w:val="20"/>
          <w:lang w:val="pl-PL"/>
        </w:rPr>
        <w:t xml:space="preserve"> w COB</w:t>
      </w:r>
      <w:r w:rsidR="00234AD2" w:rsidRPr="00352F50">
        <w:rPr>
          <w:rFonts w:ascii="Arial" w:hAnsi="Arial" w:cs="Arial"/>
          <w:bCs/>
          <w:sz w:val="20"/>
          <w:szCs w:val="20"/>
          <w:lang w:val="pl-PL"/>
        </w:rPr>
        <w:t xml:space="preserve">, w których stawki czynszowe wzrosły o 1,2% </w:t>
      </w:r>
      <w:r w:rsidR="00765B80" w:rsidRPr="00352F50">
        <w:rPr>
          <w:rFonts w:ascii="Arial" w:hAnsi="Arial" w:cs="Arial"/>
          <w:bCs/>
          <w:sz w:val="20"/>
          <w:szCs w:val="20"/>
          <w:lang w:val="pl-PL"/>
        </w:rPr>
        <w:t>kwartał do kwartału i o 4,5% rok do roku</w:t>
      </w:r>
      <w:r w:rsidR="00746213">
        <w:rPr>
          <w:rFonts w:ascii="Arial" w:hAnsi="Arial" w:cs="Arial"/>
          <w:bCs/>
          <w:sz w:val="20"/>
          <w:szCs w:val="20"/>
          <w:lang w:val="pl-PL"/>
        </w:rPr>
        <w:t>, podtrzymując</w:t>
      </w:r>
      <w:r w:rsidR="00765B80" w:rsidRPr="00352F50">
        <w:rPr>
          <w:rFonts w:ascii="Arial" w:hAnsi="Arial" w:cs="Arial"/>
          <w:bCs/>
          <w:sz w:val="20"/>
          <w:szCs w:val="20"/>
          <w:lang w:val="pl-PL"/>
        </w:rPr>
        <w:t xml:space="preserve"> trend obserwowany w ostatnich kwartałach. </w:t>
      </w:r>
      <w:r w:rsidR="009D64EF">
        <w:rPr>
          <w:rFonts w:ascii="Arial" w:hAnsi="Arial" w:cs="Arial"/>
          <w:bCs/>
          <w:sz w:val="20"/>
          <w:szCs w:val="20"/>
          <w:lang w:val="pl-PL"/>
        </w:rPr>
        <w:t>N</w:t>
      </w:r>
      <w:r w:rsidR="007E65BC" w:rsidRPr="00352F50">
        <w:rPr>
          <w:rFonts w:ascii="Arial" w:hAnsi="Arial" w:cs="Arial"/>
          <w:bCs/>
          <w:sz w:val="20"/>
          <w:szCs w:val="20"/>
          <w:lang w:val="pl-PL"/>
        </w:rPr>
        <w:t>ajwi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 xml:space="preserve">ększe wzrosty </w:t>
      </w:r>
      <w:r w:rsidR="009D64EF">
        <w:rPr>
          <w:rFonts w:ascii="Arial" w:hAnsi="Arial" w:cs="Arial"/>
          <w:bCs/>
          <w:sz w:val="20"/>
          <w:szCs w:val="20"/>
          <w:lang w:val="pl-PL"/>
        </w:rPr>
        <w:t>w</w:t>
      </w:r>
      <w:r w:rsidR="009D64EF" w:rsidRPr="00352F50">
        <w:rPr>
          <w:rFonts w:ascii="Arial" w:hAnsi="Arial" w:cs="Arial"/>
          <w:bCs/>
          <w:sz w:val="20"/>
          <w:szCs w:val="20"/>
          <w:lang w:val="pl-PL"/>
        </w:rPr>
        <w:t xml:space="preserve"> ujęciu kwartalnym 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 xml:space="preserve">odnotowano w krajach Beneluksu 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>(+2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>,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 xml:space="preserve">6%), 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>w Niemc</w:t>
      </w:r>
      <w:r w:rsidR="00B30EC3" w:rsidRPr="00352F50">
        <w:rPr>
          <w:rFonts w:ascii="Arial" w:hAnsi="Arial" w:cs="Arial"/>
          <w:bCs/>
          <w:sz w:val="20"/>
          <w:szCs w:val="20"/>
          <w:lang w:val="pl-PL"/>
        </w:rPr>
        <w:t>z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>ech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 xml:space="preserve"> (+1</w:t>
      </w:r>
      <w:r w:rsidR="00A73013">
        <w:rPr>
          <w:rFonts w:ascii="Arial" w:hAnsi="Arial" w:cs="Arial"/>
          <w:bCs/>
          <w:sz w:val="20"/>
          <w:szCs w:val="20"/>
          <w:lang w:val="pl-PL"/>
        </w:rPr>
        <w:t>,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 xml:space="preserve">9%) 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 xml:space="preserve">oraz Wielkiej Brytanii i 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>Irland</w:t>
      </w:r>
      <w:r w:rsidR="00F32D87" w:rsidRPr="00352F50">
        <w:rPr>
          <w:rFonts w:ascii="Arial" w:hAnsi="Arial" w:cs="Arial"/>
          <w:bCs/>
          <w:sz w:val="20"/>
          <w:szCs w:val="20"/>
          <w:lang w:val="pl-PL"/>
        </w:rPr>
        <w:t>ii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 xml:space="preserve"> (+1</w:t>
      </w:r>
      <w:r w:rsidR="00A73013">
        <w:rPr>
          <w:rFonts w:ascii="Arial" w:hAnsi="Arial" w:cs="Arial"/>
          <w:bCs/>
          <w:sz w:val="20"/>
          <w:szCs w:val="20"/>
          <w:lang w:val="pl-PL"/>
        </w:rPr>
        <w:t>,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 xml:space="preserve">6%). </w:t>
      </w:r>
      <w:r w:rsidR="004869A2" w:rsidRPr="00352F50">
        <w:rPr>
          <w:rFonts w:ascii="Arial" w:hAnsi="Arial" w:cs="Arial"/>
          <w:bCs/>
          <w:sz w:val="20"/>
          <w:szCs w:val="20"/>
          <w:lang w:val="pl-PL"/>
        </w:rPr>
        <w:t xml:space="preserve">Pod tym względem wyróżnia się szczególnie Rotterdam (+13,2% kw./kw.), gdzie </w:t>
      </w:r>
      <w:r w:rsidR="00A96A48" w:rsidRPr="00352F50">
        <w:rPr>
          <w:rFonts w:ascii="Arial" w:hAnsi="Arial" w:cs="Arial"/>
          <w:bCs/>
          <w:sz w:val="20"/>
          <w:szCs w:val="20"/>
          <w:lang w:val="pl-PL"/>
        </w:rPr>
        <w:t>czynsze za wynajem najlepszych biur</w:t>
      </w:r>
      <w:r w:rsidR="00406858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E164DA">
        <w:rPr>
          <w:rFonts w:ascii="Arial" w:hAnsi="Arial" w:cs="Arial"/>
          <w:bCs/>
          <w:sz w:val="20"/>
          <w:szCs w:val="20"/>
          <w:lang w:val="pl-PL"/>
        </w:rPr>
        <w:t xml:space="preserve">wyniosły niemal </w:t>
      </w:r>
      <w:r w:rsidR="00406858" w:rsidRPr="00352F50">
        <w:rPr>
          <w:rFonts w:ascii="Arial" w:hAnsi="Arial" w:cs="Arial"/>
          <w:bCs/>
          <w:sz w:val="20"/>
          <w:szCs w:val="20"/>
          <w:lang w:val="pl-PL"/>
        </w:rPr>
        <w:t>385 euro za mkw. rocznie</w:t>
      </w:r>
      <w:r w:rsidR="00181F57">
        <w:rPr>
          <w:rFonts w:ascii="Arial" w:hAnsi="Arial" w:cs="Arial"/>
          <w:bCs/>
          <w:sz w:val="20"/>
          <w:szCs w:val="20"/>
          <w:lang w:val="pl-PL"/>
        </w:rPr>
        <w:t xml:space="preserve">. Wzrost ten </w:t>
      </w:r>
      <w:r w:rsidR="00262EA4">
        <w:rPr>
          <w:rFonts w:ascii="Arial" w:hAnsi="Arial" w:cs="Arial"/>
          <w:bCs/>
          <w:sz w:val="20"/>
          <w:szCs w:val="20"/>
          <w:lang w:val="pl-PL"/>
        </w:rPr>
        <w:t xml:space="preserve">był efektem </w:t>
      </w:r>
      <w:r w:rsidR="00E64E4A" w:rsidRPr="00352F50">
        <w:rPr>
          <w:rFonts w:ascii="Arial" w:hAnsi="Arial" w:cs="Arial"/>
          <w:bCs/>
          <w:sz w:val="20"/>
          <w:szCs w:val="20"/>
          <w:lang w:val="pl-PL"/>
        </w:rPr>
        <w:t>ostatnio sfinalizowan</w:t>
      </w:r>
      <w:r w:rsidR="00262EA4">
        <w:rPr>
          <w:rFonts w:ascii="Arial" w:hAnsi="Arial" w:cs="Arial"/>
          <w:bCs/>
          <w:sz w:val="20"/>
          <w:szCs w:val="20"/>
          <w:lang w:val="pl-PL"/>
        </w:rPr>
        <w:t>ych</w:t>
      </w:r>
      <w:r w:rsidR="00E64E4A" w:rsidRPr="00352F50">
        <w:rPr>
          <w:rFonts w:ascii="Arial" w:hAnsi="Arial" w:cs="Arial"/>
          <w:bCs/>
          <w:sz w:val="20"/>
          <w:szCs w:val="20"/>
          <w:lang w:val="pl-PL"/>
        </w:rPr>
        <w:t xml:space="preserve"> transakcj</w:t>
      </w:r>
      <w:r w:rsidR="00262EA4">
        <w:rPr>
          <w:rFonts w:ascii="Arial" w:hAnsi="Arial" w:cs="Arial"/>
          <w:bCs/>
          <w:sz w:val="20"/>
          <w:szCs w:val="20"/>
          <w:lang w:val="pl-PL"/>
        </w:rPr>
        <w:t>i</w:t>
      </w:r>
      <w:r w:rsidR="00E64E4A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262EA4">
        <w:rPr>
          <w:rFonts w:ascii="Arial" w:hAnsi="Arial" w:cs="Arial"/>
          <w:bCs/>
          <w:sz w:val="20"/>
          <w:szCs w:val="20"/>
          <w:lang w:val="pl-PL"/>
        </w:rPr>
        <w:t xml:space="preserve">oraz wysokich stawek </w:t>
      </w:r>
      <w:r w:rsidR="007A0873" w:rsidRPr="00352F50">
        <w:rPr>
          <w:rFonts w:ascii="Arial" w:hAnsi="Arial" w:cs="Arial"/>
          <w:bCs/>
          <w:sz w:val="20"/>
          <w:szCs w:val="20"/>
          <w:lang w:val="pl-PL"/>
        </w:rPr>
        <w:t>wywoławcz</w:t>
      </w:r>
      <w:r w:rsidR="00262EA4">
        <w:rPr>
          <w:rFonts w:ascii="Arial" w:hAnsi="Arial" w:cs="Arial"/>
          <w:bCs/>
          <w:sz w:val="20"/>
          <w:szCs w:val="20"/>
          <w:lang w:val="pl-PL"/>
        </w:rPr>
        <w:t>ych</w:t>
      </w:r>
      <w:r w:rsidR="007A0873" w:rsidRPr="00352F50">
        <w:rPr>
          <w:rFonts w:ascii="Arial" w:hAnsi="Arial" w:cs="Arial"/>
          <w:bCs/>
          <w:sz w:val="20"/>
          <w:szCs w:val="20"/>
          <w:lang w:val="pl-PL"/>
        </w:rPr>
        <w:t xml:space="preserve"> w nowych </w:t>
      </w:r>
      <w:r w:rsidR="00262EA4">
        <w:rPr>
          <w:rFonts w:ascii="Arial" w:hAnsi="Arial" w:cs="Arial"/>
          <w:bCs/>
          <w:sz w:val="20"/>
          <w:szCs w:val="20"/>
          <w:lang w:val="pl-PL"/>
        </w:rPr>
        <w:t>inwestycjach</w:t>
      </w:r>
      <w:r w:rsidR="007A0873" w:rsidRPr="00352F50">
        <w:rPr>
          <w:rFonts w:ascii="Arial" w:hAnsi="Arial" w:cs="Arial"/>
          <w:bCs/>
          <w:sz w:val="20"/>
          <w:szCs w:val="20"/>
          <w:lang w:val="pl-PL"/>
        </w:rPr>
        <w:t xml:space="preserve">. </w:t>
      </w:r>
      <w:r w:rsidR="008F4926">
        <w:rPr>
          <w:rFonts w:ascii="Arial" w:hAnsi="Arial" w:cs="Arial"/>
          <w:bCs/>
          <w:sz w:val="20"/>
          <w:szCs w:val="20"/>
          <w:lang w:val="pl-PL"/>
        </w:rPr>
        <w:t>Z kolei w</w:t>
      </w:r>
      <w:r w:rsidR="001D67D4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397E70" w:rsidRPr="00352F50">
        <w:rPr>
          <w:rFonts w:ascii="Arial" w:hAnsi="Arial" w:cs="Arial"/>
          <w:bCs/>
          <w:sz w:val="20"/>
          <w:szCs w:val="20"/>
          <w:lang w:val="pl-PL"/>
        </w:rPr>
        <w:t>Edynburgu i Manchesterze</w:t>
      </w:r>
      <w:r w:rsidR="00D732DF" w:rsidRPr="00352F50">
        <w:rPr>
          <w:rFonts w:ascii="Arial" w:hAnsi="Arial" w:cs="Arial"/>
          <w:bCs/>
          <w:sz w:val="20"/>
          <w:szCs w:val="20"/>
          <w:lang w:val="pl-PL"/>
        </w:rPr>
        <w:t xml:space="preserve"> – </w:t>
      </w:r>
      <w:r w:rsidR="00670BAE">
        <w:rPr>
          <w:rFonts w:ascii="Arial" w:hAnsi="Arial" w:cs="Arial"/>
          <w:bCs/>
          <w:sz w:val="20"/>
          <w:szCs w:val="20"/>
          <w:lang w:val="pl-PL"/>
        </w:rPr>
        <w:t>miast</w:t>
      </w:r>
      <w:r w:rsidR="00065F26">
        <w:rPr>
          <w:rFonts w:ascii="Arial" w:hAnsi="Arial" w:cs="Arial"/>
          <w:bCs/>
          <w:sz w:val="20"/>
          <w:szCs w:val="20"/>
          <w:lang w:val="pl-PL"/>
        </w:rPr>
        <w:t>ach</w:t>
      </w:r>
      <w:r w:rsidR="00670BAE">
        <w:rPr>
          <w:rFonts w:ascii="Arial" w:hAnsi="Arial" w:cs="Arial"/>
          <w:bCs/>
          <w:sz w:val="20"/>
          <w:szCs w:val="20"/>
          <w:lang w:val="pl-PL"/>
        </w:rPr>
        <w:t xml:space="preserve"> zaliczanych do </w:t>
      </w:r>
      <w:r w:rsidR="00D732DF" w:rsidRPr="00352F50">
        <w:rPr>
          <w:rFonts w:ascii="Arial" w:hAnsi="Arial" w:cs="Arial"/>
          <w:bCs/>
          <w:sz w:val="20"/>
          <w:szCs w:val="20"/>
          <w:lang w:val="pl-PL"/>
        </w:rPr>
        <w:t xml:space="preserve">głównych </w:t>
      </w:r>
      <w:r w:rsidR="00670BAE">
        <w:rPr>
          <w:rFonts w:ascii="Arial" w:hAnsi="Arial" w:cs="Arial"/>
          <w:bCs/>
          <w:sz w:val="20"/>
          <w:szCs w:val="20"/>
          <w:lang w:val="pl-PL"/>
        </w:rPr>
        <w:t>rynków</w:t>
      </w:r>
      <w:r w:rsidR="00397E70" w:rsidRPr="00352F50">
        <w:rPr>
          <w:rFonts w:ascii="Arial" w:hAnsi="Arial" w:cs="Arial"/>
          <w:bCs/>
          <w:sz w:val="20"/>
          <w:szCs w:val="20"/>
          <w:lang w:val="pl-PL"/>
        </w:rPr>
        <w:t xml:space="preserve"> regionalnych Wielkiej Brytanii</w:t>
      </w:r>
      <w:r w:rsidR="00D732DF" w:rsidRPr="00352F50">
        <w:rPr>
          <w:rFonts w:ascii="Arial" w:hAnsi="Arial" w:cs="Arial"/>
          <w:bCs/>
          <w:sz w:val="20"/>
          <w:szCs w:val="20"/>
          <w:lang w:val="pl-PL"/>
        </w:rPr>
        <w:t xml:space="preserve"> – </w:t>
      </w:r>
      <w:r w:rsidR="004F29B7" w:rsidRPr="00352F50">
        <w:rPr>
          <w:rFonts w:ascii="Arial" w:hAnsi="Arial" w:cs="Arial"/>
          <w:bCs/>
          <w:sz w:val="20"/>
          <w:szCs w:val="20"/>
          <w:lang w:val="pl-PL"/>
        </w:rPr>
        <w:t>czynsze</w:t>
      </w:r>
      <w:r w:rsidR="00D732DF" w:rsidRPr="00352F50">
        <w:rPr>
          <w:rFonts w:ascii="Arial" w:hAnsi="Arial" w:cs="Arial"/>
          <w:bCs/>
          <w:sz w:val="20"/>
          <w:szCs w:val="20"/>
          <w:lang w:val="pl-PL"/>
        </w:rPr>
        <w:t xml:space="preserve"> wzrosły odpowiednio o 7,6% i 6,7%</w:t>
      </w:r>
      <w:r w:rsidR="00401DE2" w:rsidRPr="00352F50">
        <w:rPr>
          <w:rFonts w:ascii="Arial" w:hAnsi="Arial" w:cs="Arial"/>
          <w:bCs/>
          <w:sz w:val="20"/>
          <w:szCs w:val="20"/>
          <w:lang w:val="pl-PL"/>
        </w:rPr>
        <w:t xml:space="preserve"> ze względu na silny popyt i </w:t>
      </w:r>
      <w:r w:rsidR="00C92048" w:rsidRPr="00352F50">
        <w:rPr>
          <w:rFonts w:ascii="Arial" w:hAnsi="Arial" w:cs="Arial"/>
          <w:bCs/>
          <w:sz w:val="20"/>
          <w:szCs w:val="20"/>
          <w:lang w:val="pl-PL"/>
        </w:rPr>
        <w:t xml:space="preserve">ograniczoną dostępność powierzchni wysokiej jakości, co </w:t>
      </w:r>
      <w:r w:rsidR="009C44B6">
        <w:rPr>
          <w:rFonts w:ascii="Arial" w:hAnsi="Arial" w:cs="Arial"/>
          <w:bCs/>
          <w:sz w:val="20"/>
          <w:szCs w:val="20"/>
          <w:lang w:val="pl-PL"/>
        </w:rPr>
        <w:t xml:space="preserve">przełożyło się na wzrost stawek </w:t>
      </w:r>
      <w:r w:rsidR="00621D84" w:rsidRPr="00352F50">
        <w:rPr>
          <w:rFonts w:ascii="Arial" w:hAnsi="Arial" w:cs="Arial"/>
          <w:bCs/>
          <w:sz w:val="20"/>
          <w:szCs w:val="20"/>
          <w:lang w:val="pl-PL"/>
        </w:rPr>
        <w:t xml:space="preserve">w </w:t>
      </w:r>
      <w:r w:rsidR="008E0A34" w:rsidRPr="00352F50">
        <w:rPr>
          <w:rFonts w:ascii="Arial" w:hAnsi="Arial" w:cs="Arial"/>
          <w:bCs/>
          <w:sz w:val="20"/>
          <w:szCs w:val="20"/>
          <w:lang w:val="pl-PL"/>
        </w:rPr>
        <w:t xml:space="preserve">realizowanych </w:t>
      </w:r>
      <w:r w:rsidR="00065F26">
        <w:rPr>
          <w:rFonts w:ascii="Arial" w:hAnsi="Arial" w:cs="Arial"/>
          <w:bCs/>
          <w:sz w:val="20"/>
          <w:szCs w:val="20"/>
          <w:lang w:val="pl-PL"/>
        </w:rPr>
        <w:t>projektach</w:t>
      </w:r>
      <w:r w:rsidR="0050654A" w:rsidRPr="00352F50">
        <w:rPr>
          <w:rFonts w:ascii="Arial" w:hAnsi="Arial" w:cs="Arial"/>
          <w:bCs/>
          <w:sz w:val="20"/>
          <w:szCs w:val="20"/>
          <w:lang w:val="pl-PL"/>
        </w:rPr>
        <w:t xml:space="preserve">. </w:t>
      </w:r>
      <w:r w:rsidR="005624DA" w:rsidRPr="00352F50">
        <w:rPr>
          <w:rFonts w:ascii="Arial" w:hAnsi="Arial" w:cs="Arial"/>
          <w:bCs/>
          <w:sz w:val="20"/>
          <w:szCs w:val="20"/>
          <w:lang w:val="pl-PL"/>
        </w:rPr>
        <w:t>Na siedmiu rynkach odnotowano wzrost stóp kapitalizacji – to najwyższy wynik od II kw. 2024 roku</w:t>
      </w:r>
      <w:r w:rsidR="00A872BA">
        <w:rPr>
          <w:rFonts w:ascii="Arial" w:hAnsi="Arial" w:cs="Arial"/>
          <w:bCs/>
          <w:sz w:val="20"/>
          <w:szCs w:val="20"/>
          <w:lang w:val="pl-PL"/>
        </w:rPr>
        <w:t xml:space="preserve"> – podczas </w:t>
      </w:r>
      <w:r w:rsidR="00144931">
        <w:rPr>
          <w:rFonts w:ascii="Arial" w:hAnsi="Arial" w:cs="Arial"/>
          <w:bCs/>
          <w:sz w:val="20"/>
          <w:szCs w:val="20"/>
          <w:lang w:val="pl-PL"/>
        </w:rPr>
        <w:t xml:space="preserve">gdy ich </w:t>
      </w:r>
      <w:r w:rsidR="00251B6E">
        <w:rPr>
          <w:rFonts w:ascii="Arial" w:hAnsi="Arial" w:cs="Arial"/>
          <w:bCs/>
          <w:sz w:val="20"/>
          <w:szCs w:val="20"/>
          <w:lang w:val="pl-PL"/>
        </w:rPr>
        <w:t xml:space="preserve">kompresję </w:t>
      </w:r>
      <w:r w:rsidR="00144931">
        <w:rPr>
          <w:rFonts w:ascii="Arial" w:hAnsi="Arial" w:cs="Arial"/>
          <w:bCs/>
          <w:sz w:val="20"/>
          <w:szCs w:val="20"/>
          <w:lang w:val="pl-PL"/>
        </w:rPr>
        <w:t xml:space="preserve">zaobserwowano jedynie </w:t>
      </w:r>
      <w:r w:rsidR="005B5DC6" w:rsidRPr="00352F50">
        <w:rPr>
          <w:rFonts w:ascii="Arial" w:hAnsi="Arial" w:cs="Arial"/>
          <w:bCs/>
          <w:sz w:val="20"/>
          <w:szCs w:val="20"/>
          <w:lang w:val="pl-PL"/>
        </w:rPr>
        <w:t>na dwóch. W rezultacie stopy kapitalizacji dla najlepszych nieruchomości biurowych w Europie wzrosły w drugim kwartale o 3 pb, osiągając poziom</w:t>
      </w:r>
      <w:r w:rsidR="007726C6" w:rsidRPr="00352F50">
        <w:rPr>
          <w:rFonts w:ascii="Arial" w:hAnsi="Arial" w:cs="Arial"/>
          <w:bCs/>
          <w:sz w:val="20"/>
          <w:szCs w:val="20"/>
          <w:lang w:val="pl-PL"/>
        </w:rPr>
        <w:t xml:space="preserve"> 5</w:t>
      </w:r>
      <w:r w:rsidR="005B5DC6" w:rsidRPr="00352F50">
        <w:rPr>
          <w:rFonts w:ascii="Arial" w:hAnsi="Arial" w:cs="Arial"/>
          <w:bCs/>
          <w:sz w:val="20"/>
          <w:szCs w:val="20"/>
          <w:lang w:val="pl-PL"/>
        </w:rPr>
        <w:t>,</w:t>
      </w:r>
      <w:r w:rsidR="007726C6" w:rsidRPr="00352F50">
        <w:rPr>
          <w:rFonts w:ascii="Arial" w:hAnsi="Arial" w:cs="Arial"/>
          <w:bCs/>
          <w:sz w:val="20"/>
          <w:szCs w:val="20"/>
          <w:lang w:val="pl-PL"/>
        </w:rPr>
        <w:t xml:space="preserve">39%. </w:t>
      </w:r>
    </w:p>
    <w:p w14:paraId="222BA4DB" w14:textId="77777777" w:rsidR="0079246E" w:rsidRPr="00352F50" w:rsidRDefault="0079246E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14:paraId="4BC1E426" w14:textId="5F8BB9B0" w:rsidR="00573968" w:rsidRPr="00352F50" w:rsidRDefault="00A94FA3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352F50">
        <w:rPr>
          <w:rFonts w:ascii="Arial" w:hAnsi="Arial" w:cs="Arial"/>
          <w:b/>
          <w:sz w:val="20"/>
          <w:szCs w:val="20"/>
          <w:lang w:val="pl-PL"/>
        </w:rPr>
        <w:t>Nieruchomości handlowe</w:t>
      </w:r>
      <w:r w:rsidR="00573968" w:rsidRPr="00352F50">
        <w:rPr>
          <w:rFonts w:ascii="Arial" w:hAnsi="Arial" w:cs="Arial"/>
          <w:b/>
          <w:sz w:val="20"/>
          <w:szCs w:val="20"/>
          <w:lang w:val="pl-PL"/>
        </w:rPr>
        <w:t xml:space="preserve"> </w:t>
      </w:r>
    </w:p>
    <w:p w14:paraId="685A5FB7" w14:textId="5E5F3EB6" w:rsidR="00573968" w:rsidRPr="00352F50" w:rsidRDefault="00A17394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52F50">
        <w:rPr>
          <w:rFonts w:ascii="Arial" w:hAnsi="Arial" w:cs="Arial"/>
          <w:bCs/>
          <w:sz w:val="20"/>
          <w:szCs w:val="20"/>
          <w:lang w:val="pl-PL"/>
        </w:rPr>
        <w:t>Czynsze za wynajem powierzchni przy najbardziej prestiżowych ulicach handlowych</w:t>
      </w:r>
      <w:r w:rsidR="0028128F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F46CCC">
        <w:rPr>
          <w:rFonts w:ascii="Arial" w:hAnsi="Arial" w:cs="Arial"/>
          <w:bCs/>
          <w:sz w:val="20"/>
          <w:szCs w:val="20"/>
          <w:lang w:val="pl-PL"/>
        </w:rPr>
        <w:t>pozostały zasadniczo stabilne</w:t>
      </w:r>
      <w:r w:rsidR="0028128F" w:rsidRPr="00352F50">
        <w:rPr>
          <w:rFonts w:ascii="Arial" w:hAnsi="Arial" w:cs="Arial"/>
          <w:bCs/>
          <w:sz w:val="20"/>
          <w:szCs w:val="20"/>
          <w:lang w:val="pl-PL"/>
        </w:rPr>
        <w:t>, wzrasta</w:t>
      </w:r>
      <w:r w:rsidR="003D3E99" w:rsidRPr="00352F50">
        <w:rPr>
          <w:rFonts w:ascii="Arial" w:hAnsi="Arial" w:cs="Arial"/>
          <w:bCs/>
          <w:sz w:val="20"/>
          <w:szCs w:val="20"/>
          <w:lang w:val="pl-PL"/>
        </w:rPr>
        <w:t xml:space="preserve">jąc </w:t>
      </w:r>
      <w:r w:rsidR="00F46CCC">
        <w:rPr>
          <w:rFonts w:ascii="Arial" w:hAnsi="Arial" w:cs="Arial"/>
          <w:bCs/>
          <w:sz w:val="20"/>
          <w:szCs w:val="20"/>
          <w:lang w:val="pl-PL"/>
        </w:rPr>
        <w:t xml:space="preserve">jedynie </w:t>
      </w:r>
      <w:r w:rsidR="003D3E99" w:rsidRPr="00352F50">
        <w:rPr>
          <w:rFonts w:ascii="Arial" w:hAnsi="Arial" w:cs="Arial"/>
          <w:bCs/>
          <w:sz w:val="20"/>
          <w:szCs w:val="20"/>
          <w:lang w:val="pl-PL"/>
        </w:rPr>
        <w:t xml:space="preserve">o 0,2% w ciągu kwartału i o 3% </w:t>
      </w:r>
      <w:r w:rsidR="0071349E">
        <w:rPr>
          <w:rFonts w:ascii="Arial" w:hAnsi="Arial" w:cs="Arial"/>
          <w:bCs/>
          <w:sz w:val="20"/>
          <w:szCs w:val="20"/>
          <w:lang w:val="pl-PL"/>
        </w:rPr>
        <w:t>rok do roku</w:t>
      </w:r>
      <w:r w:rsidR="003D3E99" w:rsidRPr="00352F50">
        <w:rPr>
          <w:rFonts w:ascii="Arial" w:hAnsi="Arial" w:cs="Arial"/>
          <w:bCs/>
          <w:sz w:val="20"/>
          <w:szCs w:val="20"/>
          <w:lang w:val="pl-PL"/>
        </w:rPr>
        <w:t xml:space="preserve">. </w:t>
      </w:r>
      <w:r w:rsidR="006C207B">
        <w:rPr>
          <w:rFonts w:ascii="Arial" w:hAnsi="Arial" w:cs="Arial"/>
          <w:bCs/>
          <w:sz w:val="20"/>
          <w:szCs w:val="20"/>
          <w:lang w:val="pl-PL"/>
        </w:rPr>
        <w:t>W</w:t>
      </w:r>
      <w:r w:rsidR="003D3E99" w:rsidRPr="00352F50">
        <w:rPr>
          <w:rFonts w:ascii="Arial" w:hAnsi="Arial" w:cs="Arial"/>
          <w:bCs/>
          <w:sz w:val="20"/>
          <w:szCs w:val="20"/>
          <w:lang w:val="pl-PL"/>
        </w:rPr>
        <w:t xml:space="preserve"> drugim kwartale</w:t>
      </w:r>
      <w:r w:rsidR="004003B9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6C207B">
        <w:rPr>
          <w:rFonts w:ascii="Arial" w:hAnsi="Arial" w:cs="Arial"/>
          <w:bCs/>
          <w:sz w:val="20"/>
          <w:szCs w:val="20"/>
          <w:lang w:val="pl-PL"/>
        </w:rPr>
        <w:t xml:space="preserve">tempo wzrostu </w:t>
      </w:r>
      <w:r w:rsidR="003C296D">
        <w:rPr>
          <w:rFonts w:ascii="Arial" w:hAnsi="Arial" w:cs="Arial"/>
          <w:bCs/>
          <w:sz w:val="20"/>
          <w:szCs w:val="20"/>
          <w:lang w:val="pl-PL"/>
        </w:rPr>
        <w:t>wyraźnie wyhamowało</w:t>
      </w:r>
      <w:r w:rsidR="004003B9" w:rsidRPr="00352F50">
        <w:rPr>
          <w:rFonts w:ascii="Arial" w:hAnsi="Arial" w:cs="Arial"/>
          <w:bCs/>
          <w:sz w:val="20"/>
          <w:szCs w:val="20"/>
          <w:lang w:val="pl-PL"/>
        </w:rPr>
        <w:t>, a na większości rynków</w:t>
      </w:r>
      <w:r w:rsidR="00D64919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A803A8">
        <w:rPr>
          <w:rFonts w:ascii="Arial" w:hAnsi="Arial" w:cs="Arial"/>
          <w:bCs/>
          <w:sz w:val="20"/>
          <w:szCs w:val="20"/>
          <w:lang w:val="pl-PL"/>
        </w:rPr>
        <w:t>stawki pozostały bez zmian</w:t>
      </w:r>
      <w:r w:rsidR="00D64919" w:rsidRPr="00352F50">
        <w:rPr>
          <w:rFonts w:ascii="Arial" w:hAnsi="Arial" w:cs="Arial"/>
          <w:bCs/>
          <w:sz w:val="20"/>
          <w:szCs w:val="20"/>
          <w:lang w:val="pl-PL"/>
        </w:rPr>
        <w:t xml:space="preserve">. </w:t>
      </w:r>
      <w:r w:rsidR="00FD657A" w:rsidRPr="00FD657A">
        <w:rPr>
          <w:rFonts w:ascii="Arial" w:hAnsi="Arial" w:cs="Arial"/>
          <w:bCs/>
          <w:sz w:val="20"/>
          <w:szCs w:val="20"/>
          <w:lang w:val="pl-PL"/>
        </w:rPr>
        <w:t xml:space="preserve">Największe wzrosty odnotowano </w:t>
      </w:r>
      <w:r w:rsidR="00FD657A" w:rsidRPr="00FD657A">
        <w:rPr>
          <w:rFonts w:ascii="Arial" w:hAnsi="Arial" w:cs="Arial"/>
          <w:bCs/>
          <w:sz w:val="20"/>
          <w:szCs w:val="20"/>
          <w:lang w:val="pl-PL"/>
        </w:rPr>
        <w:lastRenderedPageBreak/>
        <w:t>w Sztokholmie (+2,3%) i Madrycie (+2,0%), przy czym na żadnym z analizowanych rynków nie zaobserwowano spadków czynszów</w:t>
      </w:r>
      <w:r w:rsidR="001E106F" w:rsidRPr="00352F50">
        <w:rPr>
          <w:rFonts w:ascii="Arial" w:hAnsi="Arial" w:cs="Arial"/>
          <w:bCs/>
          <w:sz w:val="20"/>
          <w:szCs w:val="20"/>
          <w:lang w:val="pl-PL"/>
        </w:rPr>
        <w:t xml:space="preserve">. Stopy kapitalizacji dla </w:t>
      </w:r>
      <w:r w:rsidR="00BE12C9">
        <w:rPr>
          <w:rFonts w:ascii="Arial" w:hAnsi="Arial" w:cs="Arial"/>
          <w:bCs/>
          <w:sz w:val="20"/>
          <w:szCs w:val="20"/>
          <w:lang w:val="pl-PL"/>
        </w:rPr>
        <w:t xml:space="preserve">nieruchomości </w:t>
      </w:r>
      <w:r w:rsidR="001E106F" w:rsidRPr="00352F50">
        <w:rPr>
          <w:rFonts w:ascii="Arial" w:hAnsi="Arial" w:cs="Arial"/>
          <w:bCs/>
          <w:sz w:val="20"/>
          <w:szCs w:val="20"/>
          <w:lang w:val="pl-PL"/>
        </w:rPr>
        <w:t xml:space="preserve">przy głównych ulicach handlowych </w:t>
      </w:r>
      <w:r w:rsidR="000E22D3" w:rsidRPr="00352F50">
        <w:rPr>
          <w:rFonts w:ascii="Arial" w:hAnsi="Arial" w:cs="Arial"/>
          <w:bCs/>
          <w:sz w:val="20"/>
          <w:szCs w:val="20"/>
          <w:lang w:val="pl-PL"/>
        </w:rPr>
        <w:t>Europy</w:t>
      </w:r>
      <w:r w:rsidR="00233C62" w:rsidRPr="00352F50">
        <w:rPr>
          <w:rFonts w:ascii="Arial" w:hAnsi="Arial" w:cs="Arial"/>
          <w:bCs/>
          <w:sz w:val="20"/>
          <w:szCs w:val="20"/>
          <w:lang w:val="pl-PL"/>
        </w:rPr>
        <w:t xml:space="preserve"> pozostały na niezmien</w:t>
      </w:r>
      <w:r w:rsidR="00D87024" w:rsidRPr="00352F50">
        <w:rPr>
          <w:rFonts w:ascii="Arial" w:hAnsi="Arial" w:cs="Arial"/>
          <w:bCs/>
          <w:sz w:val="20"/>
          <w:szCs w:val="20"/>
          <w:lang w:val="pl-PL"/>
        </w:rPr>
        <w:t>i</w:t>
      </w:r>
      <w:r w:rsidR="00233C62" w:rsidRPr="00352F50">
        <w:rPr>
          <w:rFonts w:ascii="Arial" w:hAnsi="Arial" w:cs="Arial"/>
          <w:bCs/>
          <w:sz w:val="20"/>
          <w:szCs w:val="20"/>
          <w:lang w:val="pl-PL"/>
        </w:rPr>
        <w:t>onym poziomie 4,77% w</w:t>
      </w:r>
      <w:r w:rsidR="00BE12C9">
        <w:rPr>
          <w:rFonts w:ascii="Arial" w:hAnsi="Arial" w:cs="Arial"/>
          <w:bCs/>
          <w:sz w:val="20"/>
          <w:szCs w:val="20"/>
          <w:lang w:val="pl-PL"/>
        </w:rPr>
        <w:t xml:space="preserve">zględem </w:t>
      </w:r>
      <w:r w:rsidR="00233C62" w:rsidRPr="00352F50">
        <w:rPr>
          <w:rFonts w:ascii="Arial" w:hAnsi="Arial" w:cs="Arial"/>
          <w:bCs/>
          <w:sz w:val="20"/>
          <w:szCs w:val="20"/>
          <w:lang w:val="pl-PL"/>
        </w:rPr>
        <w:t>poprzedni</w:t>
      </w:r>
      <w:r w:rsidR="00BE12C9">
        <w:rPr>
          <w:rFonts w:ascii="Arial" w:hAnsi="Arial" w:cs="Arial"/>
          <w:bCs/>
          <w:sz w:val="20"/>
          <w:szCs w:val="20"/>
          <w:lang w:val="pl-PL"/>
        </w:rPr>
        <w:t>ego</w:t>
      </w:r>
      <w:r w:rsidR="00233C62" w:rsidRPr="00352F50">
        <w:rPr>
          <w:rFonts w:ascii="Arial" w:hAnsi="Arial" w:cs="Arial"/>
          <w:bCs/>
          <w:sz w:val="20"/>
          <w:szCs w:val="20"/>
          <w:lang w:val="pl-PL"/>
        </w:rPr>
        <w:t xml:space="preserve"> kwartał</w:t>
      </w:r>
      <w:r w:rsidR="00BE12C9">
        <w:rPr>
          <w:rFonts w:ascii="Arial" w:hAnsi="Arial" w:cs="Arial"/>
          <w:bCs/>
          <w:sz w:val="20"/>
          <w:szCs w:val="20"/>
          <w:lang w:val="pl-PL"/>
        </w:rPr>
        <w:t>u</w:t>
      </w:r>
      <w:r w:rsidR="00D87024" w:rsidRPr="00352F50">
        <w:rPr>
          <w:rFonts w:ascii="Arial" w:hAnsi="Arial" w:cs="Arial"/>
          <w:bCs/>
          <w:sz w:val="20"/>
          <w:szCs w:val="20"/>
          <w:lang w:val="pl-PL"/>
        </w:rPr>
        <w:t xml:space="preserve">, natomiast </w:t>
      </w:r>
      <w:r w:rsidR="00C07A0B">
        <w:rPr>
          <w:rFonts w:ascii="Arial" w:hAnsi="Arial" w:cs="Arial"/>
          <w:bCs/>
          <w:sz w:val="20"/>
          <w:szCs w:val="20"/>
          <w:lang w:val="pl-PL"/>
        </w:rPr>
        <w:t xml:space="preserve">w ujęciu rocznym </w:t>
      </w:r>
      <w:r w:rsidR="00D87024" w:rsidRPr="00352F50">
        <w:rPr>
          <w:rFonts w:ascii="Arial" w:hAnsi="Arial" w:cs="Arial"/>
          <w:bCs/>
          <w:sz w:val="20"/>
          <w:szCs w:val="20"/>
          <w:lang w:val="pl-PL"/>
        </w:rPr>
        <w:t>obniżyły się o 4 punkty bazowe</w:t>
      </w:r>
      <w:r w:rsidR="000A052A" w:rsidRPr="00352F50">
        <w:rPr>
          <w:rFonts w:ascii="Arial" w:hAnsi="Arial" w:cs="Arial"/>
          <w:bCs/>
          <w:sz w:val="20"/>
          <w:szCs w:val="20"/>
          <w:lang w:val="pl-PL"/>
        </w:rPr>
        <w:t xml:space="preserve">. W Rzymie i Mediolanie </w:t>
      </w:r>
      <w:r w:rsidR="00523121" w:rsidRPr="00352F50">
        <w:rPr>
          <w:rFonts w:ascii="Arial" w:hAnsi="Arial" w:cs="Arial"/>
          <w:bCs/>
          <w:sz w:val="20"/>
          <w:szCs w:val="20"/>
          <w:lang w:val="pl-PL"/>
        </w:rPr>
        <w:t>spadły do 3,5% (-25 pb kw.</w:t>
      </w:r>
      <w:r w:rsidR="00C601A4" w:rsidRPr="00352F50">
        <w:rPr>
          <w:rFonts w:ascii="Arial" w:hAnsi="Arial" w:cs="Arial"/>
          <w:bCs/>
          <w:sz w:val="20"/>
          <w:szCs w:val="20"/>
          <w:lang w:val="pl-PL"/>
        </w:rPr>
        <w:t>/</w:t>
      </w:r>
      <w:r w:rsidR="00523121" w:rsidRPr="00352F50">
        <w:rPr>
          <w:rFonts w:ascii="Arial" w:hAnsi="Arial" w:cs="Arial"/>
          <w:bCs/>
          <w:sz w:val="20"/>
          <w:szCs w:val="20"/>
          <w:lang w:val="pl-PL"/>
        </w:rPr>
        <w:t>kw</w:t>
      </w:r>
      <w:r w:rsidR="00C601A4" w:rsidRPr="00352F50">
        <w:rPr>
          <w:rFonts w:ascii="Arial" w:hAnsi="Arial" w:cs="Arial"/>
          <w:bCs/>
          <w:sz w:val="20"/>
          <w:szCs w:val="20"/>
          <w:lang w:val="pl-PL"/>
        </w:rPr>
        <w:t>.), a w Lyonie i Oslo wzrosły o 25 pb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1F938834" w14:textId="77777777" w:rsidR="009608BD" w:rsidRPr="00352F50" w:rsidRDefault="009608BD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14:paraId="6E16EE7B" w14:textId="397CB906" w:rsidR="00573968" w:rsidRPr="00352F50" w:rsidRDefault="00A94FA3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352F50">
        <w:rPr>
          <w:rFonts w:ascii="Arial" w:hAnsi="Arial" w:cs="Arial"/>
          <w:b/>
          <w:sz w:val="20"/>
          <w:szCs w:val="20"/>
          <w:lang w:val="pl-PL"/>
        </w:rPr>
        <w:t>Nieruchomości logistyczne</w:t>
      </w:r>
    </w:p>
    <w:p w14:paraId="00C7E052" w14:textId="0035344D" w:rsidR="00573968" w:rsidRPr="00352F50" w:rsidRDefault="00C601A4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52F50">
        <w:rPr>
          <w:rFonts w:ascii="Arial" w:hAnsi="Arial" w:cs="Arial"/>
          <w:bCs/>
          <w:sz w:val="20"/>
          <w:szCs w:val="20"/>
          <w:lang w:val="pl-PL"/>
        </w:rPr>
        <w:t>Czynsze za wynajem powierzchni logistycznych</w:t>
      </w:r>
      <w:r w:rsidR="007D7276" w:rsidRPr="00352F50">
        <w:rPr>
          <w:rFonts w:ascii="Arial" w:hAnsi="Arial" w:cs="Arial"/>
          <w:bCs/>
          <w:sz w:val="20"/>
          <w:szCs w:val="20"/>
          <w:lang w:val="pl-PL"/>
        </w:rPr>
        <w:t xml:space="preserve"> wzrosły w</w:t>
      </w:r>
      <w:r w:rsidR="00572245">
        <w:rPr>
          <w:rFonts w:ascii="Arial" w:hAnsi="Arial" w:cs="Arial"/>
          <w:bCs/>
          <w:sz w:val="20"/>
          <w:szCs w:val="20"/>
          <w:lang w:val="pl-PL"/>
        </w:rPr>
        <w:t xml:space="preserve">zględem </w:t>
      </w:r>
      <w:r w:rsidR="007D7276" w:rsidRPr="00352F50">
        <w:rPr>
          <w:rFonts w:ascii="Arial" w:hAnsi="Arial" w:cs="Arial"/>
          <w:bCs/>
          <w:sz w:val="20"/>
          <w:szCs w:val="20"/>
          <w:lang w:val="pl-PL"/>
        </w:rPr>
        <w:t>pierwsz</w:t>
      </w:r>
      <w:r w:rsidR="00572245">
        <w:rPr>
          <w:rFonts w:ascii="Arial" w:hAnsi="Arial" w:cs="Arial"/>
          <w:bCs/>
          <w:sz w:val="20"/>
          <w:szCs w:val="20"/>
          <w:lang w:val="pl-PL"/>
        </w:rPr>
        <w:t>ego</w:t>
      </w:r>
      <w:r w:rsidR="007D7276" w:rsidRPr="00352F50">
        <w:rPr>
          <w:rFonts w:ascii="Arial" w:hAnsi="Arial" w:cs="Arial"/>
          <w:bCs/>
          <w:sz w:val="20"/>
          <w:szCs w:val="20"/>
          <w:lang w:val="pl-PL"/>
        </w:rPr>
        <w:t xml:space="preserve"> kwartał</w:t>
      </w:r>
      <w:r w:rsidR="00572245">
        <w:rPr>
          <w:rFonts w:ascii="Arial" w:hAnsi="Arial" w:cs="Arial"/>
          <w:bCs/>
          <w:sz w:val="20"/>
          <w:szCs w:val="20"/>
          <w:lang w:val="pl-PL"/>
        </w:rPr>
        <w:t>u</w:t>
      </w:r>
      <w:r w:rsidR="007D7276" w:rsidRPr="00352F50">
        <w:rPr>
          <w:rFonts w:ascii="Arial" w:hAnsi="Arial" w:cs="Arial"/>
          <w:bCs/>
          <w:sz w:val="20"/>
          <w:szCs w:val="20"/>
          <w:lang w:val="pl-PL"/>
        </w:rPr>
        <w:t xml:space="preserve"> o 0,6%</w:t>
      </w:r>
      <w:r w:rsidR="00B67C68" w:rsidRPr="00352F50">
        <w:rPr>
          <w:rFonts w:ascii="Arial" w:hAnsi="Arial" w:cs="Arial"/>
          <w:bCs/>
          <w:sz w:val="20"/>
          <w:szCs w:val="20"/>
          <w:lang w:val="pl-PL"/>
        </w:rPr>
        <w:t xml:space="preserve">, </w:t>
      </w:r>
      <w:r w:rsidR="00532D88">
        <w:rPr>
          <w:rFonts w:ascii="Arial" w:hAnsi="Arial" w:cs="Arial"/>
          <w:bCs/>
          <w:sz w:val="20"/>
          <w:szCs w:val="20"/>
          <w:lang w:val="pl-PL"/>
        </w:rPr>
        <w:t xml:space="preserve">kontynuując </w:t>
      </w:r>
      <w:r w:rsidR="00B67C68" w:rsidRPr="00352F50">
        <w:rPr>
          <w:rFonts w:ascii="Arial" w:hAnsi="Arial" w:cs="Arial"/>
          <w:bCs/>
          <w:sz w:val="20"/>
          <w:szCs w:val="20"/>
          <w:lang w:val="pl-PL"/>
        </w:rPr>
        <w:t>trend wzrostowy obserwowany w poprzednich czterech kwartałach</w:t>
      </w:r>
      <w:r w:rsidR="0048123A" w:rsidRPr="00352F50">
        <w:rPr>
          <w:rFonts w:ascii="Arial" w:hAnsi="Arial" w:cs="Arial"/>
          <w:bCs/>
          <w:sz w:val="20"/>
          <w:szCs w:val="20"/>
          <w:lang w:val="pl-PL"/>
        </w:rPr>
        <w:t xml:space="preserve">. W rezultacie </w:t>
      </w:r>
      <w:r w:rsidR="001569DD" w:rsidRPr="00352F50">
        <w:rPr>
          <w:rFonts w:ascii="Arial" w:hAnsi="Arial" w:cs="Arial"/>
          <w:bCs/>
          <w:sz w:val="20"/>
          <w:szCs w:val="20"/>
          <w:lang w:val="pl-PL"/>
        </w:rPr>
        <w:t xml:space="preserve">roczna dynamika wzrostu wyniosła 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>2</w:t>
      </w:r>
      <w:r w:rsidR="001569DD" w:rsidRPr="00352F50">
        <w:rPr>
          <w:rFonts w:ascii="Arial" w:hAnsi="Arial" w:cs="Arial"/>
          <w:bCs/>
          <w:sz w:val="20"/>
          <w:szCs w:val="20"/>
          <w:lang w:val="pl-PL"/>
        </w:rPr>
        <w:t>,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>4%</w:t>
      </w:r>
      <w:r w:rsidR="001569DD" w:rsidRPr="00352F50">
        <w:rPr>
          <w:rFonts w:ascii="Arial" w:hAnsi="Arial" w:cs="Arial"/>
          <w:bCs/>
          <w:sz w:val="20"/>
          <w:szCs w:val="20"/>
          <w:lang w:val="pl-PL"/>
        </w:rPr>
        <w:t xml:space="preserve"> wobec </w:t>
      </w:r>
      <w:r w:rsidR="0079246E" w:rsidRPr="00352F50">
        <w:rPr>
          <w:rFonts w:ascii="Arial" w:hAnsi="Arial" w:cs="Arial"/>
          <w:bCs/>
          <w:sz w:val="20"/>
          <w:szCs w:val="20"/>
          <w:lang w:val="pl-PL"/>
        </w:rPr>
        <w:t>3</w:t>
      </w:r>
      <w:r w:rsidR="001569DD" w:rsidRPr="00352F50">
        <w:rPr>
          <w:rFonts w:ascii="Arial" w:hAnsi="Arial" w:cs="Arial"/>
          <w:bCs/>
          <w:sz w:val="20"/>
          <w:szCs w:val="20"/>
          <w:lang w:val="pl-PL"/>
        </w:rPr>
        <w:t>,</w:t>
      </w:r>
      <w:r w:rsidR="0079246E" w:rsidRPr="00352F50">
        <w:rPr>
          <w:rFonts w:ascii="Arial" w:hAnsi="Arial" w:cs="Arial"/>
          <w:bCs/>
          <w:sz w:val="20"/>
          <w:szCs w:val="20"/>
          <w:lang w:val="pl-PL"/>
        </w:rPr>
        <w:t xml:space="preserve">1% </w:t>
      </w:r>
      <w:r w:rsidR="001569DD" w:rsidRPr="00352F50">
        <w:rPr>
          <w:rFonts w:ascii="Arial" w:hAnsi="Arial" w:cs="Arial"/>
          <w:bCs/>
          <w:sz w:val="20"/>
          <w:szCs w:val="20"/>
          <w:lang w:val="pl-PL"/>
        </w:rPr>
        <w:t xml:space="preserve">w </w:t>
      </w:r>
      <w:r w:rsidR="001D6217" w:rsidRPr="00352F50">
        <w:rPr>
          <w:rFonts w:ascii="Arial" w:hAnsi="Arial" w:cs="Arial"/>
          <w:bCs/>
          <w:sz w:val="20"/>
          <w:szCs w:val="20"/>
          <w:lang w:val="pl-PL"/>
        </w:rPr>
        <w:t>ostatnim kwartale</w:t>
      </w:r>
      <w:r w:rsidR="00573968" w:rsidRPr="00352F50">
        <w:rPr>
          <w:rFonts w:ascii="Arial" w:hAnsi="Arial" w:cs="Arial"/>
          <w:bCs/>
          <w:sz w:val="20"/>
          <w:szCs w:val="20"/>
          <w:lang w:val="pl-PL"/>
        </w:rPr>
        <w:t xml:space="preserve">. </w:t>
      </w:r>
      <w:r w:rsidR="00930DE1" w:rsidRPr="00352F50">
        <w:rPr>
          <w:rFonts w:ascii="Arial" w:hAnsi="Arial" w:cs="Arial"/>
          <w:bCs/>
          <w:sz w:val="20"/>
          <w:szCs w:val="20"/>
          <w:lang w:val="pl-PL"/>
        </w:rPr>
        <w:t xml:space="preserve">Na tle całego kontynentu wyróżniają się w szczególności regiony Europy </w:t>
      </w:r>
      <w:r w:rsidR="00E136AF" w:rsidRPr="00352F50">
        <w:rPr>
          <w:rFonts w:ascii="Arial" w:hAnsi="Arial" w:cs="Arial"/>
          <w:bCs/>
          <w:sz w:val="20"/>
          <w:szCs w:val="20"/>
          <w:lang w:val="pl-PL"/>
        </w:rPr>
        <w:t>Południowej (+2,4%) oraz Europy Środkowo-Wschodniej (+1,5%)</w:t>
      </w:r>
      <w:r w:rsidR="00171878" w:rsidRPr="00352F50">
        <w:rPr>
          <w:rFonts w:ascii="Arial" w:hAnsi="Arial" w:cs="Arial"/>
          <w:bCs/>
          <w:sz w:val="20"/>
          <w:szCs w:val="20"/>
          <w:lang w:val="pl-PL"/>
        </w:rPr>
        <w:t xml:space="preserve"> – w ujęciu kwartalnym czynsze wzrosły w Warszawie o 4,8%</w:t>
      </w:r>
      <w:r w:rsidR="007A5BF5" w:rsidRPr="00352F50">
        <w:rPr>
          <w:rFonts w:ascii="Arial" w:hAnsi="Arial" w:cs="Arial"/>
          <w:bCs/>
          <w:sz w:val="20"/>
          <w:szCs w:val="20"/>
          <w:lang w:val="pl-PL"/>
        </w:rPr>
        <w:t xml:space="preserve">, a w Mediolanie i Rzymie o 2,9%. </w:t>
      </w:r>
      <w:r w:rsidR="00015F8C" w:rsidRPr="00352F50">
        <w:rPr>
          <w:rFonts w:ascii="Arial" w:hAnsi="Arial" w:cs="Arial"/>
          <w:bCs/>
          <w:sz w:val="20"/>
          <w:szCs w:val="20"/>
          <w:lang w:val="pl-PL"/>
        </w:rPr>
        <w:t>Jednocześnie s</w:t>
      </w:r>
      <w:r w:rsidR="007A5BF5" w:rsidRPr="00352F50">
        <w:rPr>
          <w:rFonts w:ascii="Arial" w:hAnsi="Arial" w:cs="Arial"/>
          <w:bCs/>
          <w:sz w:val="20"/>
          <w:szCs w:val="20"/>
          <w:lang w:val="pl-PL"/>
        </w:rPr>
        <w:t>topy kapitalizacji dla najlepszych nieruchomości logistycznych</w:t>
      </w:r>
      <w:r w:rsidR="0036057E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015F8C" w:rsidRPr="00352F50">
        <w:rPr>
          <w:rFonts w:ascii="Arial" w:hAnsi="Arial" w:cs="Arial"/>
          <w:bCs/>
          <w:sz w:val="20"/>
          <w:szCs w:val="20"/>
          <w:lang w:val="pl-PL"/>
        </w:rPr>
        <w:t>w</w:t>
      </w:r>
      <w:r w:rsidR="00330BE4" w:rsidRPr="00352F50">
        <w:rPr>
          <w:rFonts w:ascii="Arial" w:hAnsi="Arial" w:cs="Arial"/>
          <w:bCs/>
          <w:sz w:val="20"/>
          <w:szCs w:val="20"/>
          <w:lang w:val="pl-PL"/>
        </w:rPr>
        <w:t>z</w:t>
      </w:r>
      <w:r w:rsidR="00015F8C" w:rsidRPr="00352F50">
        <w:rPr>
          <w:rFonts w:ascii="Arial" w:hAnsi="Arial" w:cs="Arial"/>
          <w:bCs/>
          <w:sz w:val="20"/>
          <w:szCs w:val="20"/>
          <w:lang w:val="pl-PL"/>
        </w:rPr>
        <w:t>rosły o dwa punkty bazowe</w:t>
      </w:r>
      <w:r w:rsidR="00DD1045">
        <w:rPr>
          <w:rFonts w:ascii="Arial" w:hAnsi="Arial" w:cs="Arial"/>
          <w:bCs/>
          <w:sz w:val="20"/>
          <w:szCs w:val="20"/>
          <w:lang w:val="pl-PL"/>
        </w:rPr>
        <w:t>,</w:t>
      </w:r>
      <w:r w:rsidR="00015F8C" w:rsidRPr="00352F50">
        <w:rPr>
          <w:rFonts w:ascii="Arial" w:hAnsi="Arial" w:cs="Arial"/>
          <w:bCs/>
          <w:sz w:val="20"/>
          <w:szCs w:val="20"/>
          <w:lang w:val="pl-PL"/>
        </w:rPr>
        <w:t xml:space="preserve"> do 5,23%</w:t>
      </w:r>
      <w:r w:rsidR="00DD1045">
        <w:rPr>
          <w:rFonts w:ascii="Arial" w:hAnsi="Arial" w:cs="Arial"/>
          <w:bCs/>
          <w:sz w:val="20"/>
          <w:szCs w:val="20"/>
          <w:lang w:val="pl-PL"/>
        </w:rPr>
        <w:t>,</w:t>
      </w:r>
      <w:r w:rsidR="00501FDE" w:rsidRPr="00352F50">
        <w:rPr>
          <w:rFonts w:ascii="Arial" w:hAnsi="Arial" w:cs="Arial"/>
          <w:bCs/>
          <w:sz w:val="20"/>
          <w:szCs w:val="20"/>
          <w:lang w:val="pl-PL"/>
        </w:rPr>
        <w:t xml:space="preserve"> w wyniku dekompresji o 5-10 pb na dziewięciu rynkach</w:t>
      </w:r>
      <w:r w:rsidR="00685E75" w:rsidRPr="00352F50">
        <w:rPr>
          <w:rFonts w:ascii="Arial" w:hAnsi="Arial" w:cs="Arial"/>
          <w:bCs/>
          <w:sz w:val="20"/>
          <w:szCs w:val="20"/>
          <w:lang w:val="pl-PL"/>
        </w:rPr>
        <w:t>, natomiast na kilku rynkach (m.in. w Pradze i Kopenhadze)</w:t>
      </w:r>
      <w:r w:rsidR="0002027B" w:rsidRPr="00352F50">
        <w:rPr>
          <w:rFonts w:ascii="Arial" w:hAnsi="Arial" w:cs="Arial"/>
          <w:bCs/>
          <w:sz w:val="20"/>
          <w:szCs w:val="20"/>
          <w:lang w:val="pl-PL"/>
        </w:rPr>
        <w:t xml:space="preserve"> odnotowano dalsze spadki</w:t>
      </w:r>
      <w:r w:rsidR="00821C32" w:rsidRPr="00352F50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75A9A839" w14:textId="77777777" w:rsidR="009608BD" w:rsidRPr="00352F50" w:rsidRDefault="009608BD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0EF5522E" w14:textId="5C8574D9" w:rsidR="00573968" w:rsidRPr="00352F50" w:rsidRDefault="00A94FA3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352F50">
        <w:rPr>
          <w:rFonts w:ascii="Arial" w:hAnsi="Arial" w:cs="Arial"/>
          <w:b/>
          <w:sz w:val="20"/>
          <w:szCs w:val="20"/>
          <w:lang w:val="pl-PL"/>
        </w:rPr>
        <w:t>Wyniki regionalne</w:t>
      </w:r>
    </w:p>
    <w:p w14:paraId="745E5E83" w14:textId="313C465C" w:rsidR="00573968" w:rsidRDefault="00FF56FF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52F50">
        <w:rPr>
          <w:rFonts w:ascii="Arial" w:hAnsi="Arial" w:cs="Arial"/>
          <w:bCs/>
          <w:sz w:val="20"/>
          <w:szCs w:val="20"/>
          <w:lang w:val="pl-PL"/>
        </w:rPr>
        <w:t xml:space="preserve">Rynki Europy Południowej i Środkowo-Wschodniej utrzymały pozycję najbardziej odpornych </w:t>
      </w:r>
      <w:r w:rsidR="00E26939" w:rsidRPr="00352F50">
        <w:rPr>
          <w:rFonts w:ascii="Arial" w:hAnsi="Arial" w:cs="Arial"/>
          <w:bCs/>
          <w:sz w:val="20"/>
          <w:szCs w:val="20"/>
          <w:lang w:val="pl-PL"/>
        </w:rPr>
        <w:t xml:space="preserve">regionów, łącząc stosunkowo duże wzrosty czynszów ze stabilnymi lub nieznacznie zniżkującymi stopami kapitalizacji. </w:t>
      </w:r>
      <w:r w:rsidR="00C96A00">
        <w:rPr>
          <w:rFonts w:ascii="Arial" w:hAnsi="Arial" w:cs="Arial"/>
          <w:bCs/>
          <w:sz w:val="20"/>
          <w:szCs w:val="20"/>
          <w:lang w:val="pl-PL"/>
        </w:rPr>
        <w:t>Zarówno w</w:t>
      </w:r>
      <w:r w:rsidR="0047475F" w:rsidRPr="00352F50">
        <w:rPr>
          <w:rFonts w:ascii="Arial" w:hAnsi="Arial" w:cs="Arial"/>
          <w:bCs/>
          <w:sz w:val="20"/>
          <w:szCs w:val="20"/>
          <w:lang w:val="pl-PL"/>
        </w:rPr>
        <w:t xml:space="preserve"> ujęciu kwartalnym</w:t>
      </w:r>
      <w:r w:rsidR="00C96A00">
        <w:rPr>
          <w:rFonts w:ascii="Arial" w:hAnsi="Arial" w:cs="Arial"/>
          <w:bCs/>
          <w:sz w:val="20"/>
          <w:szCs w:val="20"/>
          <w:lang w:val="pl-PL"/>
        </w:rPr>
        <w:t>, jak</w:t>
      </w:r>
      <w:r w:rsidR="0047475F" w:rsidRPr="00352F50">
        <w:rPr>
          <w:rFonts w:ascii="Arial" w:hAnsi="Arial" w:cs="Arial"/>
          <w:bCs/>
          <w:sz w:val="20"/>
          <w:szCs w:val="20"/>
          <w:lang w:val="pl-PL"/>
        </w:rPr>
        <w:t xml:space="preserve"> i rocznym stopy kapitalizacji </w:t>
      </w:r>
      <w:r w:rsidR="003A015B" w:rsidRPr="00352F50">
        <w:rPr>
          <w:rFonts w:ascii="Arial" w:hAnsi="Arial" w:cs="Arial"/>
          <w:bCs/>
          <w:sz w:val="20"/>
          <w:szCs w:val="20"/>
          <w:lang w:val="pl-PL"/>
        </w:rPr>
        <w:t xml:space="preserve">w obu regionach </w:t>
      </w:r>
      <w:r w:rsidR="0047475F" w:rsidRPr="00352F50">
        <w:rPr>
          <w:rFonts w:ascii="Arial" w:hAnsi="Arial" w:cs="Arial"/>
          <w:bCs/>
          <w:sz w:val="20"/>
          <w:szCs w:val="20"/>
          <w:lang w:val="pl-PL"/>
        </w:rPr>
        <w:t>pozostawały stabiln</w:t>
      </w:r>
      <w:r w:rsidR="005D7557">
        <w:rPr>
          <w:rFonts w:ascii="Arial" w:hAnsi="Arial" w:cs="Arial"/>
          <w:bCs/>
          <w:sz w:val="20"/>
          <w:szCs w:val="20"/>
          <w:lang w:val="pl-PL"/>
        </w:rPr>
        <w:t>e</w:t>
      </w:r>
      <w:r w:rsidR="0047475F" w:rsidRPr="00352F50">
        <w:rPr>
          <w:rFonts w:ascii="Arial" w:hAnsi="Arial" w:cs="Arial"/>
          <w:bCs/>
          <w:sz w:val="20"/>
          <w:szCs w:val="20"/>
          <w:lang w:val="pl-PL"/>
        </w:rPr>
        <w:t xml:space="preserve"> lub </w:t>
      </w:r>
      <w:r w:rsidR="00373C4A">
        <w:rPr>
          <w:rFonts w:ascii="Arial" w:hAnsi="Arial" w:cs="Arial"/>
          <w:bCs/>
          <w:sz w:val="20"/>
          <w:szCs w:val="20"/>
          <w:lang w:val="pl-PL"/>
        </w:rPr>
        <w:t>nieznacznie się obniżyły</w:t>
      </w:r>
      <w:r w:rsidR="003A015B" w:rsidRPr="00352F50">
        <w:rPr>
          <w:rFonts w:ascii="Arial" w:hAnsi="Arial" w:cs="Arial"/>
          <w:bCs/>
          <w:sz w:val="20"/>
          <w:szCs w:val="20"/>
          <w:lang w:val="pl-PL"/>
        </w:rPr>
        <w:t xml:space="preserve">, </w:t>
      </w:r>
      <w:r w:rsidR="00373C4A">
        <w:rPr>
          <w:rFonts w:ascii="Arial" w:hAnsi="Arial" w:cs="Arial"/>
          <w:bCs/>
          <w:sz w:val="20"/>
          <w:szCs w:val="20"/>
          <w:lang w:val="pl-PL"/>
        </w:rPr>
        <w:t>podczas gdy</w:t>
      </w:r>
      <w:r w:rsidR="003A015B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215F32" w:rsidRPr="00352F50">
        <w:rPr>
          <w:rFonts w:ascii="Arial" w:hAnsi="Arial" w:cs="Arial"/>
          <w:bCs/>
          <w:sz w:val="20"/>
          <w:szCs w:val="20"/>
          <w:lang w:val="pl-PL"/>
        </w:rPr>
        <w:t xml:space="preserve">czynsze </w:t>
      </w:r>
      <w:r w:rsidR="005D7557">
        <w:rPr>
          <w:rFonts w:ascii="Arial" w:hAnsi="Arial" w:cs="Arial"/>
          <w:bCs/>
          <w:sz w:val="20"/>
          <w:szCs w:val="20"/>
          <w:lang w:val="pl-PL"/>
        </w:rPr>
        <w:t>utrzym</w:t>
      </w:r>
      <w:r w:rsidR="00785400">
        <w:rPr>
          <w:rFonts w:ascii="Arial" w:hAnsi="Arial" w:cs="Arial"/>
          <w:bCs/>
          <w:sz w:val="20"/>
          <w:szCs w:val="20"/>
          <w:lang w:val="pl-PL"/>
        </w:rPr>
        <w:t>ywały się na dotychczasowy</w:t>
      </w:r>
      <w:r w:rsidR="00AF3769">
        <w:rPr>
          <w:rFonts w:ascii="Arial" w:hAnsi="Arial" w:cs="Arial"/>
          <w:bCs/>
          <w:sz w:val="20"/>
          <w:szCs w:val="20"/>
          <w:lang w:val="pl-PL"/>
        </w:rPr>
        <w:t>m</w:t>
      </w:r>
      <w:r w:rsidR="00785400">
        <w:rPr>
          <w:rFonts w:ascii="Arial" w:hAnsi="Arial" w:cs="Arial"/>
          <w:bCs/>
          <w:sz w:val="20"/>
          <w:szCs w:val="20"/>
          <w:lang w:val="pl-PL"/>
        </w:rPr>
        <w:t xml:space="preserve"> poziomie lub </w:t>
      </w:r>
      <w:r w:rsidR="00334C7F">
        <w:rPr>
          <w:rFonts w:ascii="Arial" w:hAnsi="Arial" w:cs="Arial"/>
          <w:bCs/>
          <w:sz w:val="20"/>
          <w:szCs w:val="20"/>
          <w:lang w:val="pl-PL"/>
        </w:rPr>
        <w:t>wz</w:t>
      </w:r>
      <w:r w:rsidR="00CC2BD6" w:rsidRPr="00352F50">
        <w:rPr>
          <w:rFonts w:ascii="Arial" w:hAnsi="Arial" w:cs="Arial"/>
          <w:bCs/>
          <w:sz w:val="20"/>
          <w:szCs w:val="20"/>
          <w:lang w:val="pl-PL"/>
        </w:rPr>
        <w:t>rosły</w:t>
      </w:r>
      <w:r w:rsidR="00821C32" w:rsidRPr="00352F50">
        <w:rPr>
          <w:rFonts w:ascii="Arial" w:hAnsi="Arial" w:cs="Arial"/>
          <w:bCs/>
          <w:sz w:val="20"/>
          <w:szCs w:val="20"/>
          <w:lang w:val="pl-PL"/>
        </w:rPr>
        <w:t>.</w:t>
      </w:r>
      <w:r w:rsidR="007B7066"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</w:p>
    <w:p w14:paraId="2838B86E" w14:textId="77777777" w:rsidR="000108EB" w:rsidRDefault="000108EB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4A0FE6B9" w14:textId="4793C922" w:rsidR="000108EB" w:rsidRPr="000108EB" w:rsidRDefault="000108EB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0108EB">
        <w:rPr>
          <w:rFonts w:ascii="Arial" w:hAnsi="Arial" w:cs="Arial"/>
          <w:b/>
          <w:bCs/>
          <w:sz w:val="20"/>
          <w:szCs w:val="20"/>
          <w:lang w:val="pl-PL"/>
        </w:rPr>
        <w:t>Polska</w:t>
      </w:r>
    </w:p>
    <w:p w14:paraId="724DCE8D" w14:textId="07F825AB" w:rsidR="000108EB" w:rsidRDefault="000108EB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0108EB">
        <w:rPr>
          <w:rFonts w:ascii="Arial" w:hAnsi="Arial" w:cs="Arial"/>
          <w:bCs/>
          <w:sz w:val="20"/>
          <w:szCs w:val="20"/>
          <w:lang w:val="pl-PL"/>
        </w:rPr>
        <w:t>Spośród analizowanych sektorów w Polsce największą dynamikę wzrostu czynszów odnotowano na rynku biurowym</w:t>
      </w:r>
      <w:r w:rsidRPr="000108EB">
        <w:rPr>
          <w:rFonts w:ascii="Arial" w:hAnsi="Arial" w:cs="Arial"/>
          <w:b/>
          <w:bCs/>
          <w:sz w:val="20"/>
          <w:szCs w:val="20"/>
          <w:lang w:val="pl-PL"/>
        </w:rPr>
        <w:t>.</w:t>
      </w:r>
      <w:r w:rsidRPr="000108EB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5C1C47">
        <w:rPr>
          <w:rFonts w:ascii="Arial" w:hAnsi="Arial" w:cs="Arial"/>
          <w:bCs/>
          <w:sz w:val="20"/>
          <w:szCs w:val="20"/>
          <w:lang w:val="pl-PL"/>
        </w:rPr>
        <w:t>Stawki</w:t>
      </w:r>
      <w:r w:rsidRPr="000108EB">
        <w:rPr>
          <w:rFonts w:ascii="Arial" w:hAnsi="Arial" w:cs="Arial"/>
          <w:bCs/>
          <w:sz w:val="20"/>
          <w:szCs w:val="20"/>
          <w:lang w:val="pl-PL"/>
        </w:rPr>
        <w:t xml:space="preserve"> za wynajem najlepszych powierzchni wzrosły w drugim kwartale o 0,25 euro za mkw. miesięcznie, a w ujęciu rocznym o 2,25 euro, co oznacza dynamikę przekraczającą 8,5%. Jednocześnie stopy kapitalizacji obniżyły się o 25 </w:t>
      </w:r>
      <w:proofErr w:type="spellStart"/>
      <w:r w:rsidRPr="000108EB">
        <w:rPr>
          <w:rFonts w:ascii="Arial" w:hAnsi="Arial" w:cs="Arial"/>
          <w:bCs/>
          <w:sz w:val="20"/>
          <w:szCs w:val="20"/>
          <w:lang w:val="pl-PL"/>
        </w:rPr>
        <w:t>pb</w:t>
      </w:r>
      <w:proofErr w:type="spellEnd"/>
      <w:r w:rsidRPr="000108EB">
        <w:rPr>
          <w:rFonts w:ascii="Arial" w:hAnsi="Arial" w:cs="Arial"/>
          <w:bCs/>
          <w:sz w:val="20"/>
          <w:szCs w:val="20"/>
          <w:lang w:val="pl-PL"/>
        </w:rPr>
        <w:t xml:space="preserve"> kwartał do kwartału, powracając do poziomu notowanego przed rokiem.</w:t>
      </w:r>
    </w:p>
    <w:p w14:paraId="777441D5" w14:textId="77777777" w:rsidR="009F6D5F" w:rsidRDefault="009F6D5F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7AA1E084" w14:textId="27DD072D" w:rsidR="009F6D5F" w:rsidRPr="00617ACD" w:rsidRDefault="009F6D5F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9F6D5F">
        <w:rPr>
          <w:rFonts w:ascii="Arial" w:hAnsi="Arial" w:cs="Arial"/>
          <w:bCs/>
          <w:sz w:val="20"/>
          <w:szCs w:val="20"/>
          <w:lang w:val="pl-PL"/>
        </w:rPr>
        <w:t>–</w:t>
      </w:r>
      <w:r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9F6D5F">
        <w:rPr>
          <w:rFonts w:ascii="Arial" w:hAnsi="Arial" w:cs="Arial"/>
          <w:bCs/>
          <w:i/>
          <w:iCs/>
          <w:sz w:val="20"/>
          <w:szCs w:val="20"/>
          <w:lang w:val="pl-PL"/>
        </w:rPr>
        <w:t>Wzrost czynszów na warszawskim rynku biurowym koncentruje się przede wszystkim w najlepszych budynkach zlokalizowanych w centrum miasta, zarówno istniejących, jak i będących w budowie. To efekt ograniczonej dostępności wysokiej jakości powierzchni oraz utrzymujących się wysokich kosztów realizacji i finansowania nowych projektów. Poza centrum presja wzrostowa jest wyraźnie mniejsza i w większym stopniu odpowiada poziomowi inflacji. W przypadku starszych biurowców kluczowe znaczenie ma natomiast ich zdolność do konkurowania o najemców jakością, lokalizacją i standardem oferowanej powierzchni</w:t>
      </w:r>
      <w:r w:rsidRPr="009F6D5F">
        <w:rPr>
          <w:rFonts w:ascii="Arial" w:hAnsi="Arial" w:cs="Arial"/>
          <w:bCs/>
          <w:sz w:val="20"/>
          <w:szCs w:val="20"/>
          <w:lang w:val="pl-PL"/>
        </w:rPr>
        <w:t xml:space="preserve"> – komentuje </w:t>
      </w:r>
      <w:r w:rsidRPr="00617ACD">
        <w:rPr>
          <w:rFonts w:ascii="Arial" w:hAnsi="Arial" w:cs="Arial"/>
          <w:b/>
          <w:sz w:val="20"/>
          <w:szCs w:val="20"/>
          <w:lang w:val="pl-PL"/>
        </w:rPr>
        <w:t xml:space="preserve">Vitalii </w:t>
      </w:r>
      <w:proofErr w:type="spellStart"/>
      <w:r w:rsidRPr="00617ACD">
        <w:rPr>
          <w:rFonts w:ascii="Arial" w:hAnsi="Arial" w:cs="Arial"/>
          <w:b/>
          <w:sz w:val="20"/>
          <w:szCs w:val="20"/>
          <w:lang w:val="pl-PL"/>
        </w:rPr>
        <w:t>Arkhypenko</w:t>
      </w:r>
      <w:proofErr w:type="spellEnd"/>
      <w:r w:rsidRPr="00617ACD">
        <w:rPr>
          <w:rFonts w:ascii="Arial" w:hAnsi="Arial" w:cs="Arial"/>
          <w:b/>
          <w:sz w:val="20"/>
          <w:szCs w:val="20"/>
          <w:lang w:val="pl-PL"/>
        </w:rPr>
        <w:t xml:space="preserve">, </w:t>
      </w:r>
      <w:proofErr w:type="spellStart"/>
      <w:r w:rsidRPr="00617ACD">
        <w:rPr>
          <w:rFonts w:ascii="Arial" w:hAnsi="Arial" w:cs="Arial"/>
          <w:b/>
          <w:sz w:val="20"/>
          <w:szCs w:val="20"/>
          <w:lang w:val="pl-PL"/>
        </w:rPr>
        <w:t>Research</w:t>
      </w:r>
      <w:proofErr w:type="spellEnd"/>
      <w:r w:rsidRPr="00617ACD"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 w:rsidRPr="00617ACD">
        <w:rPr>
          <w:rFonts w:ascii="Arial" w:hAnsi="Arial" w:cs="Arial"/>
          <w:b/>
          <w:sz w:val="20"/>
          <w:szCs w:val="20"/>
          <w:lang w:val="pl-PL"/>
        </w:rPr>
        <w:t>Analyst</w:t>
      </w:r>
      <w:proofErr w:type="spellEnd"/>
      <w:r w:rsidRPr="00617ACD">
        <w:rPr>
          <w:rFonts w:ascii="Arial" w:hAnsi="Arial" w:cs="Arial"/>
          <w:b/>
          <w:sz w:val="20"/>
          <w:szCs w:val="20"/>
          <w:lang w:val="pl-PL"/>
        </w:rPr>
        <w:t>, Cushman &amp; Wakefield.</w:t>
      </w:r>
    </w:p>
    <w:p w14:paraId="7B28EB69" w14:textId="77777777" w:rsidR="009F6D5F" w:rsidRPr="009F6D5F" w:rsidRDefault="009F6D5F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3CE7BC7A" w14:textId="77777777" w:rsidR="00C05CA1" w:rsidRDefault="000108EB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0108EB">
        <w:rPr>
          <w:rFonts w:ascii="Arial" w:hAnsi="Arial" w:cs="Arial"/>
          <w:bCs/>
          <w:sz w:val="20"/>
          <w:szCs w:val="20"/>
          <w:lang w:val="pl-PL"/>
        </w:rPr>
        <w:t xml:space="preserve">Na rynku logistycznym odnotowano umiarkowany wzrost czynszów, przy stabilnych stopach kapitalizacji w ujęciu kwartalnym. </w:t>
      </w:r>
    </w:p>
    <w:p w14:paraId="3EC59CBC" w14:textId="77777777" w:rsidR="00C05CA1" w:rsidRDefault="00C05CA1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4D4F9AD5" w14:textId="77777777" w:rsidR="0073187D" w:rsidRPr="0073187D" w:rsidRDefault="0073187D" w:rsidP="0073187D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73187D">
        <w:rPr>
          <w:rFonts w:ascii="Arial" w:hAnsi="Arial" w:cs="Arial"/>
          <w:bCs/>
          <w:sz w:val="20"/>
          <w:szCs w:val="20"/>
          <w:lang w:val="pl-PL"/>
        </w:rPr>
        <w:t xml:space="preserve">– </w:t>
      </w:r>
      <w:r w:rsidRPr="0073187D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Stabilność czynszów na rynku logistycznym wynika przede wszystkim z utrzymującego się wysokiego zainteresowania najmem, które wspiera poziom stawek w najlepszych lokalizacjach. Dodatkowym czynnikiem jest ostrożne podejście deweloperów do nowych inwestycji i ograniczona skala projektów spekulacyjnych, co pomaga zachować równowagę między podażą a popytem. Jednocześnie na ostateczne warunki najmu nadal wpływa zakres zachęt oferowanych najemcom </w:t>
      </w:r>
      <w:r w:rsidRPr="0073187D">
        <w:rPr>
          <w:rFonts w:ascii="Arial" w:hAnsi="Arial" w:cs="Arial"/>
          <w:bCs/>
          <w:sz w:val="20"/>
          <w:szCs w:val="20"/>
          <w:lang w:val="pl-PL"/>
        </w:rPr>
        <w:t xml:space="preserve">– komentuje </w:t>
      </w:r>
      <w:r w:rsidRPr="0073187D">
        <w:rPr>
          <w:rFonts w:ascii="Arial" w:hAnsi="Arial" w:cs="Arial"/>
          <w:b/>
          <w:bCs/>
          <w:sz w:val="20"/>
          <w:szCs w:val="20"/>
          <w:lang w:val="pl-PL"/>
        </w:rPr>
        <w:t xml:space="preserve">Szczepan Gowin, </w:t>
      </w:r>
      <w:proofErr w:type="spellStart"/>
      <w:r w:rsidRPr="0073187D">
        <w:rPr>
          <w:rFonts w:ascii="Arial" w:hAnsi="Arial" w:cs="Arial"/>
          <w:b/>
          <w:bCs/>
          <w:sz w:val="20"/>
          <w:szCs w:val="20"/>
          <w:lang w:val="pl-PL"/>
        </w:rPr>
        <w:t>Head</w:t>
      </w:r>
      <w:proofErr w:type="spellEnd"/>
      <w:r w:rsidRPr="0073187D">
        <w:rPr>
          <w:rFonts w:ascii="Arial" w:hAnsi="Arial" w:cs="Arial"/>
          <w:b/>
          <w:bCs/>
          <w:sz w:val="20"/>
          <w:szCs w:val="20"/>
          <w:lang w:val="pl-PL"/>
        </w:rPr>
        <w:t xml:space="preserve"> of </w:t>
      </w:r>
      <w:proofErr w:type="spellStart"/>
      <w:r w:rsidRPr="0073187D">
        <w:rPr>
          <w:rFonts w:ascii="Arial" w:hAnsi="Arial" w:cs="Arial"/>
          <w:b/>
          <w:bCs/>
          <w:sz w:val="20"/>
          <w:szCs w:val="20"/>
          <w:lang w:val="pl-PL"/>
        </w:rPr>
        <w:t>Industrial</w:t>
      </w:r>
      <w:proofErr w:type="spellEnd"/>
      <w:r w:rsidRPr="0073187D">
        <w:rPr>
          <w:rFonts w:ascii="Arial" w:hAnsi="Arial" w:cs="Arial"/>
          <w:b/>
          <w:bCs/>
          <w:sz w:val="20"/>
          <w:szCs w:val="20"/>
          <w:lang w:val="pl-PL"/>
        </w:rPr>
        <w:t xml:space="preserve"> &amp; Logistics </w:t>
      </w:r>
      <w:proofErr w:type="spellStart"/>
      <w:r w:rsidRPr="0073187D">
        <w:rPr>
          <w:rFonts w:ascii="Arial" w:hAnsi="Arial" w:cs="Arial"/>
          <w:b/>
          <w:bCs/>
          <w:sz w:val="20"/>
          <w:szCs w:val="20"/>
          <w:lang w:val="pl-PL"/>
        </w:rPr>
        <w:t>Agency</w:t>
      </w:r>
      <w:proofErr w:type="spellEnd"/>
      <w:r w:rsidRPr="0073187D">
        <w:rPr>
          <w:rFonts w:ascii="Arial" w:hAnsi="Arial" w:cs="Arial"/>
          <w:b/>
          <w:bCs/>
          <w:sz w:val="20"/>
          <w:szCs w:val="20"/>
          <w:lang w:val="pl-PL"/>
        </w:rPr>
        <w:t xml:space="preserve"> w Cushman &amp; Wakefield.</w:t>
      </w:r>
    </w:p>
    <w:p w14:paraId="2DF9E3A5" w14:textId="3E1A9BBC" w:rsidR="000108EB" w:rsidRPr="000108EB" w:rsidRDefault="000108EB" w:rsidP="000108EB">
      <w:pPr>
        <w:tabs>
          <w:tab w:val="left" w:pos="56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0108EB">
        <w:rPr>
          <w:rFonts w:ascii="Arial" w:hAnsi="Arial" w:cs="Arial"/>
          <w:bCs/>
          <w:sz w:val="20"/>
          <w:szCs w:val="20"/>
          <w:lang w:val="pl-PL"/>
        </w:rPr>
        <w:lastRenderedPageBreak/>
        <w:t>Z kolei w sektorze handlowym zarówno czynsze za lokale przy głównych ulicach handlowych, jak i stopy kapitalizacji pozostały zasadniczo stabilne.</w:t>
      </w:r>
    </w:p>
    <w:p w14:paraId="112395CA" w14:textId="77777777" w:rsidR="000108EB" w:rsidRPr="00352F50" w:rsidRDefault="000108EB" w:rsidP="000108EB">
      <w:pPr>
        <w:tabs>
          <w:tab w:val="left" w:pos="5630"/>
        </w:tabs>
        <w:spacing w:after="0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14:paraId="020F55D3" w14:textId="168358CE" w:rsidR="006B6114" w:rsidRPr="00352F50" w:rsidRDefault="00573968" w:rsidP="00573968">
      <w:pPr>
        <w:tabs>
          <w:tab w:val="left" w:pos="5630"/>
        </w:tabs>
        <w:rPr>
          <w:rFonts w:ascii="Arial" w:hAnsi="Arial" w:cs="Arial"/>
          <w:bCs/>
          <w:sz w:val="20"/>
          <w:szCs w:val="20"/>
          <w:lang w:val="pl-PL"/>
        </w:rPr>
      </w:pPr>
      <w:r w:rsidRPr="00352F50">
        <w:rPr>
          <w:rFonts w:ascii="Arial" w:hAnsi="Arial" w:cs="Arial"/>
          <w:bCs/>
          <w:sz w:val="20"/>
          <w:szCs w:val="20"/>
          <w:lang w:val="pl-PL"/>
        </w:rPr>
        <w:t xml:space="preserve"> </w:t>
      </w:r>
    </w:p>
    <w:bookmarkEnd w:id="0"/>
    <w:bookmarkEnd w:id="1"/>
    <w:p w14:paraId="258EF7D2" w14:textId="383354BB" w:rsidR="008942DD" w:rsidRPr="00352F50" w:rsidRDefault="008942DD" w:rsidP="008942DD">
      <w:pPr>
        <w:spacing w:after="0"/>
        <w:jc w:val="center"/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</w:pPr>
      <w:r w:rsidRPr="00352F50"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t>-</w:t>
      </w:r>
      <w:r w:rsidR="00CF540F" w:rsidRPr="00352F50"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t>KONIEC</w:t>
      </w:r>
      <w:r w:rsidRPr="00352F50"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t>-</w:t>
      </w:r>
    </w:p>
    <w:p w14:paraId="0F57C59E" w14:textId="3815DB24" w:rsidR="0065599F" w:rsidRPr="00352F50" w:rsidRDefault="00CF540F" w:rsidP="0065599F">
      <w:pPr>
        <w:pStyle w:val="NormalnyWeb"/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pl-PL"/>
        </w:rPr>
      </w:pPr>
      <w:r w:rsidRPr="00352F50"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pl-PL"/>
        </w:rPr>
        <w:t>O</w:t>
      </w:r>
      <w:r w:rsidR="0065599F" w:rsidRPr="00352F50"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pl-PL"/>
        </w:rPr>
        <w:t xml:space="preserve"> Cushman &amp; Wakefield</w:t>
      </w:r>
    </w:p>
    <w:p w14:paraId="5984CEB9" w14:textId="3CDC361A" w:rsidR="0065599F" w:rsidRPr="00352F50" w:rsidRDefault="00A31E54" w:rsidP="0065599F">
      <w:pPr>
        <w:pStyle w:val="NormalnyWeb"/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pl-PL"/>
        </w:rPr>
      </w:pPr>
      <w:r w:rsidRPr="00352F50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pl-PL"/>
        </w:rPr>
        <w:t>Cushman &amp; Wakefield (NYSE: CWK) jest wiodącą na świecie firmą świadczącą usługi na rzecz właścicieli i najemców nieruchomości komercyjnych. Zatrudnia ok. 52 tys. pracowników w niemal 400 biurach i 60 krajach na całym świecie. W 2024 roku jej przychody wyniosły 9,4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 </w:t>
      </w:r>
      <w:proofErr w:type="spellStart"/>
      <w:r w:rsidRPr="00352F50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  <w:lang w:val="pl-PL"/>
        </w:rPr>
        <w:t>Better</w:t>
      </w:r>
      <w:proofErr w:type="spellEnd"/>
      <w:r w:rsidRPr="00352F50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  <w:lang w:val="pl-PL"/>
        </w:rPr>
        <w:t xml:space="preserve"> </w:t>
      </w:r>
      <w:proofErr w:type="spellStart"/>
      <w:r w:rsidRPr="00352F50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  <w:lang w:val="pl-PL"/>
        </w:rPr>
        <w:t>never</w:t>
      </w:r>
      <w:proofErr w:type="spellEnd"/>
      <w:r w:rsidRPr="00352F50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  <w:lang w:val="pl-PL"/>
        </w:rPr>
        <w:t xml:space="preserve"> </w:t>
      </w:r>
      <w:proofErr w:type="spellStart"/>
      <w:r w:rsidRPr="00352F50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  <w:lang w:val="pl-PL"/>
        </w:rPr>
        <w:t>settles</w:t>
      </w:r>
      <w:proofErr w:type="spellEnd"/>
      <w:r w:rsidRPr="00352F50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pl-PL"/>
        </w:rPr>
        <w:t xml:space="preserve"> Cushman &amp; Wakefield otrzymuje wiele wyróżnień oraz nagród w konkursach branżowych i biznesowych. Dodatkowe informacje na stronie </w:t>
      </w:r>
      <w:hyperlink r:id="rId8" w:history="1">
        <w:r w:rsidR="0065599F" w:rsidRPr="00352F50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  <w:lang w:val="pl-PL"/>
          </w:rPr>
          <w:t>www.cushmanwakefield.com</w:t>
        </w:r>
      </w:hyperlink>
      <w:r w:rsidR="0065599F" w:rsidRPr="00352F50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pl-PL"/>
        </w:rPr>
        <w:t xml:space="preserve"> </w:t>
      </w:r>
    </w:p>
    <w:p w14:paraId="4964727D" w14:textId="063A45C8" w:rsidR="009D7EBB" w:rsidRPr="00352F50" w:rsidRDefault="009D7EBB" w:rsidP="0004779C">
      <w:pPr>
        <w:pStyle w:val="NormalnyWeb"/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pl-PL"/>
        </w:rPr>
      </w:pPr>
    </w:p>
    <w:p w14:paraId="280C5F18" w14:textId="2D890C96" w:rsidR="001E5EDD" w:rsidRPr="00352F50" w:rsidRDefault="001E5EDD" w:rsidP="001E5EDD">
      <w:pPr>
        <w:spacing w:after="120" w:line="288" w:lineRule="auto"/>
        <w:rPr>
          <w:rFonts w:ascii="Arial" w:eastAsiaTheme="minorHAnsi" w:hAnsi="Arial" w:cs="Arial"/>
          <w:sz w:val="18"/>
          <w:szCs w:val="18"/>
          <w:lang w:val="pl-PL"/>
        </w:rPr>
      </w:pPr>
    </w:p>
    <w:p w14:paraId="4AB07F79" w14:textId="77777777" w:rsidR="00753BBA" w:rsidRPr="00352F50" w:rsidRDefault="00753BBA">
      <w:pPr>
        <w:rPr>
          <w:lang w:val="pl-PL"/>
        </w:rPr>
      </w:pPr>
    </w:p>
    <w:sectPr w:rsidR="00753BBA" w:rsidRPr="00352F50" w:rsidSect="001E5EDD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3600" w:right="1008" w:bottom="2880" w:left="1224" w:header="180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662C" w14:textId="77777777" w:rsidR="000B3AE0" w:rsidRDefault="000B3AE0" w:rsidP="001E5EDD">
      <w:pPr>
        <w:spacing w:after="0" w:line="240" w:lineRule="auto"/>
      </w:pPr>
      <w:r>
        <w:separator/>
      </w:r>
    </w:p>
  </w:endnote>
  <w:endnote w:type="continuationSeparator" w:id="0">
    <w:p w14:paraId="7F82BCA6" w14:textId="77777777" w:rsidR="000B3AE0" w:rsidRDefault="000B3AE0" w:rsidP="001E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7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</w:tblGrid>
    <w:tr w:rsidR="002B653E" w:rsidRPr="00F27BA6" w14:paraId="7077B96D" w14:textId="77777777" w:rsidTr="00A30D8E">
      <w:trPr>
        <w:trHeight w:val="1260"/>
      </w:trPr>
      <w:tc>
        <w:tcPr>
          <w:tcW w:w="5670" w:type="dxa"/>
          <w:vAlign w:val="bottom"/>
        </w:tcPr>
        <w:p w14:paraId="57945FB9" w14:textId="449AFCD9" w:rsidR="00104CC1" w:rsidRPr="001E5EDD" w:rsidRDefault="007F75D4" w:rsidP="002B653E">
          <w:pPr>
            <w:pStyle w:val="ContactName"/>
            <w:rPr>
              <w:rFonts w:ascii="Arial" w:hAnsi="Arial" w:cs="Arial"/>
              <w:color w:val="696B6B"/>
              <w:szCs w:val="18"/>
            </w:rPr>
          </w:pPr>
          <w:r>
            <w:rPr>
              <w:rFonts w:ascii="Arial" w:hAnsi="Arial" w:cs="Arial"/>
              <w:color w:val="696B6B"/>
              <w:szCs w:val="18"/>
            </w:rPr>
            <w:t>Lauren</w:t>
          </w:r>
          <w:r w:rsidR="00104CC1" w:rsidRPr="001E5EDD">
            <w:rPr>
              <w:rFonts w:ascii="Arial" w:hAnsi="Arial" w:cs="Arial"/>
              <w:color w:val="696B6B"/>
              <w:szCs w:val="18"/>
            </w:rPr>
            <w:t xml:space="preserve"> </w:t>
          </w:r>
          <w:r>
            <w:rPr>
              <w:rFonts w:ascii="Arial" w:hAnsi="Arial" w:cs="Arial"/>
              <w:color w:val="696B6B"/>
              <w:szCs w:val="18"/>
            </w:rPr>
            <w:t>Joselyn</w:t>
          </w:r>
        </w:p>
        <w:p w14:paraId="722927BA" w14:textId="1DBEF968" w:rsidR="00104CC1" w:rsidRPr="001E5EDD" w:rsidRDefault="007F75D4" w:rsidP="002B653E">
          <w:pPr>
            <w:pStyle w:val="ContactDetail"/>
            <w:rPr>
              <w:rFonts w:ascii="Arial" w:hAnsi="Arial" w:cs="Arial"/>
              <w:color w:val="696B6B"/>
              <w:szCs w:val="18"/>
            </w:rPr>
          </w:pPr>
          <w:r>
            <w:rPr>
              <w:rFonts w:ascii="Arial" w:hAnsi="Arial" w:cs="Arial"/>
              <w:color w:val="696B6B"/>
              <w:szCs w:val="18"/>
            </w:rPr>
            <w:t>Associate Director,</w:t>
          </w:r>
          <w:r w:rsidR="00104CC1" w:rsidRPr="001E5EDD">
            <w:rPr>
              <w:rFonts w:ascii="Arial" w:hAnsi="Arial" w:cs="Arial"/>
              <w:color w:val="696B6B"/>
              <w:szCs w:val="18"/>
            </w:rPr>
            <w:t xml:space="preserve"> Communications</w:t>
          </w:r>
        </w:p>
        <w:p w14:paraId="3845771C" w14:textId="77777777" w:rsidR="007F75D4" w:rsidRPr="001E5EDD" w:rsidRDefault="007F75D4" w:rsidP="007F75D4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</w:pPr>
          <w:r w:rsidRPr="001E5EDD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 xml:space="preserve">+44(0)203 296 </w:t>
          </w:r>
          <w:r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>3034</w:t>
          </w:r>
        </w:p>
        <w:p w14:paraId="253B56A5" w14:textId="5BF74390" w:rsidR="00104CC1" w:rsidRPr="001E5EDD" w:rsidRDefault="007F75D4" w:rsidP="007F75D4">
          <w:pPr>
            <w:pStyle w:val="ContactDetail"/>
            <w:rPr>
              <w:rFonts w:ascii="Arial" w:hAnsi="Arial" w:cs="Arial"/>
              <w:color w:val="4E5050"/>
              <w:lang w:val="es-ES_tradnl"/>
            </w:rPr>
          </w:pPr>
          <w:hyperlink r:id="rId1" w:history="1">
            <w:r>
              <w:rPr>
                <w:rFonts w:ascii="Arial" w:hAnsi="Arial" w:cs="Arial"/>
                <w:color w:val="0093B2"/>
                <w:szCs w:val="18"/>
                <w:u w:val="single"/>
                <w:lang w:val="es-ES_tradnl"/>
              </w:rPr>
              <w:t>lauren.joselyn@cushwake.com</w:t>
            </w:r>
          </w:hyperlink>
        </w:p>
      </w:tc>
    </w:tr>
  </w:tbl>
  <w:p w14:paraId="3C11815C" w14:textId="77777777" w:rsidR="00104CC1" w:rsidRDefault="00104C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3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5"/>
      <w:gridCol w:w="3065"/>
    </w:tblGrid>
    <w:tr w:rsidR="001E5EDD" w:rsidRPr="001E5EDD" w14:paraId="0D5F9232" w14:textId="77777777" w:rsidTr="00AE6F33">
      <w:trPr>
        <w:trHeight w:val="650"/>
      </w:trPr>
      <w:tc>
        <w:tcPr>
          <w:tcW w:w="6130" w:type="dxa"/>
          <w:gridSpan w:val="2"/>
          <w:vAlign w:val="bottom"/>
        </w:tcPr>
        <w:p w14:paraId="3896D469" w14:textId="34388226" w:rsidR="001E5EDD" w:rsidRPr="001E5EDD" w:rsidRDefault="00CF540F" w:rsidP="001E5EDD">
          <w:pPr>
            <w:keepNext/>
            <w:keepLines/>
            <w:spacing w:after="100" w:line="240" w:lineRule="atLeast"/>
            <w:outlineLvl w:val="1"/>
            <w:rPr>
              <w:rFonts w:ascii="Arial" w:eastAsia="Times New Roman" w:hAnsi="Arial" w:cs="Arial"/>
              <w:b/>
              <w:bCs/>
              <w:caps/>
              <w:color w:val="4E5050"/>
              <w:sz w:val="18"/>
              <w:szCs w:val="26"/>
              <w:lang w:eastAsia="en-GB"/>
            </w:rPr>
          </w:pPr>
          <w:r w:rsidRPr="00CF540F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val="pl-PL" w:eastAsia="en-GB"/>
            </w:rPr>
            <w:t>Dodatkowe informacje</w:t>
          </w:r>
          <w:r w:rsidR="001E5EDD" w:rsidRPr="001E5EDD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eastAsia="en-GB"/>
            </w:rPr>
            <w:t>:</w:t>
          </w:r>
        </w:p>
      </w:tc>
    </w:tr>
    <w:tr w:rsidR="001E5EDD" w:rsidRPr="001E5EDD" w14:paraId="76C3C1CA" w14:textId="77777777" w:rsidTr="00AE6F33">
      <w:trPr>
        <w:trHeight w:val="1300"/>
      </w:trPr>
      <w:tc>
        <w:tcPr>
          <w:tcW w:w="3065" w:type="dxa"/>
          <w:vAlign w:val="bottom"/>
        </w:tcPr>
        <w:p w14:paraId="267837AC" w14:textId="7B6642F0" w:rsidR="001E5EDD" w:rsidRPr="001E5EDD" w:rsidRDefault="00AE6F33" w:rsidP="001E5EDD">
          <w:pPr>
            <w:keepNext/>
            <w:keepLines/>
            <w:spacing w:after="0" w:line="216" w:lineRule="atLeast"/>
            <w:outlineLvl w:val="2"/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Lauren</w:t>
          </w:r>
          <w:r w:rsidR="001E5EDD" w:rsidRPr="001E5EDD"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Joselyn</w:t>
          </w:r>
        </w:p>
        <w:p w14:paraId="6CFC7B1A" w14:textId="331BBF84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>Associate Director,</w:t>
          </w:r>
          <w:r w:rsidR="001E5EDD" w:rsidRPr="001E5EDD"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 xml:space="preserve"> Communications</w:t>
          </w:r>
        </w:p>
        <w:p w14:paraId="2D0B8870" w14:textId="17618848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</w:pPr>
          <w:r w:rsidRPr="001E5EDD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 xml:space="preserve">+44(0)203 296 </w:t>
          </w:r>
          <w:r w:rsidR="00AE6F33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>3034</w:t>
          </w:r>
        </w:p>
        <w:p w14:paraId="2E7DEB0F" w14:textId="2D36CE02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eastAsia="en-GB"/>
            </w:rPr>
          </w:pPr>
          <w:hyperlink r:id="rId1" w:history="1">
            <w:r>
              <w:rPr>
                <w:rFonts w:ascii="Arial" w:eastAsia="Times New Roman" w:hAnsi="Arial" w:cs="Arial"/>
                <w:color w:val="0093B2"/>
                <w:sz w:val="18"/>
                <w:szCs w:val="18"/>
                <w:u w:val="single"/>
                <w:lang w:val="es-ES_tradnl" w:eastAsia="en-GB"/>
              </w:rPr>
              <w:t>lauren.joselyn@cushwake.com</w:t>
            </w:r>
          </w:hyperlink>
        </w:p>
      </w:tc>
      <w:tc>
        <w:tcPr>
          <w:tcW w:w="3065" w:type="dxa"/>
          <w:vAlign w:val="bottom"/>
        </w:tcPr>
        <w:p w14:paraId="2FAF6508" w14:textId="77777777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val="es-ES_tradnl" w:eastAsia="en-GB"/>
            </w:rPr>
          </w:pPr>
        </w:p>
      </w:tc>
    </w:tr>
  </w:tbl>
  <w:p w14:paraId="054AD49B" w14:textId="22808C65" w:rsidR="00104CC1" w:rsidRDefault="00104C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4D95" w14:textId="77777777" w:rsidR="000B3AE0" w:rsidRDefault="000B3AE0" w:rsidP="001E5EDD">
      <w:pPr>
        <w:spacing w:after="0" w:line="240" w:lineRule="auto"/>
      </w:pPr>
      <w:r>
        <w:separator/>
      </w:r>
    </w:p>
  </w:footnote>
  <w:footnote w:type="continuationSeparator" w:id="0">
    <w:p w14:paraId="18CC1AA3" w14:textId="77777777" w:rsidR="000B3AE0" w:rsidRDefault="000B3AE0" w:rsidP="001E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A93B" w14:textId="77777777" w:rsidR="00104CC1" w:rsidRDefault="00104CC1">
    <w:pPr>
      <w:pStyle w:val="Nagwek"/>
    </w:pPr>
    <w:r>
      <w:rPr>
        <w:noProof/>
        <w:lang w:eastAsia="en-GB"/>
      </w:rPr>
      <w:drawing>
        <wp:inline distT="0" distB="0" distL="0" distR="0" wp14:anchorId="60C9C53F" wp14:editId="37A0F607">
          <wp:extent cx="2303780" cy="484505"/>
          <wp:effectExtent l="0" t="0" r="1270" b="0"/>
          <wp:docPr id="1" name="Picture 1" descr="E:\CW REBRAND\Assets\CW Logo Suite\Cushman &amp; Wakefield\CW_Logo_PMS.e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A27B" w14:textId="77777777" w:rsidR="00104CC1" w:rsidRDefault="00104CC1">
    <w:pPr>
      <w:pStyle w:val="Nagwek"/>
    </w:pPr>
    <w:r>
      <w:rPr>
        <w:noProof/>
        <w:lang w:eastAsia="en-GB"/>
      </w:rPr>
      <w:drawing>
        <wp:inline distT="0" distB="0" distL="0" distR="0" wp14:anchorId="350B32DA" wp14:editId="09AA938A">
          <wp:extent cx="2303780" cy="484505"/>
          <wp:effectExtent l="0" t="0" r="1270" b="0"/>
          <wp:docPr id="6" name="Picture 6" descr="E:\CW REBRAND\Assets\CW Logo Suite\Cushman &amp; Wakefield\CW_Logo_PMS.e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4A10"/>
    <w:multiLevelType w:val="hybridMultilevel"/>
    <w:tmpl w:val="37FC0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B665F2"/>
    <w:multiLevelType w:val="hybridMultilevel"/>
    <w:tmpl w:val="8918E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299484">
    <w:abstractNumId w:val="0"/>
  </w:num>
  <w:num w:numId="2" w16cid:durableId="1798839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DD"/>
    <w:rsid w:val="0001074B"/>
    <w:rsid w:val="000108EB"/>
    <w:rsid w:val="00015F8C"/>
    <w:rsid w:val="0002027B"/>
    <w:rsid w:val="000212B3"/>
    <w:rsid w:val="0002491F"/>
    <w:rsid w:val="0003069F"/>
    <w:rsid w:val="0003209D"/>
    <w:rsid w:val="00043B30"/>
    <w:rsid w:val="0004779C"/>
    <w:rsid w:val="00050727"/>
    <w:rsid w:val="00054A8D"/>
    <w:rsid w:val="00056F25"/>
    <w:rsid w:val="00065F26"/>
    <w:rsid w:val="00073B6F"/>
    <w:rsid w:val="00085B48"/>
    <w:rsid w:val="000963C3"/>
    <w:rsid w:val="000A052A"/>
    <w:rsid w:val="000A1B60"/>
    <w:rsid w:val="000A3295"/>
    <w:rsid w:val="000A7549"/>
    <w:rsid w:val="000A7731"/>
    <w:rsid w:val="000B13B7"/>
    <w:rsid w:val="000B3AE0"/>
    <w:rsid w:val="000C57AE"/>
    <w:rsid w:val="000D740F"/>
    <w:rsid w:val="000E22D3"/>
    <w:rsid w:val="000E34DA"/>
    <w:rsid w:val="000E4554"/>
    <w:rsid w:val="000F201D"/>
    <w:rsid w:val="000F54BD"/>
    <w:rsid w:val="00103A95"/>
    <w:rsid w:val="00104CC1"/>
    <w:rsid w:val="00106BDF"/>
    <w:rsid w:val="00106F1A"/>
    <w:rsid w:val="00107538"/>
    <w:rsid w:val="001239A3"/>
    <w:rsid w:val="0012426A"/>
    <w:rsid w:val="00124F66"/>
    <w:rsid w:val="0012747D"/>
    <w:rsid w:val="0013021C"/>
    <w:rsid w:val="00133CC5"/>
    <w:rsid w:val="00144931"/>
    <w:rsid w:val="00145035"/>
    <w:rsid w:val="0014627C"/>
    <w:rsid w:val="001464A7"/>
    <w:rsid w:val="0015560A"/>
    <w:rsid w:val="001569DD"/>
    <w:rsid w:val="001611CD"/>
    <w:rsid w:val="00163E7F"/>
    <w:rsid w:val="001678C1"/>
    <w:rsid w:val="00171653"/>
    <w:rsid w:val="00171878"/>
    <w:rsid w:val="00181F57"/>
    <w:rsid w:val="00184B5E"/>
    <w:rsid w:val="00195414"/>
    <w:rsid w:val="001A00E0"/>
    <w:rsid w:val="001A2B7F"/>
    <w:rsid w:val="001A5691"/>
    <w:rsid w:val="001A7F10"/>
    <w:rsid w:val="001B08B9"/>
    <w:rsid w:val="001B4924"/>
    <w:rsid w:val="001C43FD"/>
    <w:rsid w:val="001C6965"/>
    <w:rsid w:val="001D15DB"/>
    <w:rsid w:val="001D35D4"/>
    <w:rsid w:val="001D6217"/>
    <w:rsid w:val="001D67D4"/>
    <w:rsid w:val="001E106F"/>
    <w:rsid w:val="001E5EDD"/>
    <w:rsid w:val="001F090C"/>
    <w:rsid w:val="001F2AC6"/>
    <w:rsid w:val="001F6561"/>
    <w:rsid w:val="001F6A93"/>
    <w:rsid w:val="001F6D52"/>
    <w:rsid w:val="002022D9"/>
    <w:rsid w:val="00212C61"/>
    <w:rsid w:val="00212E69"/>
    <w:rsid w:val="00215F32"/>
    <w:rsid w:val="00220E3E"/>
    <w:rsid w:val="002222E7"/>
    <w:rsid w:val="0023061F"/>
    <w:rsid w:val="00231CA5"/>
    <w:rsid w:val="00233C62"/>
    <w:rsid w:val="00234AD2"/>
    <w:rsid w:val="002361A1"/>
    <w:rsid w:val="002462B6"/>
    <w:rsid w:val="0024757B"/>
    <w:rsid w:val="002511FB"/>
    <w:rsid w:val="00251B6E"/>
    <w:rsid w:val="00251E8A"/>
    <w:rsid w:val="00253F83"/>
    <w:rsid w:val="00255D1D"/>
    <w:rsid w:val="0025717C"/>
    <w:rsid w:val="002623AE"/>
    <w:rsid w:val="00262EA4"/>
    <w:rsid w:val="00265F4C"/>
    <w:rsid w:val="00270E7E"/>
    <w:rsid w:val="00275A3D"/>
    <w:rsid w:val="0028128F"/>
    <w:rsid w:val="00282D2D"/>
    <w:rsid w:val="002902B4"/>
    <w:rsid w:val="00293778"/>
    <w:rsid w:val="002A02D1"/>
    <w:rsid w:val="002A6017"/>
    <w:rsid w:val="002A6A26"/>
    <w:rsid w:val="002A6D47"/>
    <w:rsid w:val="002B1149"/>
    <w:rsid w:val="002B4862"/>
    <w:rsid w:val="002C0B55"/>
    <w:rsid w:val="002E130B"/>
    <w:rsid w:val="002E31B3"/>
    <w:rsid w:val="002E406E"/>
    <w:rsid w:val="002E484E"/>
    <w:rsid w:val="002E77BB"/>
    <w:rsid w:val="002E79F5"/>
    <w:rsid w:val="0030508F"/>
    <w:rsid w:val="00305E12"/>
    <w:rsid w:val="0030762E"/>
    <w:rsid w:val="00311CDD"/>
    <w:rsid w:val="00311ED5"/>
    <w:rsid w:val="00330BE4"/>
    <w:rsid w:val="003328C9"/>
    <w:rsid w:val="00334C7F"/>
    <w:rsid w:val="00334FFA"/>
    <w:rsid w:val="00342214"/>
    <w:rsid w:val="003428AD"/>
    <w:rsid w:val="003476F5"/>
    <w:rsid w:val="00350A08"/>
    <w:rsid w:val="003524FB"/>
    <w:rsid w:val="00352F50"/>
    <w:rsid w:val="003568BF"/>
    <w:rsid w:val="0036057E"/>
    <w:rsid w:val="0036096F"/>
    <w:rsid w:val="00364595"/>
    <w:rsid w:val="00373C4A"/>
    <w:rsid w:val="00376DC5"/>
    <w:rsid w:val="00384618"/>
    <w:rsid w:val="003856A6"/>
    <w:rsid w:val="00392671"/>
    <w:rsid w:val="003926DD"/>
    <w:rsid w:val="00393076"/>
    <w:rsid w:val="0039531D"/>
    <w:rsid w:val="00397E70"/>
    <w:rsid w:val="003A015B"/>
    <w:rsid w:val="003A1210"/>
    <w:rsid w:val="003A33F6"/>
    <w:rsid w:val="003B175A"/>
    <w:rsid w:val="003C0B24"/>
    <w:rsid w:val="003C296D"/>
    <w:rsid w:val="003C3194"/>
    <w:rsid w:val="003C4037"/>
    <w:rsid w:val="003C52CD"/>
    <w:rsid w:val="003C6EE2"/>
    <w:rsid w:val="003D2BAF"/>
    <w:rsid w:val="003D3E99"/>
    <w:rsid w:val="003D4EC8"/>
    <w:rsid w:val="003D55DF"/>
    <w:rsid w:val="003E1027"/>
    <w:rsid w:val="003E5345"/>
    <w:rsid w:val="003F0FC5"/>
    <w:rsid w:val="004003B9"/>
    <w:rsid w:val="00401DE2"/>
    <w:rsid w:val="00406858"/>
    <w:rsid w:val="00423C3D"/>
    <w:rsid w:val="004270C7"/>
    <w:rsid w:val="0042769A"/>
    <w:rsid w:val="004277BF"/>
    <w:rsid w:val="004306F2"/>
    <w:rsid w:val="0044367D"/>
    <w:rsid w:val="004464E4"/>
    <w:rsid w:val="00455933"/>
    <w:rsid w:val="0047106D"/>
    <w:rsid w:val="00473673"/>
    <w:rsid w:val="0047475F"/>
    <w:rsid w:val="0048015C"/>
    <w:rsid w:val="0048123A"/>
    <w:rsid w:val="00483155"/>
    <w:rsid w:val="004832B8"/>
    <w:rsid w:val="004867EC"/>
    <w:rsid w:val="004869A2"/>
    <w:rsid w:val="004878C4"/>
    <w:rsid w:val="004929C2"/>
    <w:rsid w:val="0049457C"/>
    <w:rsid w:val="004A0E1F"/>
    <w:rsid w:val="004A184E"/>
    <w:rsid w:val="004B0C40"/>
    <w:rsid w:val="004D0D62"/>
    <w:rsid w:val="004E2F4A"/>
    <w:rsid w:val="004F29B7"/>
    <w:rsid w:val="004F5383"/>
    <w:rsid w:val="004F6381"/>
    <w:rsid w:val="004F68D4"/>
    <w:rsid w:val="00501FDE"/>
    <w:rsid w:val="0050654A"/>
    <w:rsid w:val="005078C0"/>
    <w:rsid w:val="00513283"/>
    <w:rsid w:val="00520179"/>
    <w:rsid w:val="00523121"/>
    <w:rsid w:val="00523854"/>
    <w:rsid w:val="0053060C"/>
    <w:rsid w:val="0053080E"/>
    <w:rsid w:val="00530E91"/>
    <w:rsid w:val="00532D88"/>
    <w:rsid w:val="00535236"/>
    <w:rsid w:val="00550C32"/>
    <w:rsid w:val="00560EE8"/>
    <w:rsid w:val="005624DA"/>
    <w:rsid w:val="00572245"/>
    <w:rsid w:val="00573968"/>
    <w:rsid w:val="00575F56"/>
    <w:rsid w:val="005872E3"/>
    <w:rsid w:val="005A17C7"/>
    <w:rsid w:val="005B5DC6"/>
    <w:rsid w:val="005C1C47"/>
    <w:rsid w:val="005C5D90"/>
    <w:rsid w:val="005D1286"/>
    <w:rsid w:val="005D7557"/>
    <w:rsid w:val="005F59FB"/>
    <w:rsid w:val="006001FD"/>
    <w:rsid w:val="00605ADC"/>
    <w:rsid w:val="006116AA"/>
    <w:rsid w:val="006176E6"/>
    <w:rsid w:val="00617ACD"/>
    <w:rsid w:val="00621D84"/>
    <w:rsid w:val="00623527"/>
    <w:rsid w:val="00634891"/>
    <w:rsid w:val="00636A3D"/>
    <w:rsid w:val="00637EA3"/>
    <w:rsid w:val="00643A5C"/>
    <w:rsid w:val="006466F2"/>
    <w:rsid w:val="00651362"/>
    <w:rsid w:val="0065599F"/>
    <w:rsid w:val="0065761F"/>
    <w:rsid w:val="006578F1"/>
    <w:rsid w:val="00657F01"/>
    <w:rsid w:val="00666EC8"/>
    <w:rsid w:val="00667E57"/>
    <w:rsid w:val="00670BAE"/>
    <w:rsid w:val="00674C62"/>
    <w:rsid w:val="00685E75"/>
    <w:rsid w:val="0068736C"/>
    <w:rsid w:val="00696EC6"/>
    <w:rsid w:val="006B21C6"/>
    <w:rsid w:val="006B6114"/>
    <w:rsid w:val="006C207B"/>
    <w:rsid w:val="006C689B"/>
    <w:rsid w:val="006D2071"/>
    <w:rsid w:val="006E3140"/>
    <w:rsid w:val="006E3C1B"/>
    <w:rsid w:val="006E3CD9"/>
    <w:rsid w:val="006E47DB"/>
    <w:rsid w:val="006F7F0A"/>
    <w:rsid w:val="007016B2"/>
    <w:rsid w:val="0070379F"/>
    <w:rsid w:val="0071349E"/>
    <w:rsid w:val="007209C0"/>
    <w:rsid w:val="007230F7"/>
    <w:rsid w:val="00730236"/>
    <w:rsid w:val="0073187D"/>
    <w:rsid w:val="00731ECB"/>
    <w:rsid w:val="007326B6"/>
    <w:rsid w:val="0073562B"/>
    <w:rsid w:val="00740783"/>
    <w:rsid w:val="0074498C"/>
    <w:rsid w:val="00746213"/>
    <w:rsid w:val="00746CB9"/>
    <w:rsid w:val="0075021B"/>
    <w:rsid w:val="00753BBA"/>
    <w:rsid w:val="007555D8"/>
    <w:rsid w:val="007561AC"/>
    <w:rsid w:val="00765B80"/>
    <w:rsid w:val="007726C6"/>
    <w:rsid w:val="0077366C"/>
    <w:rsid w:val="00776D2C"/>
    <w:rsid w:val="00784D28"/>
    <w:rsid w:val="00785400"/>
    <w:rsid w:val="0079246E"/>
    <w:rsid w:val="00793174"/>
    <w:rsid w:val="007A0475"/>
    <w:rsid w:val="007A0873"/>
    <w:rsid w:val="007A5BF5"/>
    <w:rsid w:val="007A5D86"/>
    <w:rsid w:val="007A7A66"/>
    <w:rsid w:val="007B0966"/>
    <w:rsid w:val="007B3E09"/>
    <w:rsid w:val="007B5BAB"/>
    <w:rsid w:val="007B7066"/>
    <w:rsid w:val="007C7C31"/>
    <w:rsid w:val="007D7276"/>
    <w:rsid w:val="007E5480"/>
    <w:rsid w:val="007E655F"/>
    <w:rsid w:val="007E65BC"/>
    <w:rsid w:val="007E7808"/>
    <w:rsid w:val="007F75D4"/>
    <w:rsid w:val="00804C2E"/>
    <w:rsid w:val="008075A9"/>
    <w:rsid w:val="00821C32"/>
    <w:rsid w:val="008230EA"/>
    <w:rsid w:val="0084065B"/>
    <w:rsid w:val="00857607"/>
    <w:rsid w:val="00860B09"/>
    <w:rsid w:val="008871B9"/>
    <w:rsid w:val="00893433"/>
    <w:rsid w:val="008942DD"/>
    <w:rsid w:val="008A1306"/>
    <w:rsid w:val="008B3B7C"/>
    <w:rsid w:val="008B4F75"/>
    <w:rsid w:val="008C24C1"/>
    <w:rsid w:val="008C6487"/>
    <w:rsid w:val="008D0E65"/>
    <w:rsid w:val="008D73C5"/>
    <w:rsid w:val="008E0A34"/>
    <w:rsid w:val="008E75B1"/>
    <w:rsid w:val="008F2E56"/>
    <w:rsid w:val="008F4926"/>
    <w:rsid w:val="008F6803"/>
    <w:rsid w:val="00913231"/>
    <w:rsid w:val="00917A70"/>
    <w:rsid w:val="00921D12"/>
    <w:rsid w:val="00922A32"/>
    <w:rsid w:val="00930DE1"/>
    <w:rsid w:val="00932377"/>
    <w:rsid w:val="009362BB"/>
    <w:rsid w:val="0095039F"/>
    <w:rsid w:val="00955879"/>
    <w:rsid w:val="009608BD"/>
    <w:rsid w:val="00964630"/>
    <w:rsid w:val="0096636D"/>
    <w:rsid w:val="0097642E"/>
    <w:rsid w:val="00983470"/>
    <w:rsid w:val="00983BF9"/>
    <w:rsid w:val="0099648B"/>
    <w:rsid w:val="009A282F"/>
    <w:rsid w:val="009A6D11"/>
    <w:rsid w:val="009B02ED"/>
    <w:rsid w:val="009B2ECF"/>
    <w:rsid w:val="009B503A"/>
    <w:rsid w:val="009B6A9B"/>
    <w:rsid w:val="009C0D31"/>
    <w:rsid w:val="009C323E"/>
    <w:rsid w:val="009C44B6"/>
    <w:rsid w:val="009D3944"/>
    <w:rsid w:val="009D64EF"/>
    <w:rsid w:val="009D7E4B"/>
    <w:rsid w:val="009D7EBB"/>
    <w:rsid w:val="009E1335"/>
    <w:rsid w:val="009E1B00"/>
    <w:rsid w:val="009E2D72"/>
    <w:rsid w:val="009F06AB"/>
    <w:rsid w:val="009F6B4C"/>
    <w:rsid w:val="009F6D5F"/>
    <w:rsid w:val="009F7D5B"/>
    <w:rsid w:val="00A00113"/>
    <w:rsid w:val="00A03E81"/>
    <w:rsid w:val="00A10546"/>
    <w:rsid w:val="00A1134C"/>
    <w:rsid w:val="00A17394"/>
    <w:rsid w:val="00A31E54"/>
    <w:rsid w:val="00A31FE8"/>
    <w:rsid w:val="00A45C59"/>
    <w:rsid w:val="00A46B01"/>
    <w:rsid w:val="00A53608"/>
    <w:rsid w:val="00A5642F"/>
    <w:rsid w:val="00A61D2F"/>
    <w:rsid w:val="00A63A12"/>
    <w:rsid w:val="00A66148"/>
    <w:rsid w:val="00A71D5A"/>
    <w:rsid w:val="00A73013"/>
    <w:rsid w:val="00A803A8"/>
    <w:rsid w:val="00A84F29"/>
    <w:rsid w:val="00A85F3E"/>
    <w:rsid w:val="00A872BA"/>
    <w:rsid w:val="00A92675"/>
    <w:rsid w:val="00A94FA3"/>
    <w:rsid w:val="00A96A48"/>
    <w:rsid w:val="00A96E83"/>
    <w:rsid w:val="00AA622E"/>
    <w:rsid w:val="00AB193F"/>
    <w:rsid w:val="00AB30BE"/>
    <w:rsid w:val="00AD03C2"/>
    <w:rsid w:val="00AD2692"/>
    <w:rsid w:val="00AD70F5"/>
    <w:rsid w:val="00AE3136"/>
    <w:rsid w:val="00AE637D"/>
    <w:rsid w:val="00AE6F33"/>
    <w:rsid w:val="00AF3769"/>
    <w:rsid w:val="00AF5887"/>
    <w:rsid w:val="00B0310F"/>
    <w:rsid w:val="00B03FFB"/>
    <w:rsid w:val="00B05A0A"/>
    <w:rsid w:val="00B21A38"/>
    <w:rsid w:val="00B30EC3"/>
    <w:rsid w:val="00B35B50"/>
    <w:rsid w:val="00B46F72"/>
    <w:rsid w:val="00B52676"/>
    <w:rsid w:val="00B54040"/>
    <w:rsid w:val="00B67C68"/>
    <w:rsid w:val="00B72FA2"/>
    <w:rsid w:val="00B8347D"/>
    <w:rsid w:val="00B92EBE"/>
    <w:rsid w:val="00B93FDF"/>
    <w:rsid w:val="00B96AE7"/>
    <w:rsid w:val="00B977A4"/>
    <w:rsid w:val="00BB304B"/>
    <w:rsid w:val="00BB395B"/>
    <w:rsid w:val="00BB3CE0"/>
    <w:rsid w:val="00BB497A"/>
    <w:rsid w:val="00BB5CEA"/>
    <w:rsid w:val="00BD0CDB"/>
    <w:rsid w:val="00BD27F8"/>
    <w:rsid w:val="00BD3630"/>
    <w:rsid w:val="00BD5DB5"/>
    <w:rsid w:val="00BE01E6"/>
    <w:rsid w:val="00BE12C9"/>
    <w:rsid w:val="00BE2EA2"/>
    <w:rsid w:val="00BF4B31"/>
    <w:rsid w:val="00C00009"/>
    <w:rsid w:val="00C02A83"/>
    <w:rsid w:val="00C04C31"/>
    <w:rsid w:val="00C05CA1"/>
    <w:rsid w:val="00C06933"/>
    <w:rsid w:val="00C0756C"/>
    <w:rsid w:val="00C07A0B"/>
    <w:rsid w:val="00C121E4"/>
    <w:rsid w:val="00C13536"/>
    <w:rsid w:val="00C15653"/>
    <w:rsid w:val="00C20D0D"/>
    <w:rsid w:val="00C25164"/>
    <w:rsid w:val="00C33B98"/>
    <w:rsid w:val="00C3451A"/>
    <w:rsid w:val="00C35B5F"/>
    <w:rsid w:val="00C4237E"/>
    <w:rsid w:val="00C44E24"/>
    <w:rsid w:val="00C51A6E"/>
    <w:rsid w:val="00C52A16"/>
    <w:rsid w:val="00C54341"/>
    <w:rsid w:val="00C56965"/>
    <w:rsid w:val="00C57F59"/>
    <w:rsid w:val="00C601A4"/>
    <w:rsid w:val="00C760B8"/>
    <w:rsid w:val="00C81199"/>
    <w:rsid w:val="00C85FB0"/>
    <w:rsid w:val="00C91793"/>
    <w:rsid w:val="00C92048"/>
    <w:rsid w:val="00C939A3"/>
    <w:rsid w:val="00C96A00"/>
    <w:rsid w:val="00CB57AA"/>
    <w:rsid w:val="00CC14BA"/>
    <w:rsid w:val="00CC1F5C"/>
    <w:rsid w:val="00CC2BD6"/>
    <w:rsid w:val="00CC2D8D"/>
    <w:rsid w:val="00CC5830"/>
    <w:rsid w:val="00CE7B5F"/>
    <w:rsid w:val="00CF2D41"/>
    <w:rsid w:val="00CF442C"/>
    <w:rsid w:val="00CF540F"/>
    <w:rsid w:val="00D02471"/>
    <w:rsid w:val="00D13625"/>
    <w:rsid w:val="00D14B54"/>
    <w:rsid w:val="00D22C80"/>
    <w:rsid w:val="00D24DB2"/>
    <w:rsid w:val="00D316D1"/>
    <w:rsid w:val="00D32374"/>
    <w:rsid w:val="00D33745"/>
    <w:rsid w:val="00D373A8"/>
    <w:rsid w:val="00D44288"/>
    <w:rsid w:val="00D47D39"/>
    <w:rsid w:val="00D506D1"/>
    <w:rsid w:val="00D516BD"/>
    <w:rsid w:val="00D64919"/>
    <w:rsid w:val="00D732DF"/>
    <w:rsid w:val="00D73891"/>
    <w:rsid w:val="00D7467F"/>
    <w:rsid w:val="00D80B6A"/>
    <w:rsid w:val="00D80EC6"/>
    <w:rsid w:val="00D84EDD"/>
    <w:rsid w:val="00D858B8"/>
    <w:rsid w:val="00D87024"/>
    <w:rsid w:val="00D90962"/>
    <w:rsid w:val="00D931CB"/>
    <w:rsid w:val="00D946BF"/>
    <w:rsid w:val="00DA62C9"/>
    <w:rsid w:val="00DA6C52"/>
    <w:rsid w:val="00DC1616"/>
    <w:rsid w:val="00DC4C86"/>
    <w:rsid w:val="00DD0966"/>
    <w:rsid w:val="00DD1045"/>
    <w:rsid w:val="00DE1ACE"/>
    <w:rsid w:val="00DE4704"/>
    <w:rsid w:val="00DF20C2"/>
    <w:rsid w:val="00DF4A2A"/>
    <w:rsid w:val="00DF5939"/>
    <w:rsid w:val="00DF655A"/>
    <w:rsid w:val="00DF73D8"/>
    <w:rsid w:val="00E02536"/>
    <w:rsid w:val="00E03552"/>
    <w:rsid w:val="00E07F19"/>
    <w:rsid w:val="00E136AF"/>
    <w:rsid w:val="00E13D5A"/>
    <w:rsid w:val="00E164DA"/>
    <w:rsid w:val="00E20A98"/>
    <w:rsid w:val="00E20D76"/>
    <w:rsid w:val="00E25482"/>
    <w:rsid w:val="00E25BF6"/>
    <w:rsid w:val="00E26939"/>
    <w:rsid w:val="00E274C2"/>
    <w:rsid w:val="00E27FA4"/>
    <w:rsid w:val="00E3591A"/>
    <w:rsid w:val="00E35A97"/>
    <w:rsid w:val="00E437F0"/>
    <w:rsid w:val="00E438D6"/>
    <w:rsid w:val="00E64E4A"/>
    <w:rsid w:val="00E6658E"/>
    <w:rsid w:val="00E67AD0"/>
    <w:rsid w:val="00E77BE9"/>
    <w:rsid w:val="00E82CE2"/>
    <w:rsid w:val="00E83F98"/>
    <w:rsid w:val="00E92107"/>
    <w:rsid w:val="00E964AF"/>
    <w:rsid w:val="00E96986"/>
    <w:rsid w:val="00EA6B30"/>
    <w:rsid w:val="00EB69C7"/>
    <w:rsid w:val="00EC4D82"/>
    <w:rsid w:val="00ED64A6"/>
    <w:rsid w:val="00EE1539"/>
    <w:rsid w:val="00EE5970"/>
    <w:rsid w:val="00EE6453"/>
    <w:rsid w:val="00F02314"/>
    <w:rsid w:val="00F05CA0"/>
    <w:rsid w:val="00F10F58"/>
    <w:rsid w:val="00F1332E"/>
    <w:rsid w:val="00F32D87"/>
    <w:rsid w:val="00F32FEC"/>
    <w:rsid w:val="00F34A2F"/>
    <w:rsid w:val="00F3577F"/>
    <w:rsid w:val="00F35834"/>
    <w:rsid w:val="00F46CCC"/>
    <w:rsid w:val="00F47988"/>
    <w:rsid w:val="00F542F8"/>
    <w:rsid w:val="00F545C7"/>
    <w:rsid w:val="00F54CA2"/>
    <w:rsid w:val="00F54EEA"/>
    <w:rsid w:val="00F650DB"/>
    <w:rsid w:val="00F80663"/>
    <w:rsid w:val="00F82D54"/>
    <w:rsid w:val="00F84AE3"/>
    <w:rsid w:val="00FA2878"/>
    <w:rsid w:val="00FA45CC"/>
    <w:rsid w:val="00FA6197"/>
    <w:rsid w:val="00FD109B"/>
    <w:rsid w:val="00FD657A"/>
    <w:rsid w:val="00FD722D"/>
    <w:rsid w:val="00FD7777"/>
    <w:rsid w:val="00FE097A"/>
    <w:rsid w:val="00FE0FE3"/>
    <w:rsid w:val="00FE2833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787F3"/>
  <w15:chartTrackingRefBased/>
  <w15:docId w15:val="{286C76C1-C9D3-47F0-BFF5-9B5F0515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D5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1E5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E5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E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E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E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E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E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E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E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E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E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E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ED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ipercze">
    <w:name w:val="Hyperlink"/>
    <w:basedOn w:val="Domylnaczcionkaakapitu"/>
    <w:unhideWhenUsed/>
    <w:qFormat/>
    <w:rsid w:val="001E5EDD"/>
    <w:rPr>
      <w:color w:val="156082" w:themeColor="accent1"/>
      <w:u w:val="single"/>
    </w:rPr>
  </w:style>
  <w:style w:type="table" w:styleId="Tabela-Siatka">
    <w:name w:val="Table Grid"/>
    <w:basedOn w:val="Standardowy"/>
    <w:uiPriority w:val="59"/>
    <w:rsid w:val="001E5ED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E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Name">
    <w:name w:val="ContactName"/>
    <w:basedOn w:val="Nagwek3"/>
    <w:qFormat/>
    <w:rsid w:val="001E5EDD"/>
    <w:pPr>
      <w:spacing w:before="0" w:after="0" w:line="216" w:lineRule="atLeast"/>
    </w:pPr>
    <w:rPr>
      <w:rFonts w:ascii="Calibri" w:eastAsia="Times New Roman" w:hAnsi="Calibri" w:cs="Times New Roman"/>
      <w:b/>
      <w:bCs/>
      <w:color w:val="008B98"/>
      <w:sz w:val="18"/>
      <w:szCs w:val="24"/>
      <w:lang w:eastAsia="en-GB"/>
    </w:rPr>
  </w:style>
  <w:style w:type="paragraph" w:customStyle="1" w:styleId="ContactDetail">
    <w:name w:val="ContactDetail"/>
    <w:basedOn w:val="Normalny"/>
    <w:rsid w:val="001E5ED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70379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37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A6D4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customStyle="1" w:styleId="Body">
    <w:name w:val="Body"/>
    <w:rsid w:val="009D7EB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E12"/>
    <w:rPr>
      <w:rFonts w:eastAsiaTheme="minorEastAsia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E12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Domylnaczcionkaakapitu"/>
    <w:rsid w:val="00DC161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9E2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shmanwakefield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uren.joselyn@cushwak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en.joselyn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84ED6-5338-4EDC-BA78-B49C4D40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1093</Words>
  <Characters>6560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 Wheeler</dc:creator>
  <cp:keywords/>
  <dc:description/>
  <cp:lastModifiedBy>Link Leaders</cp:lastModifiedBy>
  <cp:revision>2</cp:revision>
  <cp:lastPrinted>2026-07-08T10:10:00Z</cp:lastPrinted>
  <dcterms:created xsi:type="dcterms:W3CDTF">2026-08-10T11:09:00Z</dcterms:created>
  <dcterms:modified xsi:type="dcterms:W3CDTF">2026-08-10T11:09:00Z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86f961-1d3e-4cfe-b1e9-19b9bcf12554_Enabled">
    <vt:lpwstr>true</vt:lpwstr>
  </property>
  <property fmtid="{D5CDD505-2E9C-101B-9397-08002B2CF9AE}" pid="3" name="MSIP_Label_b086f961-1d3e-4cfe-b1e9-19b9bcf12554_SetDate">
    <vt:lpwstr>2024-08-09T12:49:32Z</vt:lpwstr>
  </property>
  <property fmtid="{D5CDD505-2E9C-101B-9397-08002B2CF9AE}" pid="4" name="MSIP_Label_b086f961-1d3e-4cfe-b1e9-19b9bcf12554_Method">
    <vt:lpwstr>Standard</vt:lpwstr>
  </property>
  <property fmtid="{D5CDD505-2E9C-101B-9397-08002B2CF9AE}" pid="5" name="MSIP_Label_b086f961-1d3e-4cfe-b1e9-19b9bcf12554_Name">
    <vt:lpwstr>Private</vt:lpwstr>
  </property>
  <property fmtid="{D5CDD505-2E9C-101B-9397-08002B2CF9AE}" pid="6" name="MSIP_Label_b086f961-1d3e-4cfe-b1e9-19b9bcf12554_SiteId">
    <vt:lpwstr>6facebd9-e318-4ea6-a98b-e892ee55070f</vt:lpwstr>
  </property>
  <property fmtid="{D5CDD505-2E9C-101B-9397-08002B2CF9AE}" pid="7" name="MSIP_Label_b086f961-1d3e-4cfe-b1e9-19b9bcf12554_ActionId">
    <vt:lpwstr>60c3cb59-3795-42a8-af48-43117dcbee96</vt:lpwstr>
  </property>
  <property fmtid="{D5CDD505-2E9C-101B-9397-08002B2CF9AE}" pid="8" name="MSIP_Label_b086f961-1d3e-4cfe-b1e9-19b9bcf12554_ContentBits">
    <vt:lpwstr>0</vt:lpwstr>
  </property>
  <property fmtid="{D5CDD505-2E9C-101B-9397-08002B2CF9AE}" pid="9" name="GrammarlyDocumentId">
    <vt:lpwstr>341a8607d4d2d5ce3fbf3503c2f967ea1e4ce5daa8426167cb97b41905428e1a</vt:lpwstr>
  </property>
</Properties>
</file>