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A79B8" w14:textId="77777777" w:rsidR="00DD6389" w:rsidRPr="00DD6389" w:rsidRDefault="00DD6389" w:rsidP="00DD6389">
      <w:pPr>
        <w:spacing w:after="160" w:line="278" w:lineRule="auto"/>
        <w:rPr>
          <w:rFonts w:ascii="Noto Sans" w:eastAsiaTheme="minorHAnsi" w:hAnsi="Noto Sans" w:cs="Noto Sans"/>
          <w:sz w:val="28"/>
          <w:szCs w:val="28"/>
        </w:rPr>
      </w:pPr>
      <w:r w:rsidRPr="00DD6389">
        <w:rPr>
          <w:rFonts w:ascii="Noto Sans" w:hAnsi="Noto Sans" w:cs="Noto Sans"/>
          <w:b/>
          <w:bCs/>
          <w:sz w:val="28"/>
          <w:szCs w:val="28"/>
          <w:lang w:val="es-ES"/>
        </w:rPr>
        <w:t>Más allá del cumplimiento normativo: descubre el valor de la trazabilidad en la edificación y la construcción</w:t>
      </w:r>
    </w:p>
    <w:p w14:paraId="795C5FBB" w14:textId="3DB09C84"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 xml:space="preserve">El sector de la construcción se encuentra en un punto de inflexión crítico. Las nuevas normativas diseñadas para mejorar la seguridad, la sostenibilidad y la responsabilidad en la edificación exigirán una trazabilidad de materiales significativamente mayor, desde el diseño hasta la deconstrucción. Aunque la normativa está impulsando este cambio, son los </w:t>
      </w:r>
      <w:hyperlink r:id="rId6" w:history="1">
        <w:r w:rsidRPr="00DD6389">
          <w:rPr>
            <w:rStyle w:val="Hyperlink"/>
            <w:rFonts w:ascii="Noto Sans" w:hAnsi="Noto Sans" w:cs="Noto Sans"/>
            <w:i/>
            <w:iCs/>
            <w:sz w:val="22"/>
            <w:lang w:val="es-ES"/>
          </w:rPr>
          <w:t>posibles beneficios adicionales</w:t>
        </w:r>
      </w:hyperlink>
      <w:r w:rsidRPr="00DD6389">
        <w:rPr>
          <w:rFonts w:ascii="Noto Sans" w:hAnsi="Noto Sans" w:cs="Noto Sans"/>
          <w:i/>
          <w:iCs/>
          <w:sz w:val="22"/>
          <w:lang w:val="es-ES"/>
        </w:rPr>
        <w:t xml:space="preserve"> para el sector lo que resulta realmente atractivo. </w:t>
      </w:r>
    </w:p>
    <w:p w14:paraId="67D18B9B" w14:textId="77777777"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Los pasaportes digitales de producto garantizarán que los productos y componentes de la edificación y la construcción sean identificables</w:t>
      </w:r>
      <w:r w:rsidRPr="00DD6389">
        <w:rPr>
          <w:rFonts w:ascii="Noto Sans" w:hAnsi="Noto Sans" w:cs="Noto Sans"/>
          <w:i/>
          <w:iCs/>
          <w:color w:val="323130"/>
          <w:sz w:val="22"/>
          <w:lang w:val="es-ES"/>
        </w:rPr>
        <w:t xml:space="preserve"> desde el diseño, la producción, la construcción y el mantenimiento, hasta la deconstrucción y el reciclaje. Este "</w:t>
      </w:r>
      <w:r w:rsidRPr="00DD6389">
        <w:rPr>
          <w:rFonts w:ascii="Noto Sans" w:hAnsi="Noto Sans" w:cs="Noto Sans"/>
          <w:i/>
          <w:iCs/>
          <w:sz w:val="22"/>
          <w:lang w:val="es-ES"/>
        </w:rPr>
        <w:t xml:space="preserve">hilo de oro" de información ofrece al sector mucho más que cumplimiento normativo: la trazabilidad de principio a fin proporciona la base para mejorar la eficiencia operativa, reducir significativamente los residuos, reforzar el control de costes y alcanzar un nuevo nivel de colaboración en la cadena de suministro. </w:t>
      </w:r>
    </w:p>
    <w:p w14:paraId="6CE5B11E" w14:textId="1EEF2394"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 xml:space="preserve">Como explica Rob Ellinor, Global Building &amp; </w:t>
      </w:r>
      <w:proofErr w:type="spellStart"/>
      <w:r w:rsidRPr="00DD6389">
        <w:rPr>
          <w:rFonts w:ascii="Noto Sans" w:hAnsi="Noto Sans" w:cs="Noto Sans"/>
          <w:i/>
          <w:iCs/>
          <w:sz w:val="22"/>
          <w:lang w:val="es-ES"/>
        </w:rPr>
        <w:t>Construction</w:t>
      </w:r>
      <w:proofErr w:type="spellEnd"/>
      <w:r w:rsidRPr="00DD6389">
        <w:rPr>
          <w:rFonts w:ascii="Noto Sans" w:hAnsi="Noto Sans" w:cs="Noto Sans"/>
          <w:i/>
          <w:iCs/>
          <w:sz w:val="22"/>
          <w:lang w:val="es-ES"/>
        </w:rPr>
        <w:t xml:space="preserve"> Sector Manager, </w:t>
      </w:r>
      <w:hyperlink r:id="rId7" w:history="1">
        <w:r w:rsidRPr="00DD6389">
          <w:rPr>
            <w:rStyle w:val="Hyperlink"/>
            <w:rFonts w:ascii="Noto Sans" w:hAnsi="Noto Sans" w:cs="Noto Sans"/>
            <w:i/>
            <w:iCs/>
            <w:sz w:val="22"/>
            <w:lang w:val="es-ES"/>
          </w:rPr>
          <w:t>Domino</w:t>
        </w:r>
      </w:hyperlink>
      <w:r w:rsidRPr="00DD6389">
        <w:rPr>
          <w:rFonts w:ascii="Noto Sans" w:hAnsi="Noto Sans" w:cs="Noto Sans"/>
          <w:i/>
          <w:iCs/>
          <w:sz w:val="22"/>
          <w:lang w:val="es-ES"/>
        </w:rPr>
        <w:t>.</w:t>
      </w:r>
    </w:p>
    <w:p w14:paraId="42C8B6BF"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 xml:space="preserve">Crecientes exigencias de cumplimiento normativo en la construcción </w:t>
      </w:r>
    </w:p>
    <w:p w14:paraId="29179820" w14:textId="4D2C9F9C"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Las nuevas normativas de la UE entre ellas el Reglamento de Productos de Construcción (RPC) impondrán nuevas exigencias a los fabricantes y proveedores de productos de construcción. </w:t>
      </w:r>
      <w:r w:rsidR="00104CDB">
        <w:rPr>
          <w:rFonts w:ascii="Noto Sans" w:hAnsi="Noto Sans" w:cs="Noto Sans"/>
          <w:sz w:val="22"/>
          <w:lang w:val="es-ES"/>
        </w:rPr>
        <w:t>L</w:t>
      </w:r>
      <w:r w:rsidRPr="00DD6389">
        <w:rPr>
          <w:rFonts w:ascii="Noto Sans" w:hAnsi="Noto Sans" w:cs="Noto Sans"/>
          <w:sz w:val="22"/>
          <w:lang w:val="es-ES"/>
        </w:rPr>
        <w:t xml:space="preserve">a dirección está clara: los fabricantes tendrán que proporcionar información estructurada y digital sobre los productos a la que se pueda acceder y que se pueda compartir de forma coherente durante todo el ciclo de vida de un edificio. </w:t>
      </w:r>
    </w:p>
    <w:p w14:paraId="0933DC32"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En el Reino Unido ya se entiende la necesidad de mejorar la trazabilidad. El "hilo de oro" de los datos se utiliza para describir un registro digital de la información crucial sobre la seguridad y el diseño de un edificio. Aunque por ahora solo es un requisito legal para los edificios de mayor riesgo (HRB), cada vez más empresas de construcción son conscientes del valor de contar con una única fuente fiable de información en proyectos de todos los tamaños.</w:t>
      </w:r>
    </w:p>
    <w:p w14:paraId="2593121A"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Hasta la fecha, la limitación para lograr este "hilo de oro" ha sido la falta de estandarización y de un único marco operativo acordado. El resultado ha sido unas operaciones aisladas que han limitado una colaboración eficaz en la cadena de suministro de principio a fin, necesaria para mejorar la eficacia operativa y maximizar </w:t>
      </w:r>
      <w:r w:rsidRPr="00DD6389">
        <w:rPr>
          <w:rFonts w:ascii="Noto Sans" w:hAnsi="Noto Sans" w:cs="Noto Sans"/>
          <w:sz w:val="22"/>
          <w:lang w:val="es-ES"/>
        </w:rPr>
        <w:lastRenderedPageBreak/>
        <w:t>el valor de los datos detallados de los productos. Sin embargo, el paso hacia un entorno más regulado acelerará el cambio y fomentará la adopción generalizada de las normas necesarias para lograr un proceso de construcción más coherente y transparente.</w:t>
      </w:r>
    </w:p>
    <w:p w14:paraId="162A422B"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Las normas de datos respaldan el cumplimiento en la construcción</w:t>
      </w:r>
    </w:p>
    <w:p w14:paraId="6E39337A"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Como se ha visto en otros sectores, especialmente el farmacéutico, la estandarización y la adopción de un lenguaje accesible y reconocido a nivel mundial, como el que proporcionan los códigos 2D impulsados por GS1, son la base para compartir datos de forma eficaz y para la trazabilidad. Permite transferir información coherente, fiable y útil del principio al fin de la cadena de suministro sin fricciones, lo que permite a las organizaciones en cada etapa aprovechar la información en tiempo real para mejorar la eficiencia y el control.</w:t>
      </w:r>
    </w:p>
    <w:p w14:paraId="2378B094"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La cantidad de información que se puede incluir en un pasaporte digital de producto es impresionante. Aunque las exigencias varían según el tipo de producto, en esencia la normativa exigirá proporcionar un identificador de producto único a nivel mundial; un portador de datos digital (p. ej., QR, NFC, RFID); información sobre el rendimiento y la seguridad del producto; documentación de cumplimiento y certificación; datos de rendimiento medioambiental; y composición de los materiales.</w:t>
      </w:r>
    </w:p>
    <w:p w14:paraId="681AEEE9"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Aprovechar un lenguaje estandarizado para proporcionar estos datos tan detallados permite un flujo de información mucho más eficaz entre sistemas y personas, desde la fábrica hasta la obra. Permitirá a las organizaciones de construcción crear un registro digital, o "gemelo", de un edificio, con pruebas de qué productos se utilizaron y dónde. Este gemelo digital también se puede utilizar para demostrar que el edificio cumple las normas exigidas, y la incorporación de identificadores únicos permite rastrear los productos hasta el nivel de lote en el caso de los artículos producidos en masa, y hasta el nivel individual en el caso de los artículos de mayor riesgo, como las puertas cortafuegos. </w:t>
      </w:r>
    </w:p>
    <w:p w14:paraId="6C4C55FB"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 xml:space="preserve">Extraer valor de los datos más allá del cumplimiento </w:t>
      </w:r>
    </w:p>
    <w:p w14:paraId="478B6942"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El cumplimiento normativo debería ser solo el comienzo de un cambio operativo significativo y de beneficios adicionales, más allá de seguir cumpliendo las normativas. Una mejor información sobre los productos puede impulsar una mayor automatización y la gestión de procesos en tiempo real, lo que puede mejorar significativamente el rendimiento operativo diario. En las empresas de construcción, las entregas de </w:t>
      </w:r>
      <w:r w:rsidRPr="00DD6389">
        <w:rPr>
          <w:rFonts w:ascii="Noto Sans" w:hAnsi="Noto Sans" w:cs="Noto Sans"/>
          <w:sz w:val="22"/>
          <w:lang w:val="es-ES"/>
        </w:rPr>
        <w:lastRenderedPageBreak/>
        <w:t xml:space="preserve">productos se pueden escanear cuando llegan a la obra, lo que elimina las imprecisiones y los retrasos asociados al papeleo manual. </w:t>
      </w:r>
    </w:p>
    <w:p w14:paraId="4A51D22E"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El escaneo en tiempo real de los artículos a medida que se instalan puede ayudar a garantizar que se utilicen las piezas correctas en todo el proyecto de construcción. La información adicional puede incluir productos que deban combinarse para garantizar una instalación correcta, lo que mejora aún más la calidad y evita el riesgo de costosos retrasos o de no superar las inspecciones. De hecho, los inspectores de obra que conocen de antemano y en detalle las áreas específicas de alto riesgo que requieren evaluación pueden llevar a cabo inspecciones más específicas y rápidas, y dar el visto bueno con mayor celeridad. </w:t>
      </w:r>
    </w:p>
    <w:p w14:paraId="3FF91A4F"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Sustituir el papeleo manual por información en tiempo real procedente de identificadores de producto también puede permitir que las empresas de construcción dejen atrás los pedidos de existencias "por si acaso", que tradicionalmente se han hecho para evitar retrasos. Además de reducir los costes, evitar pedir materiales de más también minimizará los residuos, lo que contribuirá aún más a los objetivos de sostenibilidad de las empresas de construcción. Los materiales sobrantes identificables pueden devolverse o reutilizarse en lugar de desecharse, lo que reduce aún más los residuos y los costes.</w:t>
      </w:r>
    </w:p>
    <w:p w14:paraId="52731C3E"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Aprovechar los datos para mejorar el rendimiento operativo</w:t>
      </w:r>
    </w:p>
    <w:p w14:paraId="250F64AC"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 información detallada a nivel de artículo también puede permitir que las empresas de construcción mejoren la rotación de existencias. En el caso de los artículos perecederos, como el yeso, se pueden implementar controles para evitar que los productos caduquen y se desperdicien, lo que añade tanto costes como, potencialmente, la necesidad de procesos de eliminación complejos. Y, lo que es más importante, también refuerza los protocolos de seguridad para productos como el cemento, que pueden suponer un </w:t>
      </w:r>
      <w:hyperlink r:id="rId8" w:history="1">
        <w:r w:rsidRPr="00DD6389">
          <w:rPr>
            <w:rStyle w:val="Hyperlink"/>
            <w:rFonts w:ascii="Noto Sans" w:hAnsi="Noto Sans" w:cs="Noto Sans"/>
            <w:sz w:val="22"/>
            <w:lang w:val="es-ES"/>
          </w:rPr>
          <w:t>peligro para los trabajadores</w:t>
        </w:r>
      </w:hyperlink>
      <w:r w:rsidRPr="00DD6389">
        <w:rPr>
          <w:rFonts w:ascii="Noto Sans" w:hAnsi="Noto Sans" w:cs="Noto Sans"/>
          <w:sz w:val="22"/>
          <w:lang w:val="es-ES"/>
        </w:rPr>
        <w:t xml:space="preserve"> y comprometer la integridad de la construcción.</w:t>
      </w:r>
    </w:p>
    <w:p w14:paraId="5A95CE69"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Para los fabricantes de productos de construcción, utilizar estándares internacionales como GS1 Digital </w:t>
      </w:r>
      <w:proofErr w:type="gramStart"/>
      <w:r w:rsidRPr="00DD6389">
        <w:rPr>
          <w:rFonts w:ascii="Noto Sans" w:hAnsi="Noto Sans" w:cs="Noto Sans"/>
          <w:sz w:val="22"/>
          <w:lang w:val="es-ES"/>
        </w:rPr>
        <w:t>Link</w:t>
      </w:r>
      <w:proofErr w:type="gramEnd"/>
      <w:r w:rsidRPr="00DD6389">
        <w:rPr>
          <w:rFonts w:ascii="Noto Sans" w:hAnsi="Noto Sans" w:cs="Noto Sans"/>
          <w:sz w:val="22"/>
          <w:lang w:val="es-ES"/>
        </w:rPr>
        <w:t xml:space="preserve"> permite hacer un seguimiento de más datos y vincularlos a los productos, lo que facilita una retirada selectiva, si es necesario. Los lotes defectuosos se pueden identificar y localizar rápidamente, lo que garantiza que solo se retiren los productos afectados y minimiza los posibles costes para la empresa. Además, una trazabilidad completa también evitará los problemas asociados a la identificación de </w:t>
      </w:r>
      <w:r w:rsidRPr="00DD6389">
        <w:rPr>
          <w:rFonts w:ascii="Noto Sans" w:hAnsi="Noto Sans" w:cs="Noto Sans"/>
          <w:sz w:val="22"/>
          <w:lang w:val="es-ES"/>
        </w:rPr>
        <w:lastRenderedPageBreak/>
        <w:t>los edificios afectados por problemas, como ocurrió tras el incendio de la torre Grenfell en Londres.</w:t>
      </w:r>
    </w:p>
    <w:p w14:paraId="401C6743"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Esta cantidad y calidad de datos, cuando se accede a ella mediante un identificador de producto, también puede respaldar actividades contra la falsificación mucho más eficaces, ya que permite a las obras verificar los materiales genuinos y utilizar con confianza productos auténticos y seguros y, mediante el uso de </w:t>
      </w:r>
      <w:proofErr w:type="spellStart"/>
      <w:r w:rsidRPr="00DD6389">
        <w:rPr>
          <w:rFonts w:ascii="Noto Sans" w:hAnsi="Noto Sans" w:cs="Noto Sans"/>
          <w:sz w:val="22"/>
          <w:lang w:val="es-ES"/>
        </w:rPr>
        <w:t>resolvers</w:t>
      </w:r>
      <w:proofErr w:type="spellEnd"/>
      <w:r w:rsidRPr="00DD6389">
        <w:rPr>
          <w:rFonts w:ascii="Noto Sans" w:hAnsi="Noto Sans" w:cs="Noto Sans"/>
          <w:sz w:val="22"/>
          <w:lang w:val="es-ES"/>
        </w:rPr>
        <w:t xml:space="preserve">, permite que las distintas partes interesadas accedan a diferentes conjuntos de datos o páginas web en distintos puntos de la cadena de valor.  </w:t>
      </w:r>
    </w:p>
    <w:p w14:paraId="1CB25C5E"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Aprovecha el cumplimiento para obtener una ventaja competitiva</w:t>
      </w:r>
    </w:p>
    <w:p w14:paraId="018E52A0"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 incorporación de identificadores detallados y únicos permitirá a las organizaciones de todo el sector de la edificación y la construcción garantizar el cumplimiento de las normativas nuevas y futuras. Pero, lo que es más importante, también cambiará la forma en que las organizaciones interactúan y colaboran a lo largo de toda la cadena de suministro. La información adicional y más detallada que se puede proporcionar sobre los productos, tanto a nivel de lote como individual, brinda a los fabricantes de materiales la oportunidad de integrarse en la cadena de suministro de principio a fin, ofreciendo un valor añadido a las empresas constructoras que supone un diferenciador comercial tangible. </w:t>
      </w:r>
    </w:p>
    <w:p w14:paraId="4C047ABF"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Ofrecer información sobre los productos mediante la adopción de estándares internacionales, como los códigos 2D impulsados por GS1, se convertirá no solo en un requisito de cumplimiento, sino también en una necesidad comercial. Hoy existe una gran oportunidad para ir más allá de la percepción de que el cumplimiento es una carga, y reconocer que los fabricantes del sector de la edificación y la construcción pueden aportar un valor significativo en toda una cadena de suministro conectada y colaborativa.</w:t>
      </w:r>
    </w:p>
    <w:p w14:paraId="14827674" w14:textId="77777777" w:rsidR="00DD6389" w:rsidRDefault="00DD6389" w:rsidP="00DD6389">
      <w:pPr>
        <w:spacing w:after="160" w:line="278" w:lineRule="auto"/>
        <w:rPr>
          <w:rFonts w:ascii="Noto Sans" w:hAnsi="Noto Sans" w:cs="Noto Sans"/>
          <w:sz w:val="22"/>
          <w:lang w:val="es-ES"/>
        </w:rPr>
      </w:pPr>
    </w:p>
    <w:p w14:paraId="1B4F01F7" w14:textId="40F1BA3C" w:rsidR="00DD6389" w:rsidRPr="00DD6389" w:rsidRDefault="00DD6389" w:rsidP="00DD6389">
      <w:pPr>
        <w:spacing w:after="160" w:line="278" w:lineRule="auto"/>
        <w:rPr>
          <w:rFonts w:ascii="Noto Sans" w:hAnsi="Noto Sans" w:cs="Noto Sans"/>
          <w:sz w:val="22"/>
          <w:lang w:val="es-ES"/>
        </w:rPr>
      </w:pPr>
      <w:r w:rsidRPr="00DD6389">
        <w:rPr>
          <w:rFonts w:ascii="Noto Sans" w:hAnsi="Noto Sans" w:cs="Noto Sans"/>
          <w:sz w:val="22"/>
          <w:lang w:val="es-ES"/>
        </w:rPr>
        <w:t>&lt;</w:t>
      </w:r>
      <w:r w:rsidRPr="00DD6389">
        <w:rPr>
          <w:rFonts w:ascii="Noto Sans" w:hAnsi="Noto Sans" w:cs="Noto Sans"/>
          <w:b/>
          <w:bCs/>
          <w:sz w:val="22"/>
          <w:lang w:val="es-ES"/>
        </w:rPr>
        <w:t>FIN</w:t>
      </w:r>
      <w:r w:rsidRPr="00DD6389">
        <w:rPr>
          <w:rFonts w:ascii="Noto Sans" w:hAnsi="Noto Sans" w:cs="Noto Sans"/>
          <w:sz w:val="22"/>
          <w:lang w:val="es-ES"/>
        </w:rPr>
        <w:t>&gt;</w:t>
      </w:r>
    </w:p>
    <w:p w14:paraId="4766770B" w14:textId="77777777" w:rsidR="00DD6389" w:rsidRDefault="00DD6389" w:rsidP="00DD6389">
      <w:pPr>
        <w:spacing w:line="240" w:lineRule="auto"/>
        <w:rPr>
          <w:rFonts w:ascii="Noto Sans" w:hAnsi="Noto Sans" w:cs="Noto Sans"/>
          <w:b/>
          <w:bCs/>
          <w:sz w:val="20"/>
          <w:szCs w:val="20"/>
          <w:lang w:val="es"/>
        </w:rPr>
      </w:pPr>
      <w:bookmarkStart w:id="0" w:name="_Hlk531088985"/>
    </w:p>
    <w:p w14:paraId="3484D40E" w14:textId="6E65832E" w:rsidR="00DD6389" w:rsidRPr="005B2ACC" w:rsidRDefault="00DD6389" w:rsidP="00DD6389">
      <w:pPr>
        <w:spacing w:line="240" w:lineRule="auto"/>
        <w:rPr>
          <w:rFonts w:ascii="Noto Sans" w:hAnsi="Noto Sans" w:cs="Noto Sans"/>
          <w:sz w:val="20"/>
          <w:szCs w:val="20"/>
        </w:rPr>
      </w:pPr>
      <w:r>
        <w:rPr>
          <w:rFonts w:ascii="Noto Sans" w:hAnsi="Noto Sans" w:cs="Noto Sans"/>
          <w:b/>
          <w:bCs/>
          <w:sz w:val="20"/>
          <w:szCs w:val="20"/>
          <w:lang w:val="es"/>
        </w:rPr>
        <w:t>Descargo de responsabilidad</w:t>
      </w:r>
      <w:bookmarkEnd w:id="0"/>
      <w:r>
        <w:rPr>
          <w:rFonts w:ascii="Noto Sans" w:hAnsi="Noto Sans" w:cs="Noto Sans"/>
          <w:b/>
          <w:bCs/>
          <w:sz w:val="20"/>
          <w:szCs w:val="20"/>
          <w:lang w:val="es"/>
        </w:rPr>
        <w:br/>
      </w:r>
      <w:r>
        <w:rPr>
          <w:rFonts w:ascii="Noto Sans" w:hAnsi="Noto Sans" w:cs="Noto Sans"/>
          <w:b/>
          <w:bCs/>
          <w:sz w:val="20"/>
          <w:szCs w:val="20"/>
          <w:lang w:val="es"/>
        </w:rPr>
        <w:br/>
        <w:t>Tintas</w:t>
      </w:r>
      <w:r>
        <w:rPr>
          <w:rFonts w:ascii="Noto Sans" w:hAnsi="Noto Sans" w:cs="Noto Sans"/>
          <w:sz w:val="20"/>
          <w:szCs w:val="20"/>
          <w:lang w:val="es"/>
        </w:rPr>
        <w:br/>
        <w:t xml:space="preserve">La información contenida en este documento no pretende sustituir la realización de las pruebas correspondientes a su uso y circunstancias específicas. Ni Domino UK </w:t>
      </w:r>
      <w:proofErr w:type="spellStart"/>
      <w:r>
        <w:rPr>
          <w:rFonts w:ascii="Noto Sans" w:hAnsi="Noto Sans" w:cs="Noto Sans"/>
          <w:sz w:val="20"/>
          <w:szCs w:val="20"/>
          <w:lang w:val="es"/>
        </w:rPr>
        <w:t>Limited</w:t>
      </w:r>
      <w:proofErr w:type="spellEnd"/>
      <w:r>
        <w:rPr>
          <w:rFonts w:ascii="Noto Sans" w:hAnsi="Noto Sans" w:cs="Noto Sans"/>
          <w:sz w:val="20"/>
          <w:szCs w:val="20"/>
          <w:lang w:val="es"/>
        </w:rPr>
        <w:t xml:space="preserve"> ni ninguna de las empresas del grupo Domino es responsable en ninguna medida del hecho de que usted pueda </w:t>
      </w:r>
      <w:r>
        <w:rPr>
          <w:rFonts w:ascii="Noto Sans" w:hAnsi="Noto Sans" w:cs="Noto Sans"/>
          <w:sz w:val="20"/>
          <w:szCs w:val="20"/>
          <w:lang w:val="es"/>
        </w:rPr>
        <w:lastRenderedPageBreak/>
        <w:t xml:space="preserve">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r>
        <w:rPr>
          <w:rFonts w:ascii="Noto Sans" w:hAnsi="Noto Sans" w:cs="Noto Sans"/>
          <w:sz w:val="20"/>
          <w:szCs w:val="20"/>
          <w:lang w:val="es"/>
        </w:rPr>
        <w:br/>
      </w:r>
      <w:r>
        <w:rPr>
          <w:rFonts w:ascii="Noto Sans" w:hAnsi="Noto Sans" w:cs="Noto Sans"/>
          <w:sz w:val="20"/>
          <w:szCs w:val="20"/>
          <w:lang w:val="es-ES"/>
        </w:rPr>
        <w:br/>
      </w:r>
      <w:r>
        <w:rPr>
          <w:rFonts w:ascii="Noto Sans" w:hAnsi="Noto Sans" w:cs="Noto Sans"/>
          <w:b/>
          <w:bCs/>
          <w:sz w:val="20"/>
          <w:szCs w:val="20"/>
          <w:lang w:val="es"/>
        </w:rPr>
        <w:t>Información general</w:t>
      </w:r>
      <w:r>
        <w:rPr>
          <w:rFonts w:ascii="Noto Sans" w:hAnsi="Noto Sans" w:cs="Noto Sans"/>
          <w:sz w:val="20"/>
          <w:szCs w:val="20"/>
          <w:lang w:val="es"/>
        </w:rPr>
        <w:br/>
        <w:t xml:space="preserve">La información contenida en este comunicado de prensa se considera verdadera y correcta en la fecha de publicación de Domino; los cambios en las circunstancias tras el momento de publicación pueden afectar a la precisión de </w:t>
      </w:r>
      <w:proofErr w:type="gramStart"/>
      <w:r>
        <w:rPr>
          <w:rFonts w:ascii="Noto Sans" w:hAnsi="Noto Sans" w:cs="Noto Sans"/>
          <w:sz w:val="20"/>
          <w:szCs w:val="20"/>
          <w:lang w:val="es"/>
        </w:rPr>
        <w:t>la misma</w:t>
      </w:r>
      <w:proofErr w:type="gramEnd"/>
      <w:r>
        <w:rPr>
          <w:rFonts w:ascii="Noto Sans" w:hAnsi="Noto Sans" w:cs="Noto Sans"/>
          <w:sz w:val="20"/>
          <w:szCs w:val="20"/>
          <w:lang w:val="es"/>
        </w:rPr>
        <w:t xml:space="preserve">. Todas las cifras y declaraciones de rendimiento que constan en este documento han sido obtenidas en condiciones específicas y solo pueden ser reproducidas en circunstancias similares. Deberá ponerse en contacto con su comercial de Domino para más información sobre productos concretos. Este documento no forma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r>
        <w:rPr>
          <w:rFonts w:ascii="Noto Sans" w:hAnsi="Noto Sans" w:cs="Noto Sans"/>
          <w:sz w:val="20"/>
          <w:szCs w:val="20"/>
          <w:lang w:val="es"/>
        </w:rPr>
        <w:br/>
      </w:r>
      <w:bookmarkStart w:id="1" w:name="_Hlk61949672"/>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Acerca de Domino</w:t>
      </w:r>
      <w:r>
        <w:rPr>
          <w:rFonts w:ascii="Noto Sans" w:hAnsi="Noto Sans" w:cs="Noto Sans"/>
          <w:sz w:val="20"/>
          <w:szCs w:val="20"/>
          <w:lang w:val="es"/>
        </w:rPr>
        <w:br/>
      </w:r>
      <w:proofErr w:type="spellStart"/>
      <w:r>
        <w:rPr>
          <w:rFonts w:ascii="Noto Sans" w:hAnsi="Noto Sans" w:cs="Noto Sans"/>
          <w:sz w:val="20"/>
          <w:szCs w:val="20"/>
          <w:lang w:val="es"/>
        </w:rPr>
        <w:t>Domino</w:t>
      </w:r>
      <w:proofErr w:type="spellEnd"/>
      <w:r>
        <w:rPr>
          <w:rFonts w:ascii="Noto Sans" w:hAnsi="Noto Sans" w:cs="Noto Sans"/>
          <w:sz w:val="20"/>
          <w:szCs w:val="20"/>
          <w:lang w:val="es"/>
        </w:rPr>
        <w:t xml:space="preserve">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cumplimiento y de productividad de los fabricantes en numerosos sectores, entre los que destacan la industria de alimentos y bebidas, el sector farmacéutico y el industrial. Entre las tecnologías principales de la empresa se encuentran innovadores sistemas </w:t>
      </w:r>
      <w:proofErr w:type="spellStart"/>
      <w:r>
        <w:rPr>
          <w:rFonts w:ascii="Noto Sans" w:hAnsi="Noto Sans" w:cs="Noto Sans"/>
          <w:sz w:val="20"/>
          <w:szCs w:val="20"/>
          <w:lang w:val="es"/>
        </w:rPr>
        <w:t>inkjet</w:t>
      </w:r>
      <w:proofErr w:type="spellEnd"/>
      <w:r>
        <w:rPr>
          <w:rFonts w:ascii="Noto Sans" w:hAnsi="Noto Sans" w:cs="Noto Sans"/>
          <w:sz w:val="20"/>
          <w:szCs w:val="20"/>
          <w:lang w:val="es"/>
        </w:rPr>
        <w:t xml:space="preserve">,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 xml:space="preserve">Domino cuenta con más de 3000 colaboradores en todo el mundo y vende a más de 120 países a través de una red global de 29 filiales y más de 200 distribuidores. Domino posee fábricas en </w:t>
      </w:r>
      <w:r>
        <w:rPr>
          <w:rFonts w:ascii="Noto Sans" w:hAnsi="Noto Sans" w:cs="Noto Sans"/>
          <w:sz w:val="20"/>
          <w:szCs w:val="20"/>
          <w:lang w:val="es"/>
        </w:rPr>
        <w:lastRenderedPageBreak/>
        <w:t>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9"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w:t>
      </w:r>
      <w:r>
        <w:rPr>
          <w:rFonts w:ascii="Noto Sans" w:hAnsi="Noto Sans" w:cs="Noto Sans"/>
          <w:sz w:val="20"/>
          <w:szCs w:val="20"/>
          <w:lang w:val="es"/>
        </w:rPr>
        <w:br/>
        <w:t>Tel.: +44 1954 778 780</w:t>
      </w:r>
      <w:r>
        <w:rPr>
          <w:rFonts w:ascii="Noto Sans" w:hAnsi="Noto Sans" w:cs="Noto Sans"/>
          <w:sz w:val="20"/>
          <w:szCs w:val="20"/>
          <w:lang w:val="es"/>
        </w:rPr>
        <w:br/>
      </w:r>
      <w:hyperlink r:id="rId10"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t xml:space="preserve">Dafne Petracca </w:t>
      </w:r>
      <w:r w:rsidRPr="005B2ACC">
        <w:rPr>
          <w:rFonts w:ascii="Noto Sans" w:hAnsi="Noto Sans" w:cs="Noto Sans"/>
          <w:sz w:val="20"/>
          <w:szCs w:val="20"/>
        </w:rPr>
        <w:t>Rodríguez</w:t>
      </w:r>
    </w:p>
    <w:p w14:paraId="66C7E191" w14:textId="77777777" w:rsidR="00DD6389" w:rsidRPr="00024078" w:rsidRDefault="00DD6389" w:rsidP="00DD6389">
      <w:pPr>
        <w:spacing w:line="240" w:lineRule="auto"/>
        <w:rPr>
          <w:rFonts w:ascii="Noto Sans" w:hAnsi="Noto Sans" w:cs="Noto Sans"/>
          <w:sz w:val="20"/>
          <w:szCs w:val="20"/>
          <w:lang w:val="es-ES"/>
        </w:rPr>
      </w:pPr>
      <w:r>
        <w:rPr>
          <w:rFonts w:ascii="Noto Sans" w:hAnsi="Noto Sans" w:cs="Noto Sans"/>
          <w:sz w:val="20"/>
          <w:szCs w:val="20"/>
          <w:lang w:val="es"/>
        </w:rPr>
        <w:t>Coordinadora de marketing</w:t>
      </w:r>
      <w:r>
        <w:rPr>
          <w:rFonts w:ascii="Noto Sans" w:hAnsi="Noto Sans" w:cs="Noto Sans"/>
          <w:sz w:val="20"/>
          <w:szCs w:val="20"/>
          <w:lang w:val="es"/>
        </w:rPr>
        <w:br/>
        <w:t>Domino España</w:t>
      </w:r>
      <w:r>
        <w:rPr>
          <w:rFonts w:ascii="Noto Sans" w:hAnsi="Noto Sans" w:cs="Noto Sans"/>
          <w:sz w:val="20"/>
          <w:szCs w:val="20"/>
          <w:lang w:val="es"/>
        </w:rPr>
        <w:br/>
        <w:t>Tel.: +34 616 074 252</w:t>
      </w:r>
      <w:r>
        <w:rPr>
          <w:rFonts w:ascii="Noto Sans" w:hAnsi="Noto Sans" w:cs="Noto Sans"/>
          <w:sz w:val="20"/>
          <w:szCs w:val="20"/>
          <w:lang w:val="es"/>
        </w:rPr>
        <w:br/>
      </w:r>
      <w:hyperlink r:id="rId11" w:history="1">
        <w:r>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p>
    <w:p w14:paraId="1D2578A1" w14:textId="77777777" w:rsidR="00DD6389" w:rsidRPr="00024078" w:rsidRDefault="00DD6389" w:rsidP="00DD6389">
      <w:pPr>
        <w:spacing w:line="240" w:lineRule="auto"/>
        <w:rPr>
          <w:rFonts w:ascii="Noto Sans" w:hAnsi="Noto Sans" w:cs="Noto Sans"/>
          <w:sz w:val="20"/>
          <w:szCs w:val="20"/>
          <w:lang w:val="es-ES"/>
        </w:rPr>
      </w:pPr>
    </w:p>
    <w:p w14:paraId="4191831E" w14:textId="77777777" w:rsidR="00DD6389" w:rsidRPr="00024078" w:rsidRDefault="00DD6389" w:rsidP="00DD6389">
      <w:pPr>
        <w:spacing w:line="240" w:lineRule="auto"/>
        <w:rPr>
          <w:rFonts w:ascii="Noto Sans" w:hAnsi="Noto Sans" w:cs="Noto Sans"/>
          <w:sz w:val="20"/>
          <w:szCs w:val="20"/>
          <w:lang w:val="es-ES"/>
        </w:rPr>
      </w:pPr>
    </w:p>
    <w:p w14:paraId="62E5DB2F" w14:textId="065FEC72" w:rsidR="00DD6389" w:rsidRPr="00DD6389" w:rsidRDefault="00DD6389" w:rsidP="00DD6389">
      <w:pPr>
        <w:spacing w:after="160" w:line="278" w:lineRule="auto"/>
        <w:rPr>
          <w:rFonts w:ascii="Noto Sans" w:hAnsi="Noto Sans" w:cs="Noto Sans"/>
          <w:sz w:val="22"/>
        </w:rPr>
      </w:pPr>
    </w:p>
    <w:p w14:paraId="271691A9" w14:textId="77777777" w:rsidR="00DD6389" w:rsidRDefault="00DD6389" w:rsidP="00DD6389"/>
    <w:p w14:paraId="53EB7C38" w14:textId="27DED657" w:rsidR="00DD6389" w:rsidRDefault="00DD6389" w:rsidP="00DD6389"/>
    <w:p w14:paraId="24DE4267" w14:textId="77777777" w:rsidR="005524DB" w:rsidRPr="00DD6389" w:rsidRDefault="005524DB" w:rsidP="008E7573">
      <w:pPr>
        <w:rPr>
          <w:rFonts w:ascii="Noto Sans" w:hAnsi="Noto Sans" w:cs="Noto Sans"/>
          <w:sz w:val="22"/>
        </w:rPr>
      </w:pPr>
    </w:p>
    <w:sectPr w:rsidR="005524DB" w:rsidRPr="00DD638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8F475" w14:textId="77777777" w:rsidR="00D93FC5" w:rsidRDefault="00D93FC5" w:rsidP="00785717">
      <w:pPr>
        <w:spacing w:line="240" w:lineRule="auto"/>
      </w:pPr>
      <w:r>
        <w:separator/>
      </w:r>
    </w:p>
  </w:endnote>
  <w:endnote w:type="continuationSeparator" w:id="0">
    <w:p w14:paraId="3A3DC2E5" w14:textId="77777777" w:rsidR="00D93FC5" w:rsidRDefault="00D93FC5"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0CD6" w14:textId="77777777" w:rsidR="00D93FC5" w:rsidRDefault="00D93FC5" w:rsidP="00785717">
      <w:pPr>
        <w:spacing w:line="240" w:lineRule="auto"/>
      </w:pPr>
      <w:r>
        <w:separator/>
      </w:r>
    </w:p>
  </w:footnote>
  <w:footnote w:type="continuationSeparator" w:id="0">
    <w:p w14:paraId="4CB829D1" w14:textId="77777777" w:rsidR="00D93FC5" w:rsidRDefault="00D93FC5"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04CDB"/>
    <w:rsid w:val="00113106"/>
    <w:rsid w:val="00144702"/>
    <w:rsid w:val="001D743C"/>
    <w:rsid w:val="002766D9"/>
    <w:rsid w:val="002C3337"/>
    <w:rsid w:val="002C3386"/>
    <w:rsid w:val="00372E92"/>
    <w:rsid w:val="003742E5"/>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D93FC5"/>
    <w:rsid w:val="00DD6389"/>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D6389"/>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6389"/>
    <w:rPr>
      <w:sz w:val="20"/>
      <w:szCs w:val="20"/>
    </w:rPr>
  </w:style>
  <w:style w:type="character" w:styleId="CommentReference">
    <w:name w:val="annotation reference"/>
    <w:basedOn w:val="DefaultParagraphFont"/>
    <w:uiPriority w:val="99"/>
    <w:semiHidden/>
    <w:unhideWhenUsed/>
    <w:rsid w:val="00DD63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s-es/home.aspx?utm_medium=non-paid&amp;utm_source=onlinepublication&amp;utm_content=bandc-beyond-compliance-tlp-es&amp;utm_campaign=2026-int-es-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s-es/blog/2025/construir-con-mas-inteligencia-el-papel-de-los-codigos-2d-en-la-optimizacion-de-la-coordinacion?utm_medium=non-paid&amp;utm_source=onlinepublication&amp;utm_content=bandc-beyond-compliance-tlp-es&amp;utm_campaign=2026-int-es-global-pr-cm-fy26-q1" TargetMode="External"/><Relationship Id="rId11" Type="http://schemas.openxmlformats.org/officeDocument/2006/relationships/hyperlink" Target="mailto:dafne.petracca@domino-spain.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dps.local\Group\Domino\Marketing\Group_Marketing\Brand_Content_&amp;_PR_Marketing\PR\Press%20Releases\1%20PR%20info\Regional%20disclaimer%20and%20boilerplate\www.domino-spai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6</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3</cp:revision>
  <dcterms:created xsi:type="dcterms:W3CDTF">2026-07-24T09:18:00Z</dcterms:created>
  <dcterms:modified xsi:type="dcterms:W3CDTF">2026-08-07T14:17:00Z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