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96E5F" w14:textId="77777777" w:rsidR="00DD5317" w:rsidRPr="00DD5317" w:rsidRDefault="00DD5317" w:rsidP="00DD5317">
      <w:pPr>
        <w:spacing w:after="160" w:line="276" w:lineRule="auto"/>
        <w:jc w:val="both"/>
        <w:rPr>
          <w:rFonts w:ascii="Noto Sans" w:eastAsiaTheme="minorHAnsi" w:hAnsi="Noto Sans" w:cs="Noto Sans"/>
          <w:sz w:val="28"/>
          <w:szCs w:val="28"/>
        </w:rPr>
      </w:pPr>
      <w:r w:rsidRPr="00DD5317">
        <w:rPr>
          <w:rFonts w:ascii="Noto Sans" w:eastAsiaTheme="minorHAnsi" w:hAnsi="Noto Sans" w:cs="Noto Sans"/>
          <w:b/>
          <w:bCs/>
          <w:sz w:val="28"/>
          <w:szCs w:val="28"/>
          <w:lang w:val="pt-PT"/>
        </w:rPr>
        <w:t>Além da conformidade: Potenciar valor com rastreabilidade no setor da construção</w:t>
      </w:r>
    </w:p>
    <w:p w14:paraId="79AC0F1F" w14:textId="79EAA175" w:rsidR="00DD5317" w:rsidRPr="00DD5317" w:rsidRDefault="00DD5317" w:rsidP="00DD5317">
      <w:pPr>
        <w:spacing w:after="160" w:line="276" w:lineRule="auto"/>
        <w:jc w:val="both"/>
        <w:rPr>
          <w:rFonts w:ascii="Noto Sans" w:eastAsiaTheme="minorHAnsi" w:hAnsi="Noto Sans" w:cs="Noto Sans"/>
          <w:i/>
          <w:iCs/>
          <w:sz w:val="22"/>
        </w:rPr>
      </w:pPr>
      <w:r w:rsidRPr="00DD5317">
        <w:rPr>
          <w:rFonts w:ascii="Noto Sans" w:eastAsiaTheme="minorHAnsi" w:hAnsi="Noto Sans" w:cs="Noto Sans"/>
          <w:i/>
          <w:iCs/>
          <w:sz w:val="22"/>
          <w:lang w:val="pt-PT"/>
        </w:rPr>
        <w:t xml:space="preserve">O setor da construção encontra-se num ponto de viragem crucial. Os novos regulamentos destinados a melhorar a segurança dos edifícios, a sustentabilidade e a responsabilização exigem uma melhoria significativa na rastreabilidade dos materiais, desde a fase de projeto até à desconstrução. Embora a regulamentação esteja a impulsionar esta mudança, são os </w:t>
      </w:r>
      <w:hyperlink r:id="rId6" w:history="1">
        <w:r w:rsidRPr="00DD5317">
          <w:rPr>
            <w:rStyle w:val="Hyperlink"/>
            <w:rFonts w:ascii="Noto Sans" w:eastAsiaTheme="minorHAnsi" w:hAnsi="Noto Sans" w:cs="Noto Sans"/>
            <w:i/>
            <w:iCs/>
            <w:sz w:val="22"/>
            <w:lang w:val="pt-PT"/>
          </w:rPr>
          <w:t>benefícios potenciais adicionais</w:t>
        </w:r>
      </w:hyperlink>
      <w:r w:rsidRPr="00DD5317">
        <w:rPr>
          <w:rFonts w:ascii="Noto Sans" w:eastAsiaTheme="minorHAnsi" w:hAnsi="Noto Sans" w:cs="Noto Sans"/>
          <w:i/>
          <w:iCs/>
          <w:sz w:val="22"/>
          <w:lang w:val="pt-PT"/>
        </w:rPr>
        <w:t xml:space="preserve"> para o setor que se revelam convincentes. </w:t>
      </w:r>
    </w:p>
    <w:p w14:paraId="58CD0595" w14:textId="77777777" w:rsidR="00DD5317" w:rsidRPr="00DD5317" w:rsidRDefault="00DD5317" w:rsidP="00DD5317">
      <w:pPr>
        <w:spacing w:after="160" w:line="276" w:lineRule="auto"/>
        <w:jc w:val="both"/>
        <w:rPr>
          <w:rFonts w:ascii="Noto Sans" w:eastAsiaTheme="minorHAnsi" w:hAnsi="Noto Sans" w:cs="Noto Sans"/>
          <w:i/>
          <w:iCs/>
          <w:sz w:val="22"/>
        </w:rPr>
      </w:pPr>
      <w:r w:rsidRPr="00DD5317">
        <w:rPr>
          <w:rFonts w:ascii="Noto Sans" w:eastAsiaTheme="minorHAnsi" w:hAnsi="Noto Sans" w:cs="Noto Sans"/>
          <w:i/>
          <w:iCs/>
          <w:sz w:val="22"/>
          <w:lang w:val="pt-PT"/>
        </w:rPr>
        <w:t>Os passaportes digitais dos produtos garantirão que os produtos e componentes de construção sejam identificáveis</w:t>
      </w:r>
      <w:r w:rsidRPr="00DD5317">
        <w:rPr>
          <w:rFonts w:ascii="Noto Sans" w:eastAsiaTheme="minorHAnsi" w:hAnsi="Noto Sans" w:cs="Noto Sans"/>
          <w:i/>
          <w:iCs/>
          <w:color w:val="323130"/>
          <w:sz w:val="22"/>
          <w:lang w:val="pt-PT"/>
        </w:rPr>
        <w:t xml:space="preserve"> do projeto, produção, construção e manutenção, até à desconstrução e reciclagem. Este "</w:t>
      </w:r>
      <w:r w:rsidRPr="00DD5317">
        <w:rPr>
          <w:rFonts w:ascii="Noto Sans" w:eastAsiaTheme="minorHAnsi" w:hAnsi="Noto Sans" w:cs="Noto Sans"/>
          <w:i/>
          <w:iCs/>
          <w:sz w:val="22"/>
          <w:lang w:val="pt-PT"/>
        </w:rPr>
        <w:t xml:space="preserve">golden thread" de informação oferece ao setor muito mais do que a simples conformidade regulamentar: a rastreabilidade de ponta a ponta constitui a base para maior eficiência operacional, redução significativa dos resíduos, melhor controlo dos custos e um novo nível de colaboração na cadeia de abastecimento. </w:t>
      </w:r>
    </w:p>
    <w:p w14:paraId="4C5BFF91" w14:textId="2DF7F052" w:rsidR="00DD5317" w:rsidRPr="00DD5317" w:rsidRDefault="00DD5317" w:rsidP="00DD5317">
      <w:pPr>
        <w:spacing w:after="160" w:line="276" w:lineRule="auto"/>
        <w:jc w:val="both"/>
        <w:rPr>
          <w:rFonts w:ascii="Noto Sans" w:eastAsiaTheme="minorHAnsi" w:hAnsi="Noto Sans" w:cs="Noto Sans"/>
          <w:i/>
          <w:iCs/>
          <w:sz w:val="22"/>
        </w:rPr>
      </w:pPr>
      <w:r w:rsidRPr="00DD5317">
        <w:rPr>
          <w:rFonts w:ascii="Noto Sans" w:eastAsiaTheme="minorHAnsi" w:hAnsi="Noto Sans" w:cs="Noto Sans"/>
          <w:i/>
          <w:iCs/>
          <w:sz w:val="22"/>
          <w:lang w:val="pt-PT"/>
        </w:rPr>
        <w:t xml:space="preserve">Como explica Rob Ellinor, Global Building &amp; Construction Sector Manager, </w:t>
      </w:r>
      <w:hyperlink r:id="rId7" w:history="1">
        <w:r w:rsidRPr="00DD5317">
          <w:rPr>
            <w:rStyle w:val="Hyperlink"/>
            <w:rFonts w:ascii="Noto Sans" w:eastAsiaTheme="minorHAnsi" w:hAnsi="Noto Sans" w:cs="Noto Sans"/>
            <w:i/>
            <w:iCs/>
            <w:sz w:val="22"/>
            <w:lang w:val="pt-PT"/>
          </w:rPr>
          <w:t>Domino</w:t>
        </w:r>
      </w:hyperlink>
      <w:r w:rsidRPr="00DD5317">
        <w:rPr>
          <w:rFonts w:ascii="Noto Sans" w:eastAsiaTheme="minorHAnsi" w:hAnsi="Noto Sans" w:cs="Noto Sans"/>
          <w:i/>
          <w:iCs/>
          <w:sz w:val="22"/>
          <w:lang w:val="pt-PT"/>
        </w:rPr>
        <w:t>.</w:t>
      </w:r>
    </w:p>
    <w:p w14:paraId="006840BC" w14:textId="77777777" w:rsidR="00DD5317" w:rsidRPr="00DD5317" w:rsidRDefault="00DD5317" w:rsidP="00DD5317">
      <w:pPr>
        <w:spacing w:after="160" w:line="276" w:lineRule="auto"/>
        <w:jc w:val="both"/>
        <w:rPr>
          <w:rFonts w:ascii="Noto Sans" w:eastAsiaTheme="minorHAnsi" w:hAnsi="Noto Sans" w:cs="Noto Sans"/>
          <w:b/>
          <w:bCs/>
          <w:sz w:val="22"/>
        </w:rPr>
      </w:pPr>
      <w:r w:rsidRPr="00DD5317">
        <w:rPr>
          <w:rFonts w:ascii="Noto Sans" w:eastAsiaTheme="minorHAnsi" w:hAnsi="Noto Sans" w:cs="Noto Sans"/>
          <w:b/>
          <w:bCs/>
          <w:sz w:val="22"/>
          <w:lang w:val="pt-PT"/>
        </w:rPr>
        <w:t xml:space="preserve">Otimizar a conformidade na construção </w:t>
      </w:r>
    </w:p>
    <w:p w14:paraId="3A8824B8" w14:textId="6FE262BA" w:rsidR="00DD5317" w:rsidRPr="00DD5317" w:rsidRDefault="00DD5317" w:rsidP="00DD5317">
      <w:pPr>
        <w:spacing w:after="160" w:line="276" w:lineRule="auto"/>
        <w:jc w:val="both"/>
        <w:rPr>
          <w:rFonts w:ascii="Noto Sans" w:eastAsiaTheme="minorHAnsi" w:hAnsi="Noto Sans" w:cs="Noto Sans"/>
          <w:sz w:val="22"/>
        </w:rPr>
      </w:pPr>
      <w:r w:rsidRPr="00DD5317">
        <w:rPr>
          <w:rFonts w:ascii="Noto Sans" w:eastAsiaTheme="minorHAnsi" w:hAnsi="Noto Sans" w:cs="Noto Sans"/>
          <w:sz w:val="22"/>
          <w:lang w:val="pt-PT"/>
        </w:rPr>
        <w:t xml:space="preserve">Os novos regulamentos da UE incluindo o Regulamento de Produtos de Construção (RPC) vão impor novos requisitos aos fabricantes e fornecedores de produtos de construção. </w:t>
      </w:r>
      <w:r w:rsidR="00FC5C0F">
        <w:rPr>
          <w:rFonts w:ascii="Noto Sans" w:eastAsiaTheme="minorHAnsi" w:hAnsi="Noto Sans" w:cs="Noto Sans"/>
          <w:sz w:val="22"/>
          <w:lang w:val="pt-PT"/>
        </w:rPr>
        <w:t>A</w:t>
      </w:r>
      <w:r w:rsidRPr="00DD5317">
        <w:rPr>
          <w:rFonts w:ascii="Noto Sans" w:eastAsiaTheme="minorHAnsi" w:hAnsi="Noto Sans" w:cs="Noto Sans"/>
          <w:sz w:val="22"/>
          <w:lang w:val="pt-PT"/>
        </w:rPr>
        <w:t xml:space="preserve"> tendência é clara: os fabricantes terão de fornecer informação digital e estruturada sobre os produtos, que possa ser acedida e partilhada de forma coerente ao longo de todo o ciclo de vida de um edifício. </w:t>
      </w:r>
    </w:p>
    <w:p w14:paraId="13F57812" w14:textId="77777777" w:rsidR="00DD5317" w:rsidRPr="00DD5317" w:rsidRDefault="00DD5317" w:rsidP="00DD5317">
      <w:pPr>
        <w:spacing w:after="160" w:line="276" w:lineRule="auto"/>
        <w:jc w:val="both"/>
        <w:rPr>
          <w:rFonts w:ascii="Noto Sans" w:eastAsiaTheme="minorHAnsi" w:hAnsi="Noto Sans" w:cs="Noto Sans"/>
          <w:sz w:val="22"/>
        </w:rPr>
      </w:pPr>
      <w:r w:rsidRPr="00DD5317">
        <w:rPr>
          <w:rFonts w:ascii="Noto Sans" w:eastAsiaTheme="minorHAnsi" w:hAnsi="Noto Sans" w:cs="Noto Sans"/>
          <w:sz w:val="22"/>
          <w:lang w:val="pt-PT"/>
        </w:rPr>
        <w:t>No Reino Unido, já se reconhece a necessidade de melhorar a rastreabilidade. O "golden thread" de dados é um conceito utilizado para descrever um registo digital das informações essenciais relativas à segurança e à conceção de um edifício. Apesar de, atualmente, apenas ser exigido por lei para edifícios de alto risco, existe uma consciência crescente entre as empresas de construção quanto ao valor de dispor de uma única fonte de informação fiável em projetos de todas as dimensões.</w:t>
      </w:r>
    </w:p>
    <w:p w14:paraId="4B0C0881" w14:textId="77777777" w:rsidR="00DD5317" w:rsidRPr="00DD5317" w:rsidRDefault="00DD5317" w:rsidP="00DD5317">
      <w:pPr>
        <w:spacing w:after="160" w:line="276" w:lineRule="auto"/>
        <w:jc w:val="both"/>
        <w:rPr>
          <w:rFonts w:ascii="Noto Sans" w:eastAsiaTheme="minorHAnsi" w:hAnsi="Noto Sans" w:cs="Noto Sans"/>
          <w:sz w:val="22"/>
        </w:rPr>
      </w:pPr>
      <w:r w:rsidRPr="00DD5317">
        <w:rPr>
          <w:rFonts w:ascii="Noto Sans" w:eastAsiaTheme="minorHAnsi" w:hAnsi="Noto Sans" w:cs="Noto Sans"/>
          <w:sz w:val="22"/>
          <w:lang w:val="pt-PT"/>
        </w:rPr>
        <w:t xml:space="preserve">Até à data, o obstáculo à concretização deste "golden thread" tem sido a falta de normalização e de um quadro operacional único e consensual. O resultado tem sido a existência de operações isoladas que limitam a colaboração eficaz de ponta a ponta ao longo da cadeia de abastecimento, necessária para melhorar a eficiência operacional e maximizar o valor dos dados detalhados sobre os produtos. A transição para um ambiente mais regulamentado irá, no entanto, acelerar a mudança e incentivar a adoção </w:t>
      </w:r>
      <w:r w:rsidRPr="00DD5317">
        <w:rPr>
          <w:rFonts w:ascii="Noto Sans" w:eastAsiaTheme="minorHAnsi" w:hAnsi="Noto Sans" w:cs="Noto Sans"/>
          <w:sz w:val="22"/>
          <w:lang w:val="pt-PT"/>
        </w:rPr>
        <w:lastRenderedPageBreak/>
        <w:t>generalizada das normas necessárias para alcançar um processo de construção mais coerente e transparente.</w:t>
      </w:r>
    </w:p>
    <w:p w14:paraId="27AF1F05" w14:textId="77777777" w:rsidR="00DD5317" w:rsidRPr="00DD5317" w:rsidRDefault="00DD5317" w:rsidP="00DD5317">
      <w:pPr>
        <w:spacing w:after="160" w:line="276" w:lineRule="auto"/>
        <w:jc w:val="both"/>
        <w:rPr>
          <w:rFonts w:ascii="Noto Sans" w:eastAsiaTheme="minorHAnsi" w:hAnsi="Noto Sans" w:cs="Noto Sans"/>
          <w:b/>
          <w:bCs/>
          <w:sz w:val="22"/>
        </w:rPr>
      </w:pPr>
      <w:r w:rsidRPr="00DD5317">
        <w:rPr>
          <w:rFonts w:ascii="Noto Sans" w:eastAsiaTheme="minorHAnsi" w:hAnsi="Noto Sans" w:cs="Noto Sans"/>
          <w:b/>
          <w:bCs/>
          <w:sz w:val="22"/>
          <w:lang w:val="pt-PT"/>
        </w:rPr>
        <w:t>As normas relativas aos dados apoiam a conformidade na construção</w:t>
      </w:r>
    </w:p>
    <w:p w14:paraId="0445DAB6" w14:textId="77777777" w:rsidR="00DD5317" w:rsidRPr="00DD5317" w:rsidRDefault="00DD5317" w:rsidP="00DD5317">
      <w:pPr>
        <w:spacing w:after="160" w:line="276" w:lineRule="auto"/>
        <w:jc w:val="both"/>
        <w:rPr>
          <w:rFonts w:ascii="Noto Sans" w:eastAsiaTheme="minorHAnsi" w:hAnsi="Noto Sans" w:cs="Noto Sans"/>
          <w:sz w:val="22"/>
        </w:rPr>
      </w:pPr>
      <w:r w:rsidRPr="00DD5317">
        <w:rPr>
          <w:rFonts w:ascii="Noto Sans" w:eastAsiaTheme="minorHAnsi" w:hAnsi="Noto Sans" w:cs="Noto Sans"/>
          <w:sz w:val="22"/>
          <w:lang w:val="pt-PT"/>
        </w:rPr>
        <w:t>À semelhança do que acontece noutros setores, nomeadamente no farmacêutico, a normalização e a adoção de uma linguagem acessível e reconhecida a nível mundial, como a proporcionada pelos códigos 2D baseados nos padrões da GS1, constituem a base para uma partilha de dados e rastreabilidade eficazes. Permite a transferência sem atrito de informações consistentes, fiáveis e utilizáveis de uma ponta à outra da cadeia de abastecimento, permitindo às organizações tirar partido de informações em tempo real em todas as etapas, de forma a melhorar a eficiência e o controlo.</w:t>
      </w:r>
    </w:p>
    <w:p w14:paraId="06E42E12" w14:textId="77777777" w:rsidR="00DD5317" w:rsidRPr="00DD5317" w:rsidRDefault="00DD5317" w:rsidP="00DD5317">
      <w:pPr>
        <w:spacing w:after="160" w:line="276" w:lineRule="auto"/>
        <w:jc w:val="both"/>
        <w:rPr>
          <w:rFonts w:ascii="Noto Sans" w:eastAsiaTheme="minorHAnsi" w:hAnsi="Noto Sans" w:cs="Noto Sans"/>
          <w:sz w:val="22"/>
        </w:rPr>
      </w:pPr>
      <w:r w:rsidRPr="00DD5317">
        <w:rPr>
          <w:rFonts w:ascii="Noto Sans" w:eastAsiaTheme="minorHAnsi" w:hAnsi="Noto Sans" w:cs="Noto Sans"/>
          <w:sz w:val="22"/>
          <w:lang w:val="pt-PT"/>
        </w:rPr>
        <w:t>A riqueza de informação que pode ser incluída num passaporte digital do produto é impressionante. Embora os requisitos variem consoante o tipo de produto, de um modo geral, os regulamentos exigirão a disponibilização de: um identificador de produto exclusivo a nível mundial; um suporte de dados digital (por exemplo, QR, NFC ou RFID); informações sobre o desempenho e a segurança do produto; documentação relativa à conformidade e certificação; dados sobre o desempenho ambiental; e a composição dos materiais.</w:t>
      </w:r>
    </w:p>
    <w:p w14:paraId="7AC8139F" w14:textId="77777777" w:rsidR="00DD5317" w:rsidRPr="00DD5317" w:rsidRDefault="00DD5317" w:rsidP="00DD5317">
      <w:pPr>
        <w:spacing w:after="160" w:line="276" w:lineRule="auto"/>
        <w:jc w:val="both"/>
        <w:rPr>
          <w:rFonts w:ascii="Noto Sans" w:eastAsiaTheme="minorHAnsi" w:hAnsi="Noto Sans" w:cs="Noto Sans"/>
          <w:sz w:val="22"/>
        </w:rPr>
      </w:pPr>
      <w:r w:rsidRPr="00DD5317">
        <w:rPr>
          <w:rFonts w:ascii="Noto Sans" w:eastAsiaTheme="minorHAnsi" w:hAnsi="Noto Sans" w:cs="Noto Sans"/>
          <w:sz w:val="22"/>
          <w:lang w:val="pt-PT"/>
        </w:rPr>
        <w:t xml:space="preserve">A utilização de uma linguagem normalizada para fornecer estes dados detalhados possibilita um fluxo de informação muito mais eficaz entre sistemas e pessoas, da fábrica ao estaleiro de construção. Permite que as empresas de construção criem um registo digital, ou "réplica digital", de um edifício, com informações sobre os produtos utilizados e a respetiva localização. Esta réplica digital também pode ser utilizada para demonstrar que o edifício cumpre as normas exigidas, com a adição de identificadores exclusivos que permitem rastrear os produtos até ao nível do lote, no caso de artigos produzidos em série, e a nível individual, no caso de artigos de maior risco, como as portas corta-fogo. </w:t>
      </w:r>
    </w:p>
    <w:p w14:paraId="68A5A59B" w14:textId="77777777" w:rsidR="00DD5317" w:rsidRPr="00DD5317" w:rsidRDefault="00DD5317" w:rsidP="00DD5317">
      <w:pPr>
        <w:spacing w:after="160" w:line="276" w:lineRule="auto"/>
        <w:jc w:val="both"/>
        <w:rPr>
          <w:rFonts w:ascii="Noto Sans" w:eastAsiaTheme="minorHAnsi" w:hAnsi="Noto Sans" w:cs="Noto Sans"/>
          <w:b/>
          <w:bCs/>
          <w:sz w:val="22"/>
        </w:rPr>
      </w:pPr>
      <w:r w:rsidRPr="00DD5317">
        <w:rPr>
          <w:rFonts w:ascii="Noto Sans" w:eastAsiaTheme="minorHAnsi" w:hAnsi="Noto Sans" w:cs="Noto Sans"/>
          <w:b/>
          <w:bCs/>
          <w:sz w:val="22"/>
          <w:lang w:val="pt-PT"/>
        </w:rPr>
        <w:t xml:space="preserve">Extrair valor dos dados além da conformidade </w:t>
      </w:r>
    </w:p>
    <w:p w14:paraId="35CF2C69" w14:textId="77777777" w:rsidR="00DD5317" w:rsidRPr="00DD5317" w:rsidRDefault="00DD5317" w:rsidP="00DD5317">
      <w:pPr>
        <w:spacing w:after="160" w:line="276" w:lineRule="auto"/>
        <w:jc w:val="both"/>
        <w:rPr>
          <w:rFonts w:ascii="Noto Sans" w:eastAsiaTheme="minorHAnsi" w:hAnsi="Noto Sans" w:cs="Noto Sans"/>
          <w:sz w:val="22"/>
        </w:rPr>
      </w:pPr>
      <w:r w:rsidRPr="00DD5317">
        <w:rPr>
          <w:rFonts w:ascii="Noto Sans" w:eastAsiaTheme="minorHAnsi" w:hAnsi="Noto Sans" w:cs="Noto Sans"/>
          <w:sz w:val="22"/>
          <w:lang w:val="pt-PT"/>
        </w:rPr>
        <w:t xml:space="preserve">A conformidade regulamentar deve ser apenas o ponto de partida para uma transformação operacional significativa, permitindo obter benefícios adicionais muito além do simples cumprimento das normas. A otimização da informação sobre os produtos permite aumentar a automatização e gerir os processos em tempo real, contribuindo para uma melhoria significativa do desempenho operacional no dia a dia. No caso das empresas de construção, as entregas de produtos podem ser registadas à </w:t>
      </w:r>
      <w:r w:rsidRPr="00DD5317">
        <w:rPr>
          <w:rFonts w:ascii="Noto Sans" w:eastAsiaTheme="minorHAnsi" w:hAnsi="Noto Sans" w:cs="Noto Sans"/>
          <w:sz w:val="22"/>
          <w:lang w:val="pt-PT"/>
        </w:rPr>
        <w:lastRenderedPageBreak/>
        <w:t xml:space="preserve">medida que chegam ao local da obra, eliminando as imprecisões e os atrasos associados à burocracia manual. </w:t>
      </w:r>
    </w:p>
    <w:p w14:paraId="67E790B5" w14:textId="77777777" w:rsidR="00DD5317" w:rsidRPr="00DD5317" w:rsidRDefault="00DD5317" w:rsidP="00DD5317">
      <w:pPr>
        <w:spacing w:after="160" w:line="276" w:lineRule="auto"/>
        <w:jc w:val="both"/>
        <w:rPr>
          <w:rFonts w:ascii="Noto Sans" w:eastAsiaTheme="minorHAnsi" w:hAnsi="Noto Sans" w:cs="Noto Sans"/>
          <w:sz w:val="22"/>
        </w:rPr>
      </w:pPr>
      <w:r w:rsidRPr="00DD5317">
        <w:rPr>
          <w:rFonts w:ascii="Noto Sans" w:eastAsiaTheme="minorHAnsi" w:hAnsi="Noto Sans" w:cs="Noto Sans"/>
          <w:sz w:val="22"/>
          <w:lang w:val="pt-PT"/>
        </w:rPr>
        <w:t xml:space="preserve">A verificação em tempo real dos elementos à medida que são instalados pode ajudar a garantir que são utilizadas as peças corretas no decorrer de um projeto de construção. As informações adicionais podem incluir produtos que é necessário combinar para garantir uma instalação correta, melhorando ainda mais a qualidade e evitando o risco de atrasos dispendiosos ou reprovações nas inspeções. Com efeito, se os inspetores no local dispuserem antecipadamente de informações detalhadas sobre as áreas específicas de alto risco que requerem avaliação, podem realizar inspeções e aprovações mais direcionadas e mais rápidas. </w:t>
      </w:r>
    </w:p>
    <w:p w14:paraId="39A7646B" w14:textId="77777777" w:rsidR="00DD5317" w:rsidRPr="00DD5317" w:rsidRDefault="00DD5317" w:rsidP="00DD5317">
      <w:pPr>
        <w:spacing w:after="160" w:line="276" w:lineRule="auto"/>
        <w:jc w:val="both"/>
        <w:rPr>
          <w:rFonts w:ascii="Noto Sans" w:eastAsiaTheme="minorHAnsi" w:hAnsi="Noto Sans" w:cs="Noto Sans"/>
          <w:sz w:val="22"/>
        </w:rPr>
      </w:pPr>
      <w:r w:rsidRPr="00DD5317">
        <w:rPr>
          <w:rFonts w:ascii="Noto Sans" w:eastAsiaTheme="minorHAnsi" w:hAnsi="Noto Sans" w:cs="Noto Sans"/>
          <w:sz w:val="22"/>
          <w:lang w:val="pt-PT"/>
        </w:rPr>
        <w:t>A substituição da burocracia manual por informações em tempo real provenientes dos identificadores dos produtos pode também permitir que as empresas de construção abandonem a prática de encomendar stock "por precaução", que tem sido tradicionalmente adotada para evitar atrasos. Para além de reduzir os custos, evitar encomendas excessivas de materiais irá também minimizar o desperdício, contribuindo ainda mais para os objetivos de sustentabilidade das empresas de construção. Os materiais excedentes identificáveis podem ser devolvidos ou reutilizados, em vez de serem eliminados, o que reduz ainda mais o desperdício e os custos.</w:t>
      </w:r>
    </w:p>
    <w:p w14:paraId="65C42F97" w14:textId="77777777" w:rsidR="00DD5317" w:rsidRPr="00DD5317" w:rsidRDefault="00DD5317" w:rsidP="00DD5317">
      <w:pPr>
        <w:spacing w:after="160" w:line="276" w:lineRule="auto"/>
        <w:jc w:val="both"/>
        <w:rPr>
          <w:rFonts w:ascii="Noto Sans" w:eastAsiaTheme="minorHAnsi" w:hAnsi="Noto Sans" w:cs="Noto Sans"/>
          <w:b/>
          <w:bCs/>
          <w:sz w:val="22"/>
        </w:rPr>
      </w:pPr>
      <w:r w:rsidRPr="00DD5317">
        <w:rPr>
          <w:rFonts w:ascii="Noto Sans" w:eastAsiaTheme="minorHAnsi" w:hAnsi="Noto Sans" w:cs="Noto Sans"/>
          <w:b/>
          <w:bCs/>
          <w:sz w:val="22"/>
          <w:lang w:val="pt-PT"/>
        </w:rPr>
        <w:t>Utilizar dados para melhorar o desempenho operacional</w:t>
      </w:r>
    </w:p>
    <w:p w14:paraId="3262A213" w14:textId="77777777" w:rsidR="00DD5317" w:rsidRPr="00DD5317" w:rsidRDefault="00DD5317" w:rsidP="00DD5317">
      <w:pPr>
        <w:spacing w:after="160" w:line="276" w:lineRule="auto"/>
        <w:jc w:val="both"/>
        <w:rPr>
          <w:rFonts w:ascii="Noto Sans" w:eastAsiaTheme="minorHAnsi" w:hAnsi="Noto Sans" w:cs="Noto Sans"/>
          <w:sz w:val="22"/>
        </w:rPr>
      </w:pPr>
      <w:r w:rsidRPr="00DD5317">
        <w:rPr>
          <w:rFonts w:ascii="Noto Sans" w:eastAsiaTheme="minorHAnsi" w:hAnsi="Noto Sans" w:cs="Noto Sans"/>
          <w:sz w:val="22"/>
          <w:lang w:val="pt-PT"/>
        </w:rPr>
        <w:t xml:space="preserve">A informação detalhada ao nível de cada artigo pode também permitir que as empresas de construção melhorem a rotação de stock. No caso de produtos perecíveis, como o gesso, é possível implementar medidas de controlo para evitar que os produtos passem o prazo de validade e sejam desperdiçados, o que acarreta custos e, potencialmente, a necessidade de processos complexos de eliminação. É fundamental referir que também reforça os protocolos de segurança para produtos como o cimento, que podem ser </w:t>
      </w:r>
      <w:hyperlink r:id="rId8" w:history="1">
        <w:r w:rsidRPr="00DD5317">
          <w:rPr>
            <w:rFonts w:ascii="Noto Sans" w:eastAsiaTheme="minorHAnsi" w:hAnsi="Noto Sans" w:cs="Noto Sans"/>
            <w:color w:val="0563C1" w:themeColor="hyperlink"/>
            <w:sz w:val="22"/>
            <w:u w:val="single"/>
            <w:lang w:val="pt-PT"/>
          </w:rPr>
          <w:t>perigosos para os trabalhadores</w:t>
        </w:r>
      </w:hyperlink>
      <w:r w:rsidRPr="00DD5317">
        <w:rPr>
          <w:rFonts w:ascii="Noto Sans" w:eastAsiaTheme="minorHAnsi" w:hAnsi="Noto Sans" w:cs="Noto Sans"/>
          <w:sz w:val="22"/>
          <w:lang w:val="pt-PT"/>
        </w:rPr>
        <w:t xml:space="preserve"> e comprometer a integridade das construções.</w:t>
      </w:r>
    </w:p>
    <w:p w14:paraId="0CF0942A" w14:textId="77777777" w:rsidR="00DD5317" w:rsidRPr="00DD5317" w:rsidRDefault="00DD5317" w:rsidP="00DD5317">
      <w:pPr>
        <w:spacing w:after="160" w:line="276" w:lineRule="auto"/>
        <w:jc w:val="both"/>
        <w:rPr>
          <w:rFonts w:ascii="Noto Sans" w:eastAsiaTheme="minorHAnsi" w:hAnsi="Noto Sans" w:cs="Noto Sans"/>
          <w:sz w:val="22"/>
        </w:rPr>
      </w:pPr>
      <w:r w:rsidRPr="00DD5317">
        <w:rPr>
          <w:rFonts w:ascii="Noto Sans" w:eastAsiaTheme="minorHAnsi" w:hAnsi="Noto Sans" w:cs="Noto Sans"/>
          <w:sz w:val="22"/>
          <w:lang w:val="pt-PT"/>
        </w:rPr>
        <w:t>Para os fabricantes de produtos de construção, a utilização de normas globais, como o GS1 Digital Link, permite que mais dados sejam rastreados e associados aos produtos, facilitando a realização de recolhas específicas, se necessário. Os lotes com defeito podem ser identificados e localizados rapidamente, garantindo que apenas os produtos afetados sejam recolhidos, minimizando assim os potenciais custos para a empresa. Além disso, a rastreabilidade total permitirá também evitar os problemas associados à identificação dos edifícios afetados por problemas, tal como aconteceu após o incêndio no edifício Grenfell, em Londres.</w:t>
      </w:r>
    </w:p>
    <w:p w14:paraId="0470B9E5" w14:textId="77777777" w:rsidR="00DD5317" w:rsidRPr="00DD5317" w:rsidRDefault="00DD5317" w:rsidP="00DD5317">
      <w:pPr>
        <w:spacing w:after="160" w:line="276" w:lineRule="auto"/>
        <w:jc w:val="both"/>
        <w:rPr>
          <w:rFonts w:ascii="Noto Sans" w:eastAsiaTheme="minorHAnsi" w:hAnsi="Noto Sans" w:cs="Noto Sans"/>
          <w:sz w:val="22"/>
        </w:rPr>
      </w:pPr>
      <w:r w:rsidRPr="00DD5317">
        <w:rPr>
          <w:rFonts w:ascii="Noto Sans" w:eastAsiaTheme="minorHAnsi" w:hAnsi="Noto Sans" w:cs="Noto Sans"/>
          <w:sz w:val="22"/>
          <w:lang w:val="pt-PT"/>
        </w:rPr>
        <w:lastRenderedPageBreak/>
        <w:t xml:space="preserve">Esta riqueza de dados, quando acedida através de um identificador de produto, pode também contribuir para uma atividade de combate à contrafação muito mais eficaz, permitindo que os estaleiros de construção verifiquem a autenticidade dos materiais e utilizem, com confiança, produtos genuínos e seguros. Além disso, através da utilização de </w:t>
      </w:r>
      <w:r w:rsidRPr="00DD5317">
        <w:rPr>
          <w:rFonts w:ascii="Noto Sans" w:eastAsiaTheme="minorHAnsi" w:hAnsi="Noto Sans" w:cs="Noto Sans"/>
          <w:i/>
          <w:iCs/>
          <w:sz w:val="22"/>
          <w:lang w:val="pt-PT"/>
        </w:rPr>
        <w:t>resolvers</w:t>
      </w:r>
      <w:r w:rsidRPr="00DD5317">
        <w:rPr>
          <w:rFonts w:ascii="Noto Sans" w:eastAsiaTheme="minorHAnsi" w:hAnsi="Noto Sans" w:cs="Noto Sans"/>
          <w:sz w:val="22"/>
          <w:lang w:val="pt-PT"/>
        </w:rPr>
        <w:t xml:space="preserve">, permite que diferentes intervenientes acedam a diferentes conjuntos de dados ou páginas Web em diferentes pontos da cadeia de valor.  </w:t>
      </w:r>
    </w:p>
    <w:p w14:paraId="7398473A" w14:textId="77777777" w:rsidR="00DD5317" w:rsidRPr="00DD5317" w:rsidRDefault="00DD5317" w:rsidP="00DD5317">
      <w:pPr>
        <w:spacing w:after="160" w:line="276" w:lineRule="auto"/>
        <w:jc w:val="both"/>
        <w:rPr>
          <w:rFonts w:ascii="Noto Sans" w:eastAsiaTheme="minorHAnsi" w:hAnsi="Noto Sans" w:cs="Noto Sans"/>
          <w:b/>
          <w:bCs/>
          <w:sz w:val="22"/>
        </w:rPr>
      </w:pPr>
      <w:r w:rsidRPr="00DD5317">
        <w:rPr>
          <w:rFonts w:ascii="Noto Sans" w:eastAsiaTheme="minorHAnsi" w:hAnsi="Noto Sans" w:cs="Noto Sans"/>
          <w:b/>
          <w:bCs/>
          <w:sz w:val="22"/>
          <w:lang w:val="pt-PT"/>
        </w:rPr>
        <w:t>Utilizar a conformidade para obter vantagem competitiva</w:t>
      </w:r>
    </w:p>
    <w:p w14:paraId="33F16F63" w14:textId="77777777" w:rsidR="00DD5317" w:rsidRPr="00DD5317" w:rsidRDefault="00DD5317" w:rsidP="00DD5317">
      <w:pPr>
        <w:spacing w:after="160" w:line="276" w:lineRule="auto"/>
        <w:jc w:val="both"/>
        <w:rPr>
          <w:rFonts w:ascii="Noto Sans" w:eastAsiaTheme="minorHAnsi" w:hAnsi="Noto Sans" w:cs="Noto Sans"/>
          <w:sz w:val="22"/>
        </w:rPr>
      </w:pPr>
      <w:r w:rsidRPr="00DD5317">
        <w:rPr>
          <w:rFonts w:ascii="Noto Sans" w:eastAsiaTheme="minorHAnsi" w:hAnsi="Noto Sans" w:cs="Noto Sans"/>
          <w:sz w:val="22"/>
          <w:lang w:val="pt-PT"/>
        </w:rPr>
        <w:t xml:space="preserve">A introdução de identificadores detalhados exclusivos permitirá que as organizações de todo o setor da construção civil garantam o cumprimento dos novos e futuros regulamentos. No entanto, mais importante ainda, irá também alterar a forma como as organizações interagem e colaboram ao longo de toda a cadeia de abastecimento. A maior riqueza de informação que pode ser disponibilizada sobre os produtos, tanto ao nível do lote como de cada unidade individual, oferece aos fabricantes de materiais a oportunidade de se integrarem em toda a cadeia de abastecimento, proporcionando valor acrescentado às empresas de construção e criando um fator de diferenciação comercial concreto. </w:t>
      </w:r>
    </w:p>
    <w:p w14:paraId="504AF16B" w14:textId="77777777" w:rsidR="00DD5317" w:rsidRPr="00DD5317" w:rsidRDefault="00DD5317" w:rsidP="00DD5317">
      <w:pPr>
        <w:spacing w:after="160" w:line="276" w:lineRule="auto"/>
        <w:jc w:val="both"/>
        <w:rPr>
          <w:rFonts w:ascii="Noto Sans" w:eastAsiaTheme="minorHAnsi" w:hAnsi="Noto Sans" w:cs="Noto Sans"/>
          <w:sz w:val="22"/>
        </w:rPr>
      </w:pPr>
      <w:r w:rsidRPr="00DD5317">
        <w:rPr>
          <w:rFonts w:ascii="Noto Sans" w:eastAsiaTheme="minorHAnsi" w:hAnsi="Noto Sans" w:cs="Noto Sans"/>
          <w:sz w:val="22"/>
          <w:lang w:val="pt-PT"/>
        </w:rPr>
        <w:t>A disponibilização de informações sobre os produtos através da adoção de normas globais, tais como os códigos 2D baseados nos padrões da GS1, passará a ser não só um requisito de conformidade, mas também uma necessidade comercial. Atualmente, existe uma oportunidade incontornável para ultrapassar a perceção de que a conformidade representa apenas um custo adicional e reconhecer que os fabricantes de materiais e produtos para a construção podem gerar valor significativo ao longo de uma cadeia de abastecimento conectada e colaborativa.</w:t>
      </w:r>
    </w:p>
    <w:p w14:paraId="0F2D28E9" w14:textId="77777777" w:rsidR="00DD5317" w:rsidRDefault="00DD5317" w:rsidP="00DD5317">
      <w:pPr>
        <w:spacing w:after="160" w:line="259" w:lineRule="auto"/>
        <w:rPr>
          <w:rFonts w:ascii="Noto Sans" w:eastAsiaTheme="minorHAnsi" w:hAnsi="Noto Sans" w:cs="Noto Sans"/>
          <w:b/>
          <w:bCs/>
          <w:sz w:val="22"/>
          <w:lang w:val="pt-PT"/>
        </w:rPr>
      </w:pPr>
    </w:p>
    <w:p w14:paraId="0B328C57" w14:textId="5AC9B8BB" w:rsidR="00DD5317" w:rsidRPr="00DD5317" w:rsidRDefault="00DD5317" w:rsidP="00DD5317">
      <w:pPr>
        <w:spacing w:after="160" w:line="259" w:lineRule="auto"/>
        <w:rPr>
          <w:rFonts w:ascii="Noto Sans" w:eastAsiaTheme="minorHAnsi" w:hAnsi="Noto Sans" w:cs="Noto Sans"/>
          <w:sz w:val="22"/>
          <w:lang w:val="pt-PT"/>
        </w:rPr>
      </w:pPr>
      <w:r w:rsidRPr="00DD5317">
        <w:rPr>
          <w:rFonts w:ascii="Noto Sans" w:eastAsiaTheme="minorHAnsi" w:hAnsi="Noto Sans" w:cs="Noto Sans"/>
          <w:sz w:val="22"/>
          <w:lang w:val="pt-PT"/>
        </w:rPr>
        <w:t>&lt;</w:t>
      </w:r>
      <w:r w:rsidRPr="00DD5317">
        <w:rPr>
          <w:rFonts w:ascii="Noto Sans" w:eastAsiaTheme="minorHAnsi" w:hAnsi="Noto Sans" w:cs="Noto Sans"/>
          <w:b/>
          <w:bCs/>
          <w:sz w:val="22"/>
          <w:lang w:val="pt-PT"/>
        </w:rPr>
        <w:t>FIM</w:t>
      </w:r>
      <w:r>
        <w:rPr>
          <w:rFonts w:ascii="Noto Sans" w:eastAsiaTheme="minorHAnsi" w:hAnsi="Noto Sans" w:cs="Noto Sans"/>
          <w:b/>
          <w:bCs/>
          <w:sz w:val="22"/>
          <w:lang w:val="pt-PT"/>
        </w:rPr>
        <w:t>&gt;</w:t>
      </w:r>
    </w:p>
    <w:p w14:paraId="4D79F570" w14:textId="77777777" w:rsidR="00DD5317" w:rsidRPr="00DD5317" w:rsidRDefault="00DD5317" w:rsidP="00DD5317">
      <w:pPr>
        <w:spacing w:after="160" w:line="259" w:lineRule="auto"/>
        <w:rPr>
          <w:rFonts w:ascii="Noto Sans" w:eastAsiaTheme="minorHAnsi" w:hAnsi="Noto Sans" w:cs="Noto Sans"/>
          <w:b/>
          <w:bCs/>
          <w:sz w:val="22"/>
          <w:lang w:val="pt-PT"/>
        </w:rPr>
      </w:pPr>
    </w:p>
    <w:p w14:paraId="7E2545B9" w14:textId="77777777" w:rsidR="00DD5317" w:rsidRDefault="00DD5317" w:rsidP="00DD5317">
      <w:pPr>
        <w:spacing w:line="240" w:lineRule="auto"/>
        <w:rPr>
          <w:rFonts w:ascii="Noto Sans" w:eastAsiaTheme="minorHAnsi" w:hAnsi="Noto Sans" w:cs="Noto Sans"/>
          <w:b/>
          <w:bCs/>
          <w:sz w:val="22"/>
          <w:lang w:val="pt-PT"/>
        </w:rPr>
      </w:pPr>
    </w:p>
    <w:p w14:paraId="6EEF5C11" w14:textId="3AB99F69" w:rsidR="00DD5317" w:rsidRPr="00DD5317" w:rsidRDefault="00DD5317" w:rsidP="00DD5317">
      <w:pPr>
        <w:spacing w:line="240" w:lineRule="auto"/>
        <w:rPr>
          <w:rFonts w:ascii="Noto Sans" w:eastAsiaTheme="minorHAnsi" w:hAnsi="Noto Sans" w:cs="Noto Sans"/>
          <w:sz w:val="22"/>
          <w:lang w:val="pt-PT"/>
        </w:rPr>
      </w:pPr>
      <w:r w:rsidRPr="00DD5317">
        <w:rPr>
          <w:rFonts w:ascii="Noto Sans" w:eastAsiaTheme="minorHAnsi" w:hAnsi="Noto Sans" w:cs="Noto Sans"/>
          <w:b/>
          <w:bCs/>
          <w:sz w:val="22"/>
          <w:lang w:val="pt-PT"/>
        </w:rPr>
        <w:t xml:space="preserve"> </w:t>
      </w:r>
      <w:bookmarkStart w:id="0" w:name="_Hlk531088985"/>
      <w:bookmarkStart w:id="1" w:name="_Hlk61949672"/>
      <w:r w:rsidRPr="00DD5317">
        <w:rPr>
          <w:rFonts w:ascii="Noto Sans" w:hAnsi="Noto Sans" w:cs="Noto Sans"/>
          <w:b/>
          <w:bCs/>
          <w:sz w:val="20"/>
          <w:szCs w:val="20"/>
          <w:lang w:val="pt"/>
        </w:rPr>
        <w:t>Isenção de responsabilidade</w:t>
      </w:r>
      <w:bookmarkEnd w:id="0"/>
      <w:r w:rsidRPr="00DD5317">
        <w:rPr>
          <w:rFonts w:ascii="Noto Sans" w:hAnsi="Noto Sans" w:cs="Noto Sans"/>
          <w:sz w:val="20"/>
          <w:szCs w:val="20"/>
          <w:lang w:val="pt"/>
        </w:rPr>
        <w:br/>
      </w:r>
      <w:r w:rsidRPr="00DD5317">
        <w:rPr>
          <w:rFonts w:ascii="Noto Sans" w:hAnsi="Noto Sans" w:cs="Noto Sans"/>
          <w:sz w:val="20"/>
          <w:szCs w:val="20"/>
          <w:lang w:val="pt"/>
        </w:rPr>
        <w:br/>
      </w:r>
      <w:r w:rsidRPr="00DD5317">
        <w:rPr>
          <w:rFonts w:ascii="Noto Sans" w:hAnsi="Noto Sans" w:cs="Noto Sans"/>
          <w:b/>
          <w:bCs/>
          <w:sz w:val="20"/>
          <w:szCs w:val="20"/>
          <w:lang w:val="pt"/>
        </w:rPr>
        <w:t>Tintas</w:t>
      </w:r>
      <w:r w:rsidRPr="00DD5317">
        <w:rPr>
          <w:rFonts w:ascii="Noto Sans" w:hAnsi="Noto Sans" w:cs="Noto Sans"/>
          <w:sz w:val="20"/>
          <w:szCs w:val="20"/>
          <w:lang w:val="pt"/>
        </w:rPr>
        <w:br/>
        <w:t xml:space="preserve">As informações que se encontram no presente documento não devem substituir a realização dos testes adequados às suas circunstâncias e usos específicos. A Domino Portugal – Tecnologias de Codificação, S.A. e as empresas do grupo Domino não serão, de forma alguma, responsáveis por qualquer tipo de confiança depositada neste documento em relação à adequação de qualquer uma das nossas tintas à sua aplicação em particular. O presente </w:t>
      </w:r>
      <w:r w:rsidRPr="00DD5317">
        <w:rPr>
          <w:rFonts w:ascii="Noto Sans" w:hAnsi="Noto Sans" w:cs="Noto Sans"/>
          <w:sz w:val="20"/>
          <w:szCs w:val="20"/>
          <w:lang w:val="pt"/>
        </w:rPr>
        <w:lastRenderedPageBreak/>
        <w:t xml:space="preserve">documento não faz parte de quaisquer termos e condições celebrados entre si e a Domino Portugal. Exclusões de responsabilidade v.1.0 Fevereiro 2018. Os Termos e Condições de venda da Domino, em particular as garantias e responsabilidades presentes nos mesmos, dever-se-ão aplicar a qualquer uma das suas compras de produtos. </w:t>
      </w:r>
      <w:r w:rsidRPr="00DD5317">
        <w:rPr>
          <w:rFonts w:ascii="Noto Sans" w:hAnsi="Noto Sans" w:cs="Noto Sans"/>
          <w:sz w:val="20"/>
          <w:szCs w:val="20"/>
          <w:lang w:val="pt"/>
        </w:rPr>
        <w:br/>
      </w:r>
      <w:r w:rsidRPr="00DD5317">
        <w:rPr>
          <w:rFonts w:ascii="Noto Sans" w:hAnsi="Noto Sans" w:cs="Noto Sans"/>
          <w:sz w:val="20"/>
          <w:szCs w:val="20"/>
          <w:lang w:val="pt"/>
        </w:rPr>
        <w:br/>
      </w:r>
      <w:r w:rsidRPr="00DD5317">
        <w:rPr>
          <w:rFonts w:ascii="Noto Sans" w:hAnsi="Noto Sans" w:cs="Noto Sans"/>
          <w:b/>
          <w:bCs/>
          <w:sz w:val="20"/>
          <w:szCs w:val="20"/>
          <w:lang w:val="pt"/>
        </w:rPr>
        <w:t>Geral</w:t>
      </w:r>
      <w:r w:rsidRPr="00DD5317">
        <w:rPr>
          <w:rFonts w:ascii="Noto Sans" w:hAnsi="Noto Sans" w:cs="Noto Sans"/>
          <w:sz w:val="20"/>
          <w:szCs w:val="20"/>
          <w:lang w:val="pt"/>
        </w:rPr>
        <w:br/>
        <w:t xml:space="preserve">As informações constantes no presente comunicado de imprensa são consideradas verdadeiras e corretas à data da publicação pela Domino. Qualquer alteração verificada após a data da publicação pode afetar a exatidão destas informações. Todos os valores em termos de desempenho e alegações citados no presente documento foram obtidos sob condições específicas e apenas poderão ser repetidos sob condições semelhantes. Para obter detalhes específicos do produto, deve entrar em contacto com o seu Account Manager da Domino Portugal. O presente documento não faz parte de quaisquer termos e condições celebrados entre si e a Domino Portugal. </w:t>
      </w:r>
      <w:r w:rsidRPr="00DD5317">
        <w:rPr>
          <w:rFonts w:ascii="Noto Sans" w:hAnsi="Noto Sans" w:cs="Noto Sans"/>
          <w:sz w:val="20"/>
          <w:szCs w:val="20"/>
          <w:lang w:val="pt"/>
        </w:rPr>
        <w:br/>
      </w:r>
      <w:r w:rsidRPr="00DD5317">
        <w:rPr>
          <w:rFonts w:ascii="Noto Sans" w:hAnsi="Noto Sans" w:cs="Noto Sans"/>
          <w:sz w:val="20"/>
          <w:szCs w:val="20"/>
          <w:lang w:val="pt"/>
        </w:rPr>
        <w:br/>
      </w:r>
      <w:r w:rsidRPr="00DD5317">
        <w:rPr>
          <w:rFonts w:ascii="Noto Sans" w:hAnsi="Noto Sans" w:cs="Noto Sans"/>
          <w:b/>
          <w:bCs/>
          <w:sz w:val="20"/>
          <w:szCs w:val="20"/>
          <w:lang w:val="pt"/>
        </w:rPr>
        <w:t>Imagens</w:t>
      </w:r>
      <w:r w:rsidRPr="00DD5317">
        <w:rPr>
          <w:rFonts w:ascii="Noto Sans" w:hAnsi="Noto Sans" w:cs="Noto Sans"/>
          <w:sz w:val="20"/>
          <w:szCs w:val="20"/>
          <w:lang w:val="pt"/>
        </w:rPr>
        <w:br/>
        <w:t xml:space="preserve">As imagens podem incluir melhorias ou extras opcionais. A qualidade de impressão pode variar de acordo com os consumíveis, o equipamento, a superfície e outros fatores. As imagens e fotografias não fazem parte de quaisquer termos e condições celebrados entre si e a Domino Portugal. </w:t>
      </w:r>
      <w:r w:rsidRPr="00DD5317">
        <w:rPr>
          <w:rFonts w:ascii="Noto Sans" w:hAnsi="Noto Sans" w:cs="Noto Sans"/>
          <w:sz w:val="20"/>
          <w:szCs w:val="20"/>
          <w:lang w:val="pt"/>
        </w:rPr>
        <w:br/>
      </w:r>
      <w:r w:rsidRPr="00DD5317">
        <w:rPr>
          <w:rFonts w:ascii="Noto Sans" w:hAnsi="Noto Sans" w:cs="Noto Sans"/>
          <w:sz w:val="20"/>
          <w:szCs w:val="20"/>
          <w:lang w:val="pt"/>
        </w:rPr>
        <w:br/>
      </w:r>
      <w:r w:rsidRPr="00DD5317">
        <w:rPr>
          <w:rFonts w:ascii="Noto Sans" w:hAnsi="Noto Sans" w:cs="Noto Sans"/>
          <w:b/>
          <w:bCs/>
          <w:sz w:val="20"/>
          <w:szCs w:val="20"/>
          <w:lang w:val="pt"/>
        </w:rPr>
        <w:t>Vídeos</w:t>
      </w:r>
      <w:r w:rsidRPr="00DD5317">
        <w:rPr>
          <w:rFonts w:ascii="Noto Sans" w:hAnsi="Noto Sans" w:cs="Noto Sans"/>
          <w:sz w:val="20"/>
          <w:szCs w:val="20"/>
          <w:lang w:val="pt"/>
        </w:rPr>
        <w:br/>
        <w:t>Este vídeo é apenas ilustrativo e pode incluir extras opcionais. Os valores relativos ao desempenho foram obtidos sob condições específicas; o desempenho individual pode variar. Os erros e as paragens das linhas de produção podem ser inevitáveis. Nada do que se encontra neste vídeo faz parte de qualquer contrato celebrado entre si e a Domino Portugal.</w:t>
      </w:r>
      <w:r w:rsidRPr="00DD5317">
        <w:rPr>
          <w:rFonts w:ascii="Noto Sans" w:eastAsia="Gill Sans" w:hAnsi="Noto Sans" w:cs="Noto Sans"/>
          <w:sz w:val="20"/>
          <w:szCs w:val="20"/>
          <w:lang w:val="es-ES"/>
        </w:rPr>
        <w:br/>
      </w:r>
      <w:r w:rsidRPr="00DD5317">
        <w:rPr>
          <w:rFonts w:ascii="Noto Sans" w:eastAsia="Gill Sans" w:hAnsi="Noto Sans" w:cs="Noto Sans"/>
          <w:b/>
          <w:sz w:val="20"/>
          <w:szCs w:val="20"/>
          <w:lang w:val="es-ES"/>
        </w:rPr>
        <w:br/>
      </w:r>
      <w:r w:rsidRPr="00DD5317">
        <w:rPr>
          <w:rFonts w:ascii="Noto Sans" w:eastAsia="Gill Sans" w:hAnsi="Noto Sans" w:cs="Noto Sans"/>
          <w:b/>
          <w:bCs/>
          <w:sz w:val="20"/>
          <w:szCs w:val="20"/>
          <w:lang w:val="pt-PT"/>
        </w:rPr>
        <w:t>Notas para os editores:</w:t>
      </w:r>
      <w:r w:rsidRPr="00DD5317">
        <w:rPr>
          <w:rFonts w:ascii="Noto Sans" w:eastAsia="Gill Sans" w:hAnsi="Noto Sans" w:cs="Noto Sans"/>
          <w:b/>
          <w:sz w:val="20"/>
          <w:szCs w:val="20"/>
          <w:lang w:val="es-ES"/>
        </w:rPr>
        <w:br/>
      </w:r>
      <w:r w:rsidRPr="00DD5317">
        <w:rPr>
          <w:rFonts w:ascii="Noto Sans" w:eastAsia="Gill Sans" w:hAnsi="Noto Sans" w:cs="Noto Sans"/>
          <w:sz w:val="20"/>
          <w:szCs w:val="20"/>
          <w:lang w:val="es-ES"/>
        </w:rPr>
        <w:br/>
      </w:r>
      <w:r w:rsidRPr="00DD5317">
        <w:rPr>
          <w:rFonts w:ascii="Noto Sans" w:hAnsi="Noto Sans" w:cs="Noto Sans"/>
          <w:b/>
          <w:bCs/>
          <w:color w:val="000000" w:themeColor="text1"/>
          <w:sz w:val="20"/>
          <w:szCs w:val="20"/>
          <w:lang w:val="pt"/>
        </w:rPr>
        <w:t>Acerca da Domino</w:t>
      </w:r>
      <w:r w:rsidRPr="00DD5317">
        <w:rPr>
          <w:rFonts w:ascii="Noto Sans" w:hAnsi="Noto Sans" w:cs="Noto Sans"/>
          <w:b/>
          <w:bCs/>
          <w:color w:val="000000" w:themeColor="text1"/>
          <w:sz w:val="20"/>
          <w:szCs w:val="20"/>
          <w:lang w:val="pt"/>
        </w:rPr>
        <w:br/>
      </w:r>
      <w:r w:rsidRPr="00DD5317">
        <w:rPr>
          <w:rFonts w:ascii="Noto Sans" w:hAnsi="Noto Sans" w:cs="Noto Sans"/>
          <w:sz w:val="20"/>
          <w:szCs w:val="20"/>
          <w:lang w:val="pt"/>
        </w:rPr>
        <w:t xml:space="preserve">Desde 1978, a Domino Printing Sciences (Domino) estabeleceu uma reputação global relativamente ao desenvolvimento e fabrico de tecnologias de codificação, marcação e impressão, revelando um idêntico prestígio nos seus produtos de pós-venda e de apoio ao cliente a nível mundial. Atualmente, a Domino oferece uma das mais abrangentes gamas de soluções de codificação, desenvolvidas com o objetivo de satisfazer os requisitos de conformidade e produtividade dos fabricantes em inúmeros setores, incluindo bebidas, produtos alimentares, farmacêuticos e industriais. As principais tecnologias da empresa incluem sistemas inovadores de impressão a jato de tinta, impressão a laser, impressão e aplicação, e impressão por transferência térmica desenvolvidos para a aplicação de dados variáveis, códigos de barras e códigos de rastreabilidade exclusivos em produtos e embalagens. </w:t>
      </w:r>
      <w:r w:rsidRPr="00DD5317">
        <w:rPr>
          <w:rFonts w:ascii="Noto Sans" w:hAnsi="Noto Sans" w:cs="Noto Sans"/>
          <w:sz w:val="20"/>
          <w:szCs w:val="20"/>
          <w:lang w:val="pt"/>
        </w:rPr>
        <w:br/>
      </w:r>
      <w:r w:rsidRPr="00DD5317">
        <w:rPr>
          <w:rFonts w:ascii="Noto Sans" w:hAnsi="Noto Sans" w:cs="Noto Sans"/>
          <w:sz w:val="20"/>
          <w:szCs w:val="20"/>
          <w:lang w:val="pt"/>
        </w:rPr>
        <w:br/>
        <w:t>A Domino emprega mais de 3 000 pessoas em todo o mundo e comercializa para mais de 120 países através de uma rede global de 29 filiais e mais de 200 distribuidores. As instalações de fabrico da Domino localizam-se na Alemanha, China, EUA, Índia, Reino Unido, Suécia e Suíça.</w:t>
      </w:r>
      <w:r w:rsidRPr="00DD5317">
        <w:rPr>
          <w:rFonts w:ascii="Noto Sans" w:hAnsi="Noto Sans" w:cs="Noto Sans"/>
          <w:sz w:val="20"/>
          <w:szCs w:val="20"/>
          <w:lang w:val="pt"/>
        </w:rPr>
        <w:br/>
      </w:r>
      <w:r w:rsidRPr="00DD5317">
        <w:rPr>
          <w:rFonts w:ascii="Noto Sans" w:hAnsi="Noto Sans" w:cs="Noto Sans"/>
          <w:sz w:val="20"/>
          <w:szCs w:val="20"/>
          <w:lang w:val="pt"/>
        </w:rPr>
        <w:br/>
      </w:r>
      <w:r w:rsidRPr="00DD5317">
        <w:rPr>
          <w:rFonts w:ascii="Noto Sans" w:hAnsi="Noto Sans" w:cs="Noto Sans"/>
          <w:sz w:val="20"/>
          <w:szCs w:val="20"/>
          <w:lang w:val="pt"/>
        </w:rPr>
        <w:lastRenderedPageBreak/>
        <w:t xml:space="preserve">A Domino tornou-se uma divisão independente da Brother Industries Ltd. a 11 de junho de 2015. </w:t>
      </w:r>
      <w:r w:rsidRPr="00DD5317">
        <w:rPr>
          <w:rFonts w:ascii="Noto Sans" w:hAnsi="Noto Sans" w:cs="Noto Sans"/>
          <w:sz w:val="20"/>
          <w:szCs w:val="20"/>
          <w:lang w:val="pt"/>
        </w:rPr>
        <w:br/>
      </w:r>
      <w:r w:rsidRPr="00DD5317">
        <w:rPr>
          <w:rFonts w:ascii="Noto Sans" w:hAnsi="Noto Sans" w:cs="Noto Sans"/>
          <w:sz w:val="20"/>
          <w:szCs w:val="20"/>
          <w:lang w:val="pt"/>
        </w:rPr>
        <w:br/>
        <w:t>Para obter mais informações sobre a Domino,</w:t>
      </w:r>
      <w:r w:rsidRPr="00DD5317">
        <w:rPr>
          <w:rFonts w:ascii="Noto Sans" w:hAnsi="Noto Sans" w:cs="Noto Sans"/>
          <w:sz w:val="20"/>
          <w:szCs w:val="20"/>
          <w:lang w:val="pt"/>
        </w:rPr>
        <w:br/>
        <w:t xml:space="preserve">visite </w:t>
      </w:r>
      <w:hyperlink r:id="rId9" w:history="1">
        <w:r w:rsidRPr="00DD5317">
          <w:rPr>
            <w:rStyle w:val="Hyperlink"/>
            <w:rFonts w:ascii="Noto Sans" w:hAnsi="Noto Sans" w:cs="Noto Sans"/>
            <w:sz w:val="20"/>
            <w:szCs w:val="20"/>
            <w:lang w:val="pt"/>
          </w:rPr>
          <w:t>www.domino-printing.com</w:t>
        </w:r>
      </w:hyperlink>
      <w:r w:rsidRPr="00DD5317">
        <w:rPr>
          <w:rFonts w:ascii="Noto Sans" w:hAnsi="Noto Sans" w:cs="Noto Sans"/>
          <w:sz w:val="20"/>
          <w:szCs w:val="20"/>
          <w:lang w:val="pt"/>
        </w:rPr>
        <w:t xml:space="preserve"> </w:t>
      </w:r>
      <w:r w:rsidRPr="00DD5317">
        <w:rPr>
          <w:rFonts w:ascii="Noto Sans" w:hAnsi="Noto Sans" w:cs="Noto Sans"/>
          <w:sz w:val="20"/>
          <w:szCs w:val="20"/>
          <w:lang w:val="pt"/>
        </w:rPr>
        <w:br/>
      </w:r>
      <w:r w:rsidRPr="00DD5317">
        <w:rPr>
          <w:rFonts w:ascii="Noto Sans" w:hAnsi="Noto Sans" w:cs="Noto Sans"/>
          <w:sz w:val="20"/>
          <w:szCs w:val="20"/>
          <w:lang w:val="pt"/>
        </w:rPr>
        <w:br/>
      </w:r>
      <w:r w:rsidRPr="00DD5317">
        <w:rPr>
          <w:rFonts w:ascii="Noto Sans" w:hAnsi="Noto Sans" w:cs="Noto Sans"/>
          <w:b/>
          <w:bCs/>
          <w:sz w:val="20"/>
          <w:szCs w:val="20"/>
          <w:lang w:val="pt"/>
        </w:rPr>
        <w:t>Deverá contactar:</w:t>
      </w:r>
      <w:r w:rsidRPr="00DD5317">
        <w:rPr>
          <w:rFonts w:ascii="Noto Sans" w:hAnsi="Noto Sans" w:cs="Noto Sans"/>
          <w:sz w:val="20"/>
          <w:szCs w:val="20"/>
          <w:lang w:val="pt"/>
        </w:rPr>
        <w:br/>
      </w:r>
      <w:r w:rsidRPr="00DD5317">
        <w:rPr>
          <w:rFonts w:ascii="Noto Sans" w:hAnsi="Noto Sans" w:cs="Noto Sans"/>
          <w:sz w:val="20"/>
          <w:szCs w:val="20"/>
          <w:lang w:val="pt"/>
        </w:rPr>
        <w:br/>
        <w:t>Jade Taylor-Salazar</w:t>
      </w:r>
      <w:r w:rsidRPr="00DD5317">
        <w:rPr>
          <w:rFonts w:ascii="Noto Sans" w:hAnsi="Noto Sans" w:cs="Noto Sans"/>
          <w:sz w:val="20"/>
          <w:szCs w:val="20"/>
          <w:lang w:val="pt"/>
        </w:rPr>
        <w:br/>
        <w:t xml:space="preserve">PR and Content Manager </w:t>
      </w:r>
      <w:r w:rsidRPr="00DD5317">
        <w:rPr>
          <w:rFonts w:ascii="Noto Sans" w:hAnsi="Noto Sans" w:cs="Noto Sans"/>
          <w:sz w:val="20"/>
          <w:szCs w:val="20"/>
          <w:lang w:val="pt"/>
        </w:rPr>
        <w:br/>
        <w:t xml:space="preserve">Domino Printing Sciences </w:t>
      </w:r>
      <w:r w:rsidRPr="00DD5317">
        <w:rPr>
          <w:rFonts w:ascii="Noto Sans" w:hAnsi="Noto Sans" w:cs="Noto Sans"/>
          <w:sz w:val="20"/>
          <w:szCs w:val="20"/>
          <w:lang w:val="pt"/>
        </w:rPr>
        <w:br/>
        <w:t>Tel.: +44 (0) 1954 778 780</w:t>
      </w:r>
      <w:r w:rsidRPr="00DD5317">
        <w:rPr>
          <w:rFonts w:ascii="Noto Sans" w:hAnsi="Noto Sans" w:cs="Noto Sans"/>
          <w:sz w:val="20"/>
          <w:szCs w:val="20"/>
          <w:lang w:val="pt"/>
        </w:rPr>
        <w:br/>
      </w:r>
      <w:hyperlink r:id="rId10" w:history="1">
        <w:r w:rsidRPr="00DD5317">
          <w:rPr>
            <w:rStyle w:val="Hyperlink"/>
            <w:rFonts w:ascii="Noto Sans" w:hAnsi="Noto Sans" w:cs="Noto Sans"/>
            <w:sz w:val="20"/>
            <w:szCs w:val="20"/>
            <w:lang w:val="pt"/>
          </w:rPr>
          <w:t>Jade.Taylor-Salazar@domino-uk.com</w:t>
        </w:r>
      </w:hyperlink>
      <w:r w:rsidRPr="00DD5317">
        <w:rPr>
          <w:rFonts w:ascii="Noto Sans" w:hAnsi="Noto Sans" w:cs="Noto Sans"/>
          <w:sz w:val="20"/>
          <w:szCs w:val="20"/>
          <w:lang w:val="pt"/>
        </w:rPr>
        <w:t xml:space="preserve"> </w:t>
      </w:r>
      <w:r w:rsidRPr="00DD5317">
        <w:rPr>
          <w:rFonts w:ascii="Noto Sans" w:hAnsi="Noto Sans" w:cs="Noto Sans"/>
          <w:sz w:val="20"/>
          <w:szCs w:val="20"/>
          <w:lang w:val="pt"/>
        </w:rPr>
        <w:br/>
      </w:r>
      <w:r w:rsidRPr="00DD5317">
        <w:rPr>
          <w:rFonts w:ascii="Noto Sans" w:hAnsi="Noto Sans" w:cs="Noto Sans"/>
          <w:sz w:val="20"/>
          <w:szCs w:val="20"/>
          <w:lang w:val="pt"/>
        </w:rPr>
        <w:br/>
      </w:r>
      <w:r w:rsidRPr="00DD5317">
        <w:rPr>
          <w:rFonts w:ascii="Noto Sans" w:eastAsiaTheme="minorHAnsi" w:hAnsi="Noto Sans" w:cs="Noto Sans"/>
          <w:sz w:val="20"/>
          <w:szCs w:val="20"/>
          <w:lang w:val="pt-PT"/>
        </w:rPr>
        <w:t>Daniela Ribeiro</w:t>
      </w:r>
      <w:r w:rsidRPr="00DD5317">
        <w:rPr>
          <w:rFonts w:ascii="Noto Sans" w:eastAsiaTheme="minorHAnsi" w:hAnsi="Noto Sans" w:cs="Noto Sans"/>
          <w:sz w:val="20"/>
          <w:szCs w:val="20"/>
          <w:lang w:val="pt-PT"/>
        </w:rPr>
        <w:br/>
        <w:t>Marketing and Communications Executive</w:t>
      </w:r>
      <w:r w:rsidRPr="00DD5317">
        <w:rPr>
          <w:rFonts w:ascii="Noto Sans" w:eastAsiaTheme="minorHAnsi" w:hAnsi="Noto Sans" w:cs="Noto Sans"/>
          <w:sz w:val="20"/>
          <w:szCs w:val="20"/>
          <w:lang w:val="pt-PT"/>
        </w:rPr>
        <w:br/>
        <w:t>Domino Portugal</w:t>
      </w:r>
      <w:r w:rsidRPr="00DD5317">
        <w:rPr>
          <w:rFonts w:ascii="Noto Sans" w:eastAsiaTheme="minorHAnsi" w:hAnsi="Noto Sans" w:cs="Noto Sans"/>
          <w:sz w:val="20"/>
          <w:szCs w:val="20"/>
          <w:lang w:val="pt-PT"/>
        </w:rPr>
        <w:br/>
        <w:t>Tel.: +351 919866148</w:t>
      </w:r>
      <w:r w:rsidRPr="00DD5317">
        <w:rPr>
          <w:rFonts w:ascii="Noto Sans" w:eastAsiaTheme="minorHAnsi" w:hAnsi="Noto Sans" w:cs="Noto Sans"/>
          <w:sz w:val="20"/>
          <w:szCs w:val="20"/>
          <w:lang w:val="pt-PT"/>
        </w:rPr>
        <w:br/>
      </w:r>
      <w:hyperlink r:id="rId11" w:history="1">
        <w:r w:rsidRPr="00DD5317">
          <w:rPr>
            <w:rStyle w:val="Hyperlink"/>
            <w:rFonts w:ascii="Noto Sans" w:eastAsiaTheme="minorHAnsi" w:hAnsi="Noto Sans" w:cs="Noto Sans"/>
            <w:sz w:val="20"/>
            <w:szCs w:val="20"/>
            <w:lang w:val="pt-PT"/>
          </w:rPr>
          <w:t>Daniela.Ribeiro@domino-portugal.com</w:t>
        </w:r>
      </w:hyperlink>
      <w:r w:rsidRPr="00DD5317">
        <w:rPr>
          <w:rFonts w:ascii="Noto Sans" w:eastAsiaTheme="minorHAnsi" w:hAnsi="Noto Sans" w:cs="Noto Sans"/>
          <w:sz w:val="22"/>
          <w:lang w:val="pt-PT"/>
        </w:rPr>
        <w:t xml:space="preserve"> </w:t>
      </w:r>
    </w:p>
    <w:p w14:paraId="6FABE7D1" w14:textId="77777777" w:rsidR="00DD5317" w:rsidRPr="00DD5317" w:rsidRDefault="00DD5317" w:rsidP="00DD5317">
      <w:pPr>
        <w:spacing w:after="160" w:line="240" w:lineRule="auto"/>
        <w:rPr>
          <w:rFonts w:ascii="Noto Sans" w:eastAsiaTheme="minorHAnsi" w:hAnsi="Noto Sans" w:cs="Noto Sans"/>
          <w:color w:val="0D0D0D" w:themeColor="text1" w:themeTint="F2"/>
          <w:sz w:val="20"/>
          <w:szCs w:val="20"/>
          <w:lang w:val="pt-PT"/>
        </w:rPr>
      </w:pPr>
    </w:p>
    <w:bookmarkEnd w:id="1"/>
    <w:p w14:paraId="661C8882" w14:textId="30E92FA4" w:rsidR="00DD5317" w:rsidRPr="00DD5317" w:rsidRDefault="00DD5317" w:rsidP="00DD5317">
      <w:pPr>
        <w:spacing w:after="160" w:line="259" w:lineRule="auto"/>
        <w:rPr>
          <w:rFonts w:ascii="Noto Sans" w:eastAsiaTheme="minorHAnsi" w:hAnsi="Noto Sans" w:cs="Noto Sans"/>
          <w:sz w:val="22"/>
        </w:rPr>
      </w:pPr>
    </w:p>
    <w:p w14:paraId="53EB7C38" w14:textId="77777777" w:rsidR="005524DB" w:rsidRPr="00DD5317" w:rsidRDefault="005524DB" w:rsidP="008E7573">
      <w:pPr>
        <w:rPr>
          <w:rFonts w:ascii="Noto Sans" w:hAnsi="Noto Sans" w:cs="Noto Sans"/>
        </w:rPr>
      </w:pPr>
    </w:p>
    <w:sectPr w:rsidR="005524DB" w:rsidRPr="00DD5317" w:rsidSect="000F6D0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190B2" w14:textId="77777777" w:rsidR="008A0ED7" w:rsidRDefault="008A0ED7" w:rsidP="00785717">
      <w:pPr>
        <w:spacing w:line="240" w:lineRule="auto"/>
      </w:pPr>
      <w:r>
        <w:separator/>
      </w:r>
    </w:p>
  </w:endnote>
  <w:endnote w:type="continuationSeparator" w:id="0">
    <w:p w14:paraId="35A60181" w14:textId="77777777" w:rsidR="008A0ED7" w:rsidRDefault="008A0ED7"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82FF" w:usb1="4000205F" w:usb2="08000029" w:usb3="00000000" w:csb0="0000019F" w:csb1="00000000"/>
  </w:font>
  <w:font w:name="Gill Sans">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912F0" w14:textId="77777777" w:rsidR="008A0ED7" w:rsidRDefault="008A0ED7" w:rsidP="00785717">
      <w:pPr>
        <w:spacing w:line="240" w:lineRule="auto"/>
      </w:pPr>
      <w:r>
        <w:separator/>
      </w:r>
    </w:p>
  </w:footnote>
  <w:footnote w:type="continuationSeparator" w:id="0">
    <w:p w14:paraId="0328A09A" w14:textId="77777777" w:rsidR="008A0ED7" w:rsidRDefault="008A0ED7"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2201E"/>
    <w:rsid w:val="000F6D00"/>
    <w:rsid w:val="00113106"/>
    <w:rsid w:val="00176E1F"/>
    <w:rsid w:val="001D743C"/>
    <w:rsid w:val="002766D9"/>
    <w:rsid w:val="002C3337"/>
    <w:rsid w:val="00372E92"/>
    <w:rsid w:val="005272B1"/>
    <w:rsid w:val="005524DB"/>
    <w:rsid w:val="005741C7"/>
    <w:rsid w:val="0060122E"/>
    <w:rsid w:val="00647055"/>
    <w:rsid w:val="00660F46"/>
    <w:rsid w:val="00682566"/>
    <w:rsid w:val="00701D36"/>
    <w:rsid w:val="00785717"/>
    <w:rsid w:val="007A4E85"/>
    <w:rsid w:val="008220B7"/>
    <w:rsid w:val="00823B77"/>
    <w:rsid w:val="008916A8"/>
    <w:rsid w:val="008A0ED7"/>
    <w:rsid w:val="008B6461"/>
    <w:rsid w:val="008E7573"/>
    <w:rsid w:val="008F3E38"/>
    <w:rsid w:val="008F74D8"/>
    <w:rsid w:val="00931996"/>
    <w:rsid w:val="00943A95"/>
    <w:rsid w:val="009A1716"/>
    <w:rsid w:val="009A1DEC"/>
    <w:rsid w:val="009D6280"/>
    <w:rsid w:val="009E564D"/>
    <w:rsid w:val="00A34918"/>
    <w:rsid w:val="00AB11DA"/>
    <w:rsid w:val="00B23C3C"/>
    <w:rsid w:val="00B546C5"/>
    <w:rsid w:val="00BC7C15"/>
    <w:rsid w:val="00C063FE"/>
    <w:rsid w:val="00C44603"/>
    <w:rsid w:val="00C541FE"/>
    <w:rsid w:val="00CF1AD5"/>
    <w:rsid w:val="00DD5317"/>
    <w:rsid w:val="00E03029"/>
    <w:rsid w:val="00EC1C5A"/>
    <w:rsid w:val="00F82F7D"/>
    <w:rsid w:val="00FC5C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C5FE791E-4976-45BD-8795-31D7E3D9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character" w:styleId="CommentReference">
    <w:name w:val="annotation reference"/>
    <w:basedOn w:val="DefaultParagraphFont"/>
    <w:uiPriority w:val="99"/>
    <w:semiHidden/>
    <w:unhideWhenUsed/>
    <w:rsid w:val="00DD5317"/>
    <w:rPr>
      <w:sz w:val="16"/>
      <w:szCs w:val="16"/>
    </w:rPr>
  </w:style>
  <w:style w:type="paragraph" w:styleId="CommentText">
    <w:name w:val="annotation text"/>
    <w:basedOn w:val="Normal"/>
    <w:link w:val="CommentTextChar"/>
    <w:uiPriority w:val="99"/>
    <w:unhideWhenUsed/>
    <w:rsid w:val="00DD5317"/>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DD531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e.gov.uk/construction/healthrisks/hazardous-substances/cement.ht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domino-printing.com/pt-pt/home.aspx?utm_medium=non-paid&amp;utm_source=onlinepublication&amp;utm_content=bandc-beyond-compliance-tlp-pt&amp;utm_campaign=2026-int-pt-global-pr-cm-fy26-q1"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www.domino-printing.com/pt-pt/blog/2025/construcao-mais-inteligente-o-papel-dos-codigos-2d-para-otimizar-a-coordenacao?utm_medium=non-paid&amp;utm_source=onlinepublication&amp;utm_content=bandc-beyond-compliance-tlp-pt&amp;utm_campaign=2026-int-pt-global-pr-cm-fy26-q1" TargetMode="External"/><Relationship Id="rId11" Type="http://schemas.openxmlformats.org/officeDocument/2006/relationships/hyperlink" Target="mailto:Daniela.Ribeiro@domino-portugal.com"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mailto:Jade.Taylor-Salazar@domino-uk.co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domino-printing.pt"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_Taylor-Salazar\AppData\Roaming\Microsoft\Templates\header%20and%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header and footer</Template>
  <TotalTime>5</TotalTime>
  <Pages>6</Pages>
  <Words>2069</Words>
  <Characters>11799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Jade Taylor-Salazar</cp:lastModifiedBy>
  <cp:revision>3</cp:revision>
  <dcterms:created xsi:type="dcterms:W3CDTF">2026-07-28T08:35:00Z</dcterms:created>
  <dcterms:modified xsi:type="dcterms:W3CDTF">2026-08-07T14:13:00Z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ies>
</file>