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70FCE9" w14:textId="77777777" w:rsidR="009851A2" w:rsidRPr="009851A2" w:rsidRDefault="009851A2" w:rsidP="009851A2">
      <w:pPr>
        <w:spacing w:after="160" w:line="276" w:lineRule="auto"/>
        <w:rPr>
          <w:rFonts w:ascii="Noto Sans" w:eastAsiaTheme="minorHAnsi" w:hAnsi="Noto Sans" w:cs="Noto Sans"/>
          <w:sz w:val="28"/>
          <w:szCs w:val="28"/>
        </w:rPr>
      </w:pPr>
      <w:r w:rsidRPr="009851A2">
        <w:rPr>
          <w:rFonts w:ascii="Noto Sans" w:eastAsiaTheme="minorHAnsi" w:hAnsi="Noto Sans" w:cs="Noto Sans"/>
          <w:b/>
          <w:bCs/>
          <w:sz w:val="28"/>
          <w:szCs w:val="28"/>
          <w:lang w:val="fr"/>
        </w:rPr>
        <w:t>Dépasser la conformité : la valeur stratégique de la traçabilité dans le bâtiment et la construction</w:t>
      </w:r>
    </w:p>
    <w:p w14:paraId="3BA35D12" w14:textId="7868D909" w:rsidR="009851A2" w:rsidRPr="009851A2" w:rsidRDefault="009851A2" w:rsidP="009851A2">
      <w:pPr>
        <w:spacing w:after="160" w:line="276" w:lineRule="auto"/>
        <w:rPr>
          <w:rFonts w:ascii="Noto Sans" w:eastAsiaTheme="minorHAnsi" w:hAnsi="Noto Sans" w:cs="Noto Sans"/>
          <w:i/>
          <w:iCs/>
          <w:sz w:val="22"/>
        </w:rPr>
      </w:pPr>
      <w:r w:rsidRPr="009851A2">
        <w:rPr>
          <w:rFonts w:ascii="Noto Sans" w:eastAsiaTheme="minorHAnsi" w:hAnsi="Noto Sans" w:cs="Noto Sans"/>
          <w:i/>
          <w:iCs/>
          <w:sz w:val="22"/>
          <w:lang w:val="fr"/>
        </w:rPr>
        <w:t xml:space="preserve">Le secteur de la construction se trouve à un tournant critique. Les nouvelles réglementations en matière de sécurité des bâtiments, de durabilité et de responsabilité exigent une nette amélioration de la traçabilité des matériaux, de la conception jusqu'à la déconstruction. Si la réglementation est le moteur de ce changement, ses </w:t>
      </w:r>
      <w:hyperlink r:id="rId6" w:history="1">
        <w:r w:rsidRPr="009851A2">
          <w:rPr>
            <w:rFonts w:ascii="Noto Sans" w:eastAsiaTheme="minorHAnsi" w:hAnsi="Noto Sans" w:cs="Noto Sans"/>
            <w:i/>
            <w:iCs/>
            <w:color w:val="0563C1" w:themeColor="hyperlink"/>
            <w:sz w:val="22"/>
            <w:u w:val="single"/>
            <w:lang w:val="fr"/>
          </w:rPr>
          <w:t>avantages potentiels</w:t>
        </w:r>
      </w:hyperlink>
      <w:r w:rsidRPr="009851A2">
        <w:rPr>
          <w:rFonts w:ascii="Noto Sans" w:eastAsiaTheme="minorHAnsi" w:hAnsi="Noto Sans" w:cs="Noto Sans"/>
          <w:i/>
          <w:iCs/>
          <w:sz w:val="22"/>
          <w:lang w:val="fr"/>
        </w:rPr>
        <w:t xml:space="preserve"> pour l'industrie rendent la démarche particulièrement convaincante. </w:t>
      </w:r>
    </w:p>
    <w:p w14:paraId="1233C7DE" w14:textId="37BD46D8" w:rsidR="009851A2" w:rsidRPr="009851A2" w:rsidRDefault="009851A2" w:rsidP="009851A2">
      <w:pPr>
        <w:spacing w:after="160" w:line="276" w:lineRule="auto"/>
        <w:rPr>
          <w:rFonts w:ascii="Noto Sans" w:eastAsiaTheme="minorHAnsi" w:hAnsi="Noto Sans" w:cs="Noto Sans"/>
          <w:i/>
          <w:iCs/>
          <w:sz w:val="22"/>
        </w:rPr>
      </w:pPr>
      <w:r w:rsidRPr="009851A2">
        <w:rPr>
          <w:rFonts w:ascii="Noto Sans" w:eastAsiaTheme="minorHAnsi" w:hAnsi="Noto Sans" w:cs="Noto Sans"/>
          <w:i/>
          <w:iCs/>
          <w:sz w:val="22"/>
          <w:lang w:val="fr"/>
        </w:rPr>
        <w:t>Dans ce contexte, les passeports numériques de produits jouent un rôle central. Ils garantissent l’identification des produits et composants de construction</w:t>
      </w:r>
      <w:r w:rsidRPr="009851A2">
        <w:rPr>
          <w:rFonts w:ascii="Noto Sans" w:eastAsiaTheme="minorHAnsi" w:hAnsi="Noto Sans" w:cs="Noto Sans"/>
          <w:i/>
          <w:iCs/>
          <w:color w:val="323130"/>
          <w:sz w:val="22"/>
          <w:lang w:val="fr"/>
        </w:rPr>
        <w:t xml:space="preserve"> depuis la conception, la production, la construction et la maintenance, jusqu'à la déconstruction et le recyclage. Ce </w:t>
      </w:r>
      <w:r w:rsidRPr="009851A2">
        <w:rPr>
          <w:rFonts w:ascii="Noto Sans" w:eastAsiaTheme="minorHAnsi" w:hAnsi="Noto Sans" w:cs="Noto Sans"/>
          <w:i/>
          <w:iCs/>
          <w:sz w:val="22"/>
          <w:lang w:val="fr"/>
        </w:rPr>
        <w:t xml:space="preserve">« fil d’Ariane » de données va bien au-delà des exigences réglementaires. La traçabilité de bout en bout constitue un levier d'efficacité opérationnelle, de réduction des déchets, de contrôle des coûts et de collaboration renforcée au sein de la chaîne logistique, comme l'explique Rob Ellinor, Global Building &amp; Construction </w:t>
      </w:r>
      <w:proofErr w:type="spellStart"/>
      <w:r w:rsidRPr="009851A2">
        <w:rPr>
          <w:rFonts w:ascii="Noto Sans" w:eastAsiaTheme="minorHAnsi" w:hAnsi="Noto Sans" w:cs="Noto Sans"/>
          <w:i/>
          <w:iCs/>
          <w:sz w:val="22"/>
          <w:lang w:val="fr"/>
        </w:rPr>
        <w:t>Sector</w:t>
      </w:r>
      <w:proofErr w:type="spellEnd"/>
      <w:r w:rsidRPr="009851A2">
        <w:rPr>
          <w:rFonts w:ascii="Noto Sans" w:eastAsiaTheme="minorHAnsi" w:hAnsi="Noto Sans" w:cs="Noto Sans"/>
          <w:i/>
          <w:iCs/>
          <w:sz w:val="22"/>
          <w:lang w:val="fr"/>
        </w:rPr>
        <w:t xml:space="preserve"> Manager, </w:t>
      </w:r>
      <w:hyperlink r:id="rId7" w:history="1">
        <w:r w:rsidRPr="009851A2">
          <w:rPr>
            <w:rStyle w:val="Hyperlink"/>
            <w:rFonts w:ascii="Noto Sans" w:eastAsiaTheme="minorHAnsi" w:hAnsi="Noto Sans" w:cs="Noto Sans"/>
            <w:i/>
            <w:iCs/>
            <w:sz w:val="22"/>
            <w:lang w:val="fr"/>
          </w:rPr>
          <w:t>Domino</w:t>
        </w:r>
      </w:hyperlink>
      <w:r w:rsidRPr="009851A2">
        <w:rPr>
          <w:rFonts w:ascii="Noto Sans" w:eastAsiaTheme="minorHAnsi" w:hAnsi="Noto Sans" w:cs="Noto Sans"/>
          <w:i/>
          <w:iCs/>
          <w:sz w:val="22"/>
          <w:lang w:val="fr"/>
        </w:rPr>
        <w:t>.</w:t>
      </w:r>
    </w:p>
    <w:p w14:paraId="67875016" w14:textId="77777777" w:rsidR="009851A2" w:rsidRPr="009851A2" w:rsidRDefault="009851A2" w:rsidP="009851A2">
      <w:pPr>
        <w:spacing w:after="160" w:line="276" w:lineRule="auto"/>
        <w:rPr>
          <w:rFonts w:ascii="Noto Sans" w:eastAsiaTheme="minorHAnsi" w:hAnsi="Noto Sans" w:cs="Noto Sans"/>
          <w:b/>
          <w:bCs/>
          <w:sz w:val="22"/>
        </w:rPr>
      </w:pPr>
      <w:r w:rsidRPr="009851A2">
        <w:rPr>
          <w:rFonts w:ascii="Noto Sans" w:eastAsiaTheme="minorHAnsi" w:hAnsi="Noto Sans" w:cs="Noto Sans"/>
          <w:b/>
          <w:bCs/>
          <w:sz w:val="22"/>
          <w:lang w:val="fr"/>
        </w:rPr>
        <w:t xml:space="preserve">L’évolution du cadre réglementaire </w:t>
      </w:r>
    </w:p>
    <w:p w14:paraId="4D183DEC" w14:textId="2A084499" w:rsidR="009851A2" w:rsidRPr="009851A2" w:rsidRDefault="009851A2" w:rsidP="009851A2">
      <w:pPr>
        <w:spacing w:after="160" w:line="276" w:lineRule="auto"/>
        <w:rPr>
          <w:rFonts w:ascii="Noto Sans" w:eastAsiaTheme="minorHAnsi" w:hAnsi="Noto Sans" w:cs="Noto Sans"/>
          <w:sz w:val="22"/>
        </w:rPr>
      </w:pPr>
      <w:r w:rsidRPr="009851A2">
        <w:rPr>
          <w:rFonts w:ascii="Noto Sans" w:eastAsiaTheme="minorHAnsi" w:hAnsi="Noto Sans" w:cs="Noto Sans"/>
          <w:sz w:val="22"/>
          <w:lang w:val="fr"/>
        </w:rPr>
        <w:t>Les nouvelles réglementations européennes, comme le Règlement sur les produits de construction (RPC)</w:t>
      </w:r>
      <w:r w:rsidR="00703D7F">
        <w:rPr>
          <w:rFonts w:ascii="Noto Sans" w:eastAsiaTheme="minorHAnsi" w:hAnsi="Noto Sans" w:cs="Noto Sans"/>
          <w:sz w:val="22"/>
          <w:lang w:val="fr"/>
        </w:rPr>
        <w:t xml:space="preserve"> </w:t>
      </w:r>
      <w:r w:rsidRPr="009851A2">
        <w:rPr>
          <w:rFonts w:ascii="Noto Sans" w:eastAsiaTheme="minorHAnsi" w:hAnsi="Noto Sans" w:cs="Noto Sans"/>
          <w:sz w:val="22"/>
          <w:lang w:val="fr"/>
        </w:rPr>
        <w:t xml:space="preserve">imposent de nouvelles exigences aux fabricants et fournisseurs de produits et matériaux de construction. </w:t>
      </w:r>
      <w:r w:rsidR="00703D7F">
        <w:rPr>
          <w:rFonts w:ascii="Noto Sans" w:eastAsiaTheme="minorHAnsi" w:hAnsi="Noto Sans" w:cs="Noto Sans"/>
          <w:sz w:val="22"/>
          <w:lang w:val="fr"/>
        </w:rPr>
        <w:t>U</w:t>
      </w:r>
      <w:r w:rsidRPr="009851A2">
        <w:rPr>
          <w:rFonts w:ascii="Noto Sans" w:eastAsiaTheme="minorHAnsi" w:hAnsi="Noto Sans" w:cs="Noto Sans"/>
          <w:sz w:val="22"/>
          <w:lang w:val="fr"/>
        </w:rPr>
        <w:t xml:space="preserve">ne chose est certaine : les fabricants devront fournir des informations produit structurées et numériques, accessibles et partageables de façon cohérente à chaque étape du cycle de vie d'un bâtiment. </w:t>
      </w:r>
    </w:p>
    <w:p w14:paraId="360C7016" w14:textId="77777777" w:rsidR="009851A2" w:rsidRPr="009851A2" w:rsidRDefault="009851A2" w:rsidP="009851A2">
      <w:pPr>
        <w:spacing w:after="160" w:line="276" w:lineRule="auto"/>
        <w:rPr>
          <w:rFonts w:ascii="Noto Sans" w:eastAsiaTheme="minorHAnsi" w:hAnsi="Noto Sans" w:cs="Noto Sans"/>
          <w:sz w:val="22"/>
        </w:rPr>
      </w:pPr>
      <w:r w:rsidRPr="009851A2">
        <w:rPr>
          <w:rFonts w:ascii="Noto Sans" w:eastAsiaTheme="minorHAnsi" w:hAnsi="Noto Sans" w:cs="Noto Sans"/>
          <w:sz w:val="22"/>
          <w:lang w:val="fr"/>
        </w:rPr>
        <w:t>Au Royaume-Uni, la nécessité d'améliorer la traçabilité est d’ores et déjà bien assimilée. Le concept de chaîne de traçabilité numérique désigne un registre centralisant les informations essentielles de sécurité et de conception d'un bâtiment. Bien que cette obligation légale ne s'applique actuellement qu'aux bâtiments à risque élevé (HRB), les acteurs du secteur reconnaissent de plus en plus la valeur d'une source unique de vérité pour des projets de toute envergure.</w:t>
      </w:r>
    </w:p>
    <w:p w14:paraId="1634BE4E" w14:textId="522009D2" w:rsidR="009851A2" w:rsidRPr="009851A2" w:rsidRDefault="009851A2" w:rsidP="009851A2">
      <w:pPr>
        <w:spacing w:after="160" w:line="276" w:lineRule="auto"/>
        <w:rPr>
          <w:rFonts w:ascii="Noto Sans" w:eastAsiaTheme="minorHAnsi" w:hAnsi="Noto Sans" w:cs="Noto Sans"/>
          <w:sz w:val="22"/>
        </w:rPr>
      </w:pPr>
      <w:r w:rsidRPr="009851A2">
        <w:rPr>
          <w:rFonts w:ascii="Noto Sans" w:eastAsiaTheme="minorHAnsi" w:hAnsi="Noto Sans" w:cs="Noto Sans"/>
          <w:sz w:val="22"/>
          <w:lang w:val="fr"/>
        </w:rPr>
        <w:t xml:space="preserve">Jusqu'à présent, le manque de normalisation et l'absence d'un cadre opérationnel unique et largement reconnu constituaient des obstacles majeurs à la mise en œuvre d'une traçabilité de bout en bout. Ces silos opérationnels freinent fortement la collaboration tout au long de la chaîne logistique, pourtant essentielle pour améliorer l'efficacité opérationnelle et tirer le meilleur parti de données produit toujours plus riches. Cependant, la transition vers un environnement plus réglementé accélérera le </w:t>
      </w:r>
      <w:r w:rsidRPr="009851A2">
        <w:rPr>
          <w:rFonts w:ascii="Noto Sans" w:eastAsiaTheme="minorHAnsi" w:hAnsi="Noto Sans" w:cs="Noto Sans"/>
          <w:sz w:val="22"/>
          <w:lang w:val="fr"/>
        </w:rPr>
        <w:lastRenderedPageBreak/>
        <w:t>changement et encouragera l'adoption généralisée des normes nécessaires à un processus de construction plus cohérent et transparent.</w:t>
      </w:r>
    </w:p>
    <w:p w14:paraId="007586AA" w14:textId="77777777" w:rsidR="009851A2" w:rsidRPr="009851A2" w:rsidRDefault="009851A2" w:rsidP="009851A2">
      <w:pPr>
        <w:spacing w:after="160" w:line="276" w:lineRule="auto"/>
        <w:rPr>
          <w:rFonts w:ascii="Noto Sans" w:eastAsiaTheme="minorHAnsi" w:hAnsi="Noto Sans" w:cs="Noto Sans"/>
          <w:b/>
          <w:bCs/>
          <w:sz w:val="22"/>
        </w:rPr>
      </w:pPr>
      <w:r w:rsidRPr="009851A2">
        <w:rPr>
          <w:rFonts w:ascii="Noto Sans" w:eastAsiaTheme="minorHAnsi" w:hAnsi="Noto Sans" w:cs="Noto Sans"/>
          <w:b/>
          <w:bCs/>
          <w:sz w:val="22"/>
          <w:lang w:val="fr"/>
        </w:rPr>
        <w:t>Les normes au service de la conformité dans la construction</w:t>
      </w:r>
    </w:p>
    <w:p w14:paraId="37BBD072" w14:textId="296FA729" w:rsidR="009851A2" w:rsidRPr="009851A2" w:rsidRDefault="009851A2" w:rsidP="009851A2">
      <w:pPr>
        <w:spacing w:after="160" w:line="276" w:lineRule="auto"/>
        <w:rPr>
          <w:rFonts w:ascii="Noto Sans" w:eastAsiaTheme="minorHAnsi" w:hAnsi="Noto Sans" w:cs="Noto Sans"/>
          <w:sz w:val="22"/>
        </w:rPr>
      </w:pPr>
      <w:r w:rsidRPr="009851A2">
        <w:rPr>
          <w:rFonts w:ascii="Noto Sans" w:eastAsiaTheme="minorHAnsi" w:hAnsi="Noto Sans" w:cs="Noto Sans"/>
          <w:sz w:val="22"/>
          <w:lang w:val="fr"/>
        </w:rPr>
        <w:t xml:space="preserve">À l'image d'autres secteurs, et notamment le secteur pharmaceutique, la normalisation et l'adoption d'un langage universellement reconnu et accessible comme celui des codes 2D augmentés GS1 sont les fondements d'un partage de données et d’une traçabilité performante. Cela garantit un transfert fluide d'informations cohérentes, fiables et exploitables tout au long de la chaîne logistique, permettant aux organisations de piloter leurs opérations à partir de données en temps réel avec davantage d'efficacité et de contrôle. </w:t>
      </w:r>
    </w:p>
    <w:p w14:paraId="3B387118" w14:textId="7F7524AD" w:rsidR="009851A2" w:rsidRPr="009851A2" w:rsidRDefault="009851A2" w:rsidP="009851A2">
      <w:pPr>
        <w:spacing w:after="160" w:line="276" w:lineRule="auto"/>
        <w:rPr>
          <w:rFonts w:ascii="Noto Sans" w:eastAsiaTheme="minorHAnsi" w:hAnsi="Noto Sans" w:cs="Noto Sans"/>
          <w:sz w:val="22"/>
        </w:rPr>
      </w:pPr>
      <w:r w:rsidRPr="009851A2">
        <w:rPr>
          <w:rFonts w:ascii="Noto Sans" w:eastAsiaTheme="minorHAnsi" w:hAnsi="Noto Sans" w:cs="Noto Sans"/>
          <w:sz w:val="22"/>
          <w:lang w:val="fr"/>
        </w:rPr>
        <w:t>Un passeport numérique de produits permet de regrouper et de rendre accessibles des informations particulièrement riches. Selon le type de produit, les exigences peuvent varier, mais les réglementations imposeront dans l'ensemble les éléments suivants : un identifiant produit unique à l'échelle mondiale ; un support de données numérique (QR, NFC, RFID, etc.) ; des informations sur les performances et la sécurité du produit ; une documentation attestant la conformité et les certifications ; des données relatives aux performances environnementales ; ainsi que la composition des matériaux.</w:t>
      </w:r>
    </w:p>
    <w:p w14:paraId="7F577630" w14:textId="77777777" w:rsidR="009851A2" w:rsidRPr="009851A2" w:rsidRDefault="009851A2" w:rsidP="009851A2">
      <w:pPr>
        <w:spacing w:after="160" w:line="276" w:lineRule="auto"/>
        <w:rPr>
          <w:rFonts w:ascii="Noto Sans" w:eastAsiaTheme="minorHAnsi" w:hAnsi="Noto Sans" w:cs="Noto Sans"/>
          <w:sz w:val="22"/>
        </w:rPr>
      </w:pPr>
      <w:r w:rsidRPr="009851A2">
        <w:rPr>
          <w:rFonts w:ascii="Noto Sans" w:eastAsiaTheme="minorHAnsi" w:hAnsi="Noto Sans" w:cs="Noto Sans"/>
          <w:sz w:val="22"/>
          <w:lang w:val="fr"/>
        </w:rPr>
        <w:t xml:space="preserve">L'utilisation d'un langage standardisé pour structurer ces données approfondies permet une circulation de l'information bien plus fluide entre les systèmes et les personnes, de l'usine jusqu'au chantier. Les acteurs de la construction pourront ainsi créer un registre numérique, ou « jumeau numérique », d'un bâtiment, documentant les produits utilisés et leur emplacement. Ce jumeau numérique peut aussi attester de la conformité du bâtiment aux normes en vigueur, grâce à l'ajout d'identifiants uniques permettant d'assurer la traçabilité des produits jusqu'au niveau du lot pour les articles fabriqués en grande série, et jusqu'à l'unité pour les articles à haut risque tels que les portes coupe-feu. </w:t>
      </w:r>
    </w:p>
    <w:p w14:paraId="595E12C9" w14:textId="77777777" w:rsidR="009851A2" w:rsidRPr="009851A2" w:rsidRDefault="009851A2" w:rsidP="009851A2">
      <w:pPr>
        <w:spacing w:after="160" w:line="276" w:lineRule="auto"/>
        <w:rPr>
          <w:rFonts w:ascii="Noto Sans" w:eastAsiaTheme="minorHAnsi" w:hAnsi="Noto Sans" w:cs="Noto Sans"/>
          <w:b/>
          <w:bCs/>
          <w:sz w:val="22"/>
        </w:rPr>
      </w:pPr>
      <w:r w:rsidRPr="009851A2">
        <w:rPr>
          <w:rFonts w:ascii="Noto Sans" w:eastAsiaTheme="minorHAnsi" w:hAnsi="Noto Sans" w:cs="Noto Sans"/>
          <w:b/>
          <w:bCs/>
          <w:sz w:val="22"/>
          <w:lang w:val="fr"/>
        </w:rPr>
        <w:t xml:space="preserve">La valeur des données au-delà de la conformité </w:t>
      </w:r>
    </w:p>
    <w:p w14:paraId="090392E6" w14:textId="77777777" w:rsidR="009851A2" w:rsidRPr="009851A2" w:rsidRDefault="009851A2" w:rsidP="009851A2">
      <w:pPr>
        <w:spacing w:after="160" w:line="276" w:lineRule="auto"/>
        <w:rPr>
          <w:rFonts w:ascii="Noto Sans" w:eastAsiaTheme="minorHAnsi" w:hAnsi="Noto Sans" w:cs="Noto Sans"/>
          <w:sz w:val="22"/>
        </w:rPr>
      </w:pPr>
      <w:r w:rsidRPr="009851A2">
        <w:rPr>
          <w:rFonts w:ascii="Noto Sans" w:eastAsiaTheme="minorHAnsi" w:hAnsi="Noto Sans" w:cs="Noto Sans"/>
          <w:sz w:val="22"/>
          <w:lang w:val="fr"/>
        </w:rPr>
        <w:t xml:space="preserve">La conformité réglementaire ne devrait être que le point de départ d'importants changements opérationnels et autres avantages, bien au-delà du simple maintien de la conformité. Une meilleure information produit peut favoriser l’automatisation et la gestion des processus en temps réel, susceptibles d'améliorer considérablement la performance opérationnelle au quotidien. Dans le secteur de la construction, chaque </w:t>
      </w:r>
      <w:r w:rsidRPr="009851A2">
        <w:rPr>
          <w:rFonts w:ascii="Noto Sans" w:eastAsiaTheme="minorHAnsi" w:hAnsi="Noto Sans" w:cs="Noto Sans"/>
          <w:sz w:val="22"/>
          <w:lang w:val="fr"/>
        </w:rPr>
        <w:lastRenderedPageBreak/>
        <w:t xml:space="preserve">livraison peut être scannée à sa réception sur site, réduisant ainsi les erreurs et les délais associés aux processus documentaires manuels. </w:t>
      </w:r>
    </w:p>
    <w:p w14:paraId="692727EA" w14:textId="0A086772" w:rsidR="009851A2" w:rsidRPr="009851A2" w:rsidRDefault="009851A2" w:rsidP="009851A2">
      <w:pPr>
        <w:spacing w:after="160" w:line="276" w:lineRule="auto"/>
        <w:rPr>
          <w:rFonts w:ascii="Noto Sans" w:eastAsiaTheme="minorHAnsi" w:hAnsi="Noto Sans" w:cs="Noto Sans"/>
          <w:sz w:val="22"/>
        </w:rPr>
      </w:pPr>
      <w:r w:rsidRPr="009851A2">
        <w:rPr>
          <w:rFonts w:ascii="Noto Sans" w:eastAsiaTheme="minorHAnsi" w:hAnsi="Noto Sans" w:cs="Noto Sans"/>
          <w:sz w:val="22"/>
          <w:lang w:val="fr"/>
        </w:rPr>
        <w:t xml:space="preserve">Grâce à la numérisation en temps réel des articles dès leur mise en place, il devient possible de s'assurer que les bonnes pièces sont utilisées à chaque étape du chantier. Des informations complémentaires peuvent également indiquer quels produits doivent être associés afin de garantir une installation optimale, contribuant à améliorer la qualité tout en limitant les risques de retards coûteux ou d'échecs lors des contrôles. En effet, les inspecteurs de site disposant d'informations détaillées à l'avance sur les zones à risque spécifiques nécessitant une évaluation peuvent réaliser des inspections plus ciblées, plus rapides, et une validation plus efficace. </w:t>
      </w:r>
    </w:p>
    <w:p w14:paraId="1E333C36" w14:textId="77777777" w:rsidR="009851A2" w:rsidRPr="009851A2" w:rsidRDefault="009851A2" w:rsidP="009851A2">
      <w:pPr>
        <w:spacing w:after="160" w:line="276" w:lineRule="auto"/>
        <w:rPr>
          <w:rFonts w:ascii="Noto Sans" w:eastAsiaTheme="minorHAnsi" w:hAnsi="Noto Sans" w:cs="Noto Sans"/>
          <w:sz w:val="22"/>
        </w:rPr>
      </w:pPr>
      <w:r w:rsidRPr="009851A2">
        <w:rPr>
          <w:rFonts w:ascii="Noto Sans" w:eastAsiaTheme="minorHAnsi" w:hAnsi="Noto Sans" w:cs="Noto Sans"/>
          <w:sz w:val="22"/>
          <w:lang w:val="fr"/>
        </w:rPr>
        <w:t>Remplacer la gestion documentaire manuelle par des informations en temps réel issues des identifiants produit peut également permettre aux entreprises de construction d'abandonner les commandes de stock préventives, traditionnellement adoptées pour éviter les retards. En plus de réduire les coûts, éviter les commandes excessives de matériaux contribuera à minimiser les déchets, appuyant ainsi les engagements des entreprises de construction en matière de durabilité. Les matériaux excédentaires identifiés peuvent être retournés ou réutilisés au lieu d'être éliminés, contribuant à réduire à la fois les déchets et les coûts.</w:t>
      </w:r>
    </w:p>
    <w:p w14:paraId="2E99B54A" w14:textId="77777777" w:rsidR="009851A2" w:rsidRPr="009851A2" w:rsidRDefault="009851A2" w:rsidP="009851A2">
      <w:pPr>
        <w:spacing w:after="160" w:line="276" w:lineRule="auto"/>
        <w:rPr>
          <w:rFonts w:ascii="Noto Sans" w:eastAsiaTheme="minorHAnsi" w:hAnsi="Noto Sans" w:cs="Noto Sans"/>
          <w:b/>
          <w:bCs/>
          <w:sz w:val="22"/>
        </w:rPr>
      </w:pPr>
      <w:r w:rsidRPr="009851A2">
        <w:rPr>
          <w:rFonts w:ascii="Noto Sans" w:eastAsiaTheme="minorHAnsi" w:hAnsi="Noto Sans" w:cs="Noto Sans"/>
          <w:b/>
          <w:bCs/>
          <w:sz w:val="22"/>
          <w:lang w:val="fr"/>
        </w:rPr>
        <w:t>Exploiter les données pour améliorer la performance opérationnelle</w:t>
      </w:r>
    </w:p>
    <w:p w14:paraId="59CCB145" w14:textId="77777777" w:rsidR="009851A2" w:rsidRPr="009851A2" w:rsidRDefault="009851A2" w:rsidP="009851A2">
      <w:pPr>
        <w:spacing w:after="160" w:line="276" w:lineRule="auto"/>
        <w:rPr>
          <w:rFonts w:ascii="Noto Sans" w:eastAsiaTheme="minorHAnsi" w:hAnsi="Noto Sans" w:cs="Noto Sans"/>
          <w:sz w:val="22"/>
        </w:rPr>
      </w:pPr>
      <w:r w:rsidRPr="009851A2">
        <w:rPr>
          <w:rFonts w:ascii="Noto Sans" w:eastAsiaTheme="minorHAnsi" w:hAnsi="Noto Sans" w:cs="Noto Sans"/>
          <w:sz w:val="22"/>
          <w:lang w:val="fr"/>
        </w:rPr>
        <w:t xml:space="preserve">Un suivi détaillé article par article peut également aider les entreprises de construction à optimiser la rotation de leurs stocks. Pour les produits périssables tels que le plâtre, la mise en place de contrôles adaptés permet d'éviter toute péremption et tout gaspillage, sources de coûts additionnels et, le cas échéant, de procédures d'élimination contraignantes. Élément clé du dispositif, ce système renforce les protocoles de sécurité pour des produits tels que le ciment, dont les </w:t>
      </w:r>
      <w:hyperlink r:id="rId8" w:history="1">
        <w:r w:rsidRPr="009851A2">
          <w:rPr>
            <w:rFonts w:ascii="Noto Sans" w:eastAsiaTheme="minorHAnsi" w:hAnsi="Noto Sans" w:cs="Noto Sans"/>
            <w:color w:val="0563C1" w:themeColor="hyperlink"/>
            <w:sz w:val="22"/>
            <w:lang w:val="fr"/>
          </w:rPr>
          <w:t>dangers pour les travailleurs</w:t>
        </w:r>
      </w:hyperlink>
      <w:r w:rsidRPr="009851A2">
        <w:rPr>
          <w:rFonts w:ascii="Noto Sans" w:eastAsiaTheme="minorHAnsi" w:hAnsi="Noto Sans" w:cs="Noto Sans"/>
          <w:sz w:val="22"/>
          <w:lang w:val="fr"/>
        </w:rPr>
        <w:t xml:space="preserve"> et les risques pour l'intégrité des structures ne sont pas à négliger.</w:t>
      </w:r>
    </w:p>
    <w:p w14:paraId="1CB998A8" w14:textId="77777777" w:rsidR="009851A2" w:rsidRPr="009851A2" w:rsidRDefault="009851A2" w:rsidP="009851A2">
      <w:pPr>
        <w:spacing w:after="160" w:line="276" w:lineRule="auto"/>
        <w:rPr>
          <w:rFonts w:ascii="Noto Sans" w:eastAsiaTheme="minorHAnsi" w:hAnsi="Noto Sans" w:cs="Noto Sans"/>
          <w:sz w:val="22"/>
        </w:rPr>
      </w:pPr>
      <w:r w:rsidRPr="009851A2">
        <w:rPr>
          <w:rFonts w:ascii="Noto Sans" w:eastAsiaTheme="minorHAnsi" w:hAnsi="Noto Sans" w:cs="Noto Sans"/>
          <w:sz w:val="22"/>
          <w:lang w:val="fr"/>
        </w:rPr>
        <w:t>Pour les fabricants de produits de construction, les normes mondiales comme GS1 Digital Link permettent de mieux suivre et relier les données aux produits, facilitant un rappel ciblé si nécessaire. Les lots défectueux peuvent être identifiés et localisés rapidement, garantissant que seuls les produits concernés sont rappelés, ce qui minimise le coût potentiel pour l'entreprise. De plus, une traçabilité complète permettra d'éviter les difficultés rencontrées lors de l'identification des bâtiments concernés, à l'image de ce qui s'est produit après l'incendie de la tour Grenfell à Londres.</w:t>
      </w:r>
    </w:p>
    <w:p w14:paraId="172230C9" w14:textId="77777777" w:rsidR="009851A2" w:rsidRPr="009851A2" w:rsidRDefault="009851A2" w:rsidP="009851A2">
      <w:pPr>
        <w:spacing w:after="160" w:line="276" w:lineRule="auto"/>
        <w:rPr>
          <w:rFonts w:ascii="Noto Sans" w:eastAsiaTheme="minorHAnsi" w:hAnsi="Noto Sans" w:cs="Noto Sans"/>
          <w:sz w:val="22"/>
        </w:rPr>
      </w:pPr>
      <w:r w:rsidRPr="009851A2">
        <w:rPr>
          <w:rFonts w:ascii="Noto Sans" w:eastAsiaTheme="minorHAnsi" w:hAnsi="Noto Sans" w:cs="Noto Sans"/>
          <w:sz w:val="22"/>
          <w:lang w:val="fr"/>
        </w:rPr>
        <w:lastRenderedPageBreak/>
        <w:t xml:space="preserve">Cette richesse de données, accessible via un identifiant produit, devient un allié de taille dans la lutte contre la contrefaçon : les chantiers peuvent désormais s'assurer de l'authenticité des matériaux et travailler en toute confiance avec des produits fiables et sécurisés. Les résolveurs viennent compléter ce dispositif en offrant à chaque partie prenante une fenêtre sur les données ou pages web qui lui correspondent, au moment précis où elle en a besoin dans la chaîne de valeur.  </w:t>
      </w:r>
    </w:p>
    <w:p w14:paraId="15B65B00" w14:textId="77777777" w:rsidR="009851A2" w:rsidRPr="009851A2" w:rsidRDefault="009851A2" w:rsidP="009851A2">
      <w:pPr>
        <w:spacing w:after="160" w:line="276" w:lineRule="auto"/>
        <w:rPr>
          <w:rFonts w:ascii="Noto Sans" w:eastAsiaTheme="minorHAnsi" w:hAnsi="Noto Sans" w:cs="Noto Sans"/>
          <w:b/>
          <w:bCs/>
          <w:sz w:val="22"/>
        </w:rPr>
      </w:pPr>
      <w:r w:rsidRPr="009851A2">
        <w:rPr>
          <w:rFonts w:ascii="Noto Sans" w:eastAsiaTheme="minorHAnsi" w:hAnsi="Noto Sans" w:cs="Noto Sans"/>
          <w:b/>
          <w:bCs/>
          <w:sz w:val="22"/>
          <w:lang w:val="fr"/>
        </w:rPr>
        <w:t>La conformité comme avantage concurrentiel</w:t>
      </w:r>
    </w:p>
    <w:p w14:paraId="0FCDC986" w14:textId="77777777" w:rsidR="009851A2" w:rsidRPr="009851A2" w:rsidRDefault="009851A2" w:rsidP="009851A2">
      <w:pPr>
        <w:spacing w:after="160" w:line="276" w:lineRule="auto"/>
        <w:rPr>
          <w:rFonts w:ascii="Noto Sans" w:eastAsiaTheme="minorHAnsi" w:hAnsi="Noto Sans" w:cs="Noto Sans"/>
          <w:sz w:val="22"/>
        </w:rPr>
      </w:pPr>
      <w:r w:rsidRPr="009851A2">
        <w:rPr>
          <w:rFonts w:ascii="Noto Sans" w:eastAsiaTheme="minorHAnsi" w:hAnsi="Noto Sans" w:cs="Noto Sans"/>
          <w:sz w:val="22"/>
          <w:lang w:val="fr"/>
        </w:rPr>
        <w:t xml:space="preserve">L'intégration d'identifiants uniques et détaillés offre aux acteurs du secteur du bâtiment et de la construction les moyens de répondre aux exigences réglementaires d'aujourd'hui et de demain. Mais surtout, cela bouleversera la manière dont les organisations interagissent et collaborent à chaque maillon de la chaîne logistique. La granularité accrue des informations disponibles sur les produits, tant au niveau du lot qu'à l'unité, permet aux fabricants de matériaux de s'ancrer durablement dans la chaîne logistique de bout en bout, en apportant aux entreprises de construction une valeur ajoutée qui se traduit par un avantage concurrentiel tangible. </w:t>
      </w:r>
    </w:p>
    <w:p w14:paraId="64B8C7D5" w14:textId="77777777" w:rsidR="009851A2" w:rsidRPr="009851A2" w:rsidRDefault="009851A2" w:rsidP="009851A2">
      <w:pPr>
        <w:spacing w:after="160" w:line="276" w:lineRule="auto"/>
        <w:rPr>
          <w:rFonts w:ascii="Noto Sans" w:eastAsiaTheme="minorHAnsi" w:hAnsi="Noto Sans" w:cs="Noto Sans"/>
          <w:sz w:val="22"/>
        </w:rPr>
      </w:pPr>
      <w:r w:rsidRPr="009851A2">
        <w:rPr>
          <w:rFonts w:ascii="Noto Sans" w:eastAsiaTheme="minorHAnsi" w:hAnsi="Noto Sans" w:cs="Noto Sans"/>
          <w:sz w:val="22"/>
          <w:lang w:val="fr"/>
        </w:rPr>
        <w:t>Le partage d'informations produit par l'adoption de normes mondiales, comme les codes 2D augmentés GS1, s'imposera à la fois comme une exigence de conformité et comme un impératif commercial. Aujourd'hui, une opportunité majeure s'offre à nous : celle de dépasser la perception de la conformité comme une contrainte, et de reconnaître que les fabricants du bâtiment et de la construction ont la capacité de créer une valeur significative au sein d'une chaîne logistique connectée et collaborative.</w:t>
      </w:r>
    </w:p>
    <w:p w14:paraId="1FD73263" w14:textId="2FAE4CF4" w:rsidR="009851A2" w:rsidRPr="009851A2" w:rsidRDefault="009851A2" w:rsidP="009851A2">
      <w:pPr>
        <w:spacing w:after="160" w:line="259" w:lineRule="auto"/>
        <w:rPr>
          <w:rFonts w:ascii="Noto Sans" w:eastAsiaTheme="minorHAnsi" w:hAnsi="Noto Sans" w:cs="Noto Sans"/>
          <w:sz w:val="22"/>
        </w:rPr>
      </w:pPr>
      <w:r w:rsidRPr="009851A2">
        <w:rPr>
          <w:rFonts w:ascii="Noto Sans" w:eastAsiaTheme="minorHAnsi" w:hAnsi="Noto Sans" w:cs="Noto Sans"/>
          <w:sz w:val="22"/>
          <w:lang w:val="fr"/>
        </w:rPr>
        <w:t>&lt;</w:t>
      </w:r>
      <w:r w:rsidRPr="009851A2">
        <w:rPr>
          <w:rFonts w:ascii="Noto Sans" w:eastAsiaTheme="minorHAnsi" w:hAnsi="Noto Sans" w:cs="Noto Sans"/>
          <w:b/>
          <w:bCs/>
          <w:sz w:val="22"/>
          <w:lang w:val="fr"/>
        </w:rPr>
        <w:t>FIN</w:t>
      </w:r>
      <w:r w:rsidRPr="009851A2">
        <w:rPr>
          <w:rFonts w:ascii="Noto Sans" w:eastAsiaTheme="minorHAnsi" w:hAnsi="Noto Sans" w:cs="Noto Sans"/>
          <w:sz w:val="22"/>
          <w:lang w:val="fr"/>
        </w:rPr>
        <w:t>&gt;</w:t>
      </w:r>
      <w:r w:rsidRPr="009851A2">
        <w:rPr>
          <w:rFonts w:ascii="Noto Sans" w:eastAsiaTheme="minorHAnsi" w:hAnsi="Noto Sans" w:cs="Noto Sans"/>
          <w:b/>
          <w:bCs/>
          <w:sz w:val="22"/>
          <w:lang w:val="fr"/>
        </w:rPr>
        <w:t xml:space="preserve"> </w:t>
      </w:r>
    </w:p>
    <w:p w14:paraId="446C0527" w14:textId="77777777" w:rsidR="00A20B3C" w:rsidRDefault="00A20B3C" w:rsidP="009851A2">
      <w:pPr>
        <w:spacing w:line="240" w:lineRule="auto"/>
        <w:rPr>
          <w:rFonts w:ascii="Noto Sans" w:eastAsia="Gill Sans" w:hAnsi="Noto Sans" w:cs="Noto Sans"/>
          <w:b/>
          <w:bCs/>
          <w:sz w:val="20"/>
          <w:szCs w:val="20"/>
          <w:lang w:val="fr-FR"/>
        </w:rPr>
      </w:pPr>
      <w:bookmarkStart w:id="0" w:name="_Hlk46133219"/>
    </w:p>
    <w:p w14:paraId="73977E22" w14:textId="1FCADC24" w:rsidR="009851A2" w:rsidRPr="00E06028" w:rsidRDefault="009851A2" w:rsidP="009851A2">
      <w:pPr>
        <w:spacing w:line="240" w:lineRule="auto"/>
        <w:rPr>
          <w:rFonts w:ascii="Noto Sans" w:hAnsi="Noto Sans" w:cs="Noto Sans"/>
          <w:sz w:val="20"/>
          <w:szCs w:val="20"/>
          <w:lang w:val="fr-FR"/>
        </w:rPr>
      </w:pPr>
      <w:r w:rsidRPr="00E06028">
        <w:rPr>
          <w:rFonts w:ascii="Noto Sans" w:eastAsia="Gill Sans" w:hAnsi="Noto Sans" w:cs="Noto Sans"/>
          <w:b/>
          <w:bCs/>
          <w:sz w:val="20"/>
          <w:szCs w:val="20"/>
          <w:lang w:val="fr-FR"/>
        </w:rPr>
        <w:t>Avis de non-responsabilité</w:t>
      </w:r>
      <w:r w:rsidRPr="00E06028">
        <w:rPr>
          <w:rFonts w:ascii="Noto Sans" w:eastAsia="Gill Sans" w:hAnsi="Noto Sans" w:cs="Noto Sans"/>
          <w:b/>
          <w:sz w:val="20"/>
          <w:szCs w:val="20"/>
          <w:lang w:val="es-ES"/>
        </w:rPr>
        <w:br/>
      </w:r>
      <w:r w:rsidRPr="00E06028">
        <w:rPr>
          <w:rFonts w:ascii="Noto Sans" w:eastAsia="Gill Sans" w:hAnsi="Noto Sans" w:cs="Noto Sans"/>
          <w:sz w:val="20"/>
          <w:szCs w:val="20"/>
          <w:lang w:val="es-ES"/>
        </w:rPr>
        <w:br/>
      </w:r>
      <w:r w:rsidRPr="00E06028">
        <w:rPr>
          <w:rFonts w:ascii="Noto Sans" w:hAnsi="Noto Sans" w:cs="Noto Sans"/>
          <w:b/>
          <w:bCs/>
          <w:sz w:val="20"/>
          <w:szCs w:val="20"/>
          <w:lang w:val="fr-FR"/>
        </w:rPr>
        <w:t>Encres</w:t>
      </w:r>
      <w:r w:rsidRPr="00E06028">
        <w:rPr>
          <w:rFonts w:ascii="Noto Sans" w:hAnsi="Noto Sans" w:cs="Noto Sans"/>
          <w:sz w:val="20"/>
          <w:szCs w:val="20"/>
          <w:lang w:val="es-ES"/>
        </w:rPr>
        <w:br/>
      </w:r>
      <w:r w:rsidRPr="00E06028">
        <w:rPr>
          <w:rFonts w:ascii="Noto Sans" w:hAnsi="Noto Sans" w:cs="Noto Sans"/>
          <w:sz w:val="20"/>
          <w:szCs w:val="20"/>
          <w:lang w:val="fr-FR"/>
        </w:rPr>
        <w:t xml:space="preserve">Les informations figurant aux présentes ne se substituent pas à la réalisation des essais nécessaires pour vérifier la bonne adéquation à votre utilisation et à vos circonstances particulières. Ni Domino UK Limited ni aucune autre société du groupe Domino ne sauraient être responsables dans le cas où vous vous êtes fiés aux informations du présent document quant à la convenance d’une encre à vos besoins particuliers. Le présent document ne fait pas partie des conditions générales entre vous-même et Domino. Les mentions légales v.1.0 de février 2018 et les conditions générales de vente de Domino, et plus particulièrement les garanties et responsabilités qui en relèvent, s’appliquent à tout achat de produit que vous réalisez. </w:t>
      </w:r>
      <w:r w:rsidRPr="00E06028">
        <w:rPr>
          <w:rFonts w:ascii="Noto Sans" w:hAnsi="Noto Sans" w:cs="Noto Sans"/>
          <w:sz w:val="20"/>
          <w:szCs w:val="20"/>
          <w:lang w:val="es-ES"/>
        </w:rPr>
        <w:br/>
      </w:r>
      <w:r w:rsidRPr="00E06028">
        <w:rPr>
          <w:rFonts w:ascii="Noto Sans" w:hAnsi="Noto Sans" w:cs="Noto Sans"/>
          <w:sz w:val="20"/>
          <w:szCs w:val="20"/>
          <w:lang w:val="es-ES"/>
        </w:rPr>
        <w:lastRenderedPageBreak/>
        <w:br/>
      </w:r>
      <w:r w:rsidRPr="00E06028">
        <w:rPr>
          <w:rFonts w:ascii="Noto Sans" w:hAnsi="Noto Sans" w:cs="Noto Sans"/>
          <w:b/>
          <w:bCs/>
          <w:sz w:val="20"/>
          <w:szCs w:val="20"/>
          <w:lang w:val="fr-FR"/>
        </w:rPr>
        <w:t>Généralités</w:t>
      </w:r>
      <w:r w:rsidRPr="00E06028">
        <w:rPr>
          <w:rFonts w:ascii="Noto Sans" w:hAnsi="Noto Sans" w:cs="Noto Sans"/>
          <w:sz w:val="20"/>
          <w:szCs w:val="20"/>
          <w:lang w:val="es-ES"/>
        </w:rPr>
        <w:br/>
      </w:r>
      <w:r w:rsidRPr="001D71EE">
        <w:rPr>
          <w:rFonts w:ascii="Noto Sans" w:hAnsi="Noto Sans" w:cs="Noto Sans"/>
          <w:sz w:val="20"/>
          <w:szCs w:val="20"/>
          <w:lang w:val="fr-FR"/>
        </w:rPr>
        <w:t xml:space="preserve">Les informations contenues dans ce communiqué de presse sont considérées comme vraies et exactes à la date de publication par Domino. Des changements de circonstances après la date de publication peuvent avoir un impact sur l'exactitude des informations. </w:t>
      </w:r>
      <w:r w:rsidRPr="00E06028">
        <w:rPr>
          <w:rFonts w:ascii="Noto Sans" w:hAnsi="Noto Sans" w:cs="Noto Sans"/>
          <w:sz w:val="20"/>
          <w:szCs w:val="20"/>
          <w:lang w:val="fr-FR"/>
        </w:rPr>
        <w:t>Tous les chiffres et déclarations en matière de résultats indiqués dans les présentes ont été obtenus dans des conditions particulières et ne peuvent être reproduits que dans des circonstances similaires. Pour toutes informations sur un produit particulier, contactez votre Représentant Domino local.  Ce document n’est pas intégré aux conditions générales de vente entre vous-même et Domino.</w:t>
      </w:r>
      <w:r w:rsidRPr="00E06028">
        <w:rPr>
          <w:rFonts w:ascii="Noto Sans" w:hAnsi="Noto Sans" w:cs="Noto Sans"/>
          <w:sz w:val="20"/>
          <w:szCs w:val="20"/>
          <w:lang w:val="fr-FR"/>
        </w:rPr>
        <w:br/>
      </w:r>
      <w:r w:rsidRPr="00E06028">
        <w:rPr>
          <w:rFonts w:ascii="Noto Sans" w:hAnsi="Noto Sans" w:cs="Noto Sans"/>
          <w:sz w:val="20"/>
          <w:szCs w:val="20"/>
          <w:lang w:val="fr-FR"/>
        </w:rPr>
        <w:br/>
      </w:r>
      <w:r w:rsidRPr="00E06028">
        <w:rPr>
          <w:rFonts w:ascii="Noto Sans" w:hAnsi="Noto Sans" w:cs="Noto Sans"/>
          <w:b/>
          <w:bCs/>
          <w:sz w:val="20"/>
          <w:szCs w:val="20"/>
          <w:lang w:val="fr-FR"/>
        </w:rPr>
        <w:t>Images</w:t>
      </w:r>
      <w:r w:rsidRPr="00E06028">
        <w:rPr>
          <w:rFonts w:ascii="Noto Sans" w:hAnsi="Noto Sans" w:cs="Noto Sans"/>
          <w:sz w:val="20"/>
          <w:szCs w:val="20"/>
        </w:rPr>
        <w:br/>
      </w:r>
      <w:r w:rsidRPr="00E06028">
        <w:rPr>
          <w:rFonts w:ascii="Noto Sans" w:hAnsi="Noto Sans" w:cs="Noto Sans"/>
          <w:sz w:val="20"/>
          <w:szCs w:val="20"/>
          <w:lang w:val="fr-FR"/>
        </w:rPr>
        <w:t xml:space="preserve">Les images peuvent inclure des éléments supplémentaires ou des mises à niveaux. La qualité d'impression peut varier en fonction des consommables, de l'imprimante, des substrats et d'autres facteurs. Les images et photographies ne font pas partie des conditions générales de vente entre vous-même et Domino. </w:t>
      </w:r>
      <w:r w:rsidRPr="00E06028">
        <w:rPr>
          <w:rFonts w:ascii="Noto Sans" w:hAnsi="Noto Sans" w:cs="Noto Sans"/>
          <w:sz w:val="20"/>
          <w:szCs w:val="20"/>
          <w:lang w:val="fr-FR"/>
        </w:rPr>
        <w:br/>
      </w:r>
      <w:r w:rsidRPr="00E06028">
        <w:rPr>
          <w:rFonts w:ascii="Noto Sans" w:hAnsi="Noto Sans" w:cs="Noto Sans"/>
          <w:sz w:val="20"/>
          <w:szCs w:val="20"/>
          <w:lang w:val="fr-FR"/>
        </w:rPr>
        <w:br/>
      </w:r>
      <w:r w:rsidRPr="00E06028">
        <w:rPr>
          <w:rFonts w:ascii="Noto Sans" w:hAnsi="Noto Sans" w:cs="Noto Sans"/>
          <w:b/>
          <w:bCs/>
          <w:sz w:val="20"/>
          <w:szCs w:val="20"/>
          <w:lang w:val="fr-FR"/>
        </w:rPr>
        <w:t>Vidéos</w:t>
      </w:r>
      <w:r w:rsidRPr="00E06028">
        <w:rPr>
          <w:rFonts w:ascii="Noto Sans" w:hAnsi="Noto Sans" w:cs="Noto Sans"/>
          <w:sz w:val="20"/>
          <w:szCs w:val="20"/>
        </w:rPr>
        <w:br/>
      </w:r>
      <w:r w:rsidRPr="00E06028">
        <w:rPr>
          <w:rFonts w:ascii="Noto Sans" w:hAnsi="Noto Sans" w:cs="Noto Sans"/>
          <w:sz w:val="20"/>
          <w:szCs w:val="20"/>
          <w:lang w:val="fr-FR"/>
        </w:rPr>
        <w:t>Cette vidéo est fournie à des fins illustratives uniquement et peut inclure des options supplémentaires. Les chiffres relatifs à la performance peuvent être obtenus sous des conditions spécifiques ; les performances individuelles peuvent varier. Des erreurs et des temps d’arrêt peuvent survenir sur les chaînes de production. Rien dans la présente vidéo ne saurait faire partie d'un contrat entre vous et Domino.</w:t>
      </w:r>
      <w:r w:rsidRPr="00E06028">
        <w:rPr>
          <w:rFonts w:ascii="Noto Sans" w:hAnsi="Noto Sans" w:cs="Noto Sans"/>
          <w:sz w:val="20"/>
          <w:szCs w:val="20"/>
          <w:lang w:val="es-ES"/>
        </w:rPr>
        <w:br/>
      </w:r>
      <w:r w:rsidRPr="00E06028">
        <w:rPr>
          <w:rFonts w:ascii="Noto Sans" w:eastAsia="Gill Sans" w:hAnsi="Noto Sans" w:cs="Noto Sans"/>
          <w:sz w:val="20"/>
          <w:szCs w:val="20"/>
          <w:lang w:val="es-ES"/>
        </w:rPr>
        <w:br/>
      </w:r>
      <w:bookmarkStart w:id="1" w:name="_Hlk61949672"/>
      <w:r w:rsidRPr="00E06028">
        <w:rPr>
          <w:rFonts w:ascii="Noto Sans" w:eastAsia="Gill Sans" w:hAnsi="Noto Sans" w:cs="Noto Sans"/>
          <w:b/>
          <w:sz w:val="20"/>
          <w:szCs w:val="20"/>
          <w:lang w:val="es-ES"/>
        </w:rPr>
        <w:br/>
      </w:r>
      <w:r w:rsidRPr="00E06028">
        <w:rPr>
          <w:rFonts w:ascii="Noto Sans" w:eastAsia="Gill Sans" w:hAnsi="Noto Sans" w:cs="Noto Sans"/>
          <w:b/>
          <w:bCs/>
          <w:sz w:val="20"/>
          <w:szCs w:val="20"/>
          <w:lang w:val="fr-FR"/>
        </w:rPr>
        <w:t>Notes à l'attention des rédacteurs :</w:t>
      </w:r>
      <w:r w:rsidRPr="00E06028">
        <w:rPr>
          <w:rFonts w:ascii="Noto Sans" w:eastAsia="Gill Sans" w:hAnsi="Noto Sans" w:cs="Noto Sans"/>
          <w:b/>
          <w:sz w:val="20"/>
          <w:szCs w:val="20"/>
          <w:lang w:val="es-ES"/>
        </w:rPr>
        <w:br/>
      </w:r>
      <w:r w:rsidRPr="00E06028">
        <w:rPr>
          <w:rFonts w:ascii="Noto Sans" w:eastAsia="Gill Sans" w:hAnsi="Noto Sans" w:cs="Noto Sans"/>
          <w:sz w:val="20"/>
          <w:szCs w:val="20"/>
          <w:lang w:val="es-ES"/>
        </w:rPr>
        <w:br/>
      </w:r>
      <w:r w:rsidRPr="00E06028">
        <w:rPr>
          <w:rFonts w:ascii="Noto Sans" w:eastAsia="Gill Sans" w:hAnsi="Noto Sans" w:cs="Noto Sans"/>
          <w:b/>
          <w:bCs/>
          <w:sz w:val="20"/>
          <w:szCs w:val="20"/>
          <w:lang w:val="fr-FR"/>
        </w:rPr>
        <w:t>À propos de Domino</w:t>
      </w:r>
      <w:r w:rsidRPr="00E06028">
        <w:rPr>
          <w:rFonts w:ascii="Noto Sans" w:eastAsia="Gill Sans" w:hAnsi="Noto Sans" w:cs="Noto Sans"/>
          <w:b/>
          <w:sz w:val="20"/>
          <w:szCs w:val="20"/>
          <w:lang w:val="es-ES"/>
        </w:rPr>
        <w:br/>
      </w:r>
      <w:r w:rsidRPr="00E06028">
        <w:rPr>
          <w:rFonts w:ascii="Noto Sans" w:eastAsia="Gill Sans" w:hAnsi="Noto Sans" w:cs="Noto Sans"/>
          <w:sz w:val="20"/>
          <w:szCs w:val="20"/>
          <w:lang w:val="es-ES"/>
        </w:rPr>
        <w:br/>
      </w:r>
      <w:r w:rsidRPr="00E06028">
        <w:rPr>
          <w:rFonts w:ascii="Noto Sans" w:eastAsia="Gill Sans" w:hAnsi="Noto Sans" w:cs="Noto Sans"/>
          <w:sz w:val="20"/>
          <w:szCs w:val="20"/>
          <w:lang w:val="fr-FR"/>
        </w:rPr>
        <w:t xml:space="preserve">Fondée en 1978, Domino Printing Sciences (Domino) a acquis une réputation mondiale pour le développement et la fabrication de technologies de codage, de marquage et d'impression numérique, ainsi que pour la qualité de son service après-vente à l'international. Aujourd'hui, Domino propose l'un des portefeuilles les plus complets de solutions intégrales de codage afin de répondre aux exigences de conformité et de productivité des fabricants à travers de nombreux secteurs, notamment l'agroalimentaire, les boissons, et les produits pharmaceutiques et industriels. Les technologies de base de l'entreprise incluent des systèmes innovants comme le jet d'encre, le laser, l’impression-pose d’étiquettes et le codage transfert thermique conçus pour l'application de données variables, de codes à barres et de codes de traçabilité uniques sur les produits et les emballages. </w:t>
      </w:r>
      <w:r w:rsidRPr="00E06028">
        <w:rPr>
          <w:rFonts w:ascii="Noto Sans" w:eastAsia="Gill Sans" w:hAnsi="Noto Sans" w:cs="Noto Sans"/>
          <w:sz w:val="20"/>
          <w:szCs w:val="20"/>
          <w:lang w:val="fr-FR"/>
        </w:rPr>
        <w:br/>
      </w:r>
      <w:r w:rsidRPr="00E06028">
        <w:rPr>
          <w:rFonts w:ascii="Noto Sans" w:eastAsia="Gill Sans" w:hAnsi="Noto Sans" w:cs="Noto Sans"/>
          <w:sz w:val="20"/>
          <w:szCs w:val="20"/>
          <w:lang w:val="fr-FR"/>
        </w:rPr>
        <w:br/>
        <w:t>Domino emploie plus de 3 000 personnes à travers le monde et ses produits sont vendus dans plus de 120 pays grâce à un réseau mondial de 29 filiales et de plus de 200 distributeurs. Domino possède des sites de production en Allemagne, en Chine, aux États-Unis, en Inde, au Royaume-Uni, en Suède et en Suisse.</w:t>
      </w:r>
      <w:r w:rsidRPr="00E06028">
        <w:rPr>
          <w:rFonts w:ascii="Noto Sans" w:eastAsia="Gill Sans" w:hAnsi="Noto Sans" w:cs="Noto Sans"/>
          <w:sz w:val="20"/>
          <w:szCs w:val="20"/>
          <w:lang w:val="fr-FR"/>
        </w:rPr>
        <w:br/>
      </w:r>
      <w:r w:rsidRPr="00E06028">
        <w:rPr>
          <w:rFonts w:ascii="Noto Sans" w:eastAsia="Gill Sans" w:hAnsi="Noto Sans" w:cs="Noto Sans"/>
          <w:sz w:val="20"/>
          <w:szCs w:val="20"/>
          <w:lang w:val="fr-FR"/>
        </w:rPr>
        <w:br/>
        <w:t xml:space="preserve">Depuis le 11 juin 2015, Domino est une division autonome de Brother Industries Ltd. </w:t>
      </w:r>
      <w:r w:rsidRPr="00E06028">
        <w:rPr>
          <w:rFonts w:ascii="Noto Sans" w:eastAsia="Gill Sans" w:hAnsi="Noto Sans" w:cs="Noto Sans"/>
          <w:sz w:val="20"/>
          <w:szCs w:val="20"/>
          <w:lang w:val="fr-FR"/>
        </w:rPr>
        <w:br/>
      </w:r>
      <w:r w:rsidRPr="00E06028">
        <w:rPr>
          <w:rFonts w:ascii="Noto Sans" w:eastAsia="Gill Sans" w:hAnsi="Noto Sans" w:cs="Noto Sans"/>
          <w:sz w:val="20"/>
          <w:szCs w:val="20"/>
          <w:lang w:val="fr-FR"/>
        </w:rPr>
        <w:lastRenderedPageBreak/>
        <w:br/>
        <w:t xml:space="preserve">Pour plus d'informations sur Domino, veuillez consulter </w:t>
      </w:r>
      <w:hyperlink r:id="rId9" w:history="1">
        <w:r w:rsidRPr="00E06028">
          <w:rPr>
            <w:rStyle w:val="Hyperlink"/>
            <w:rFonts w:ascii="Noto Sans" w:eastAsia="Gill Sans" w:hAnsi="Noto Sans" w:cs="Noto Sans"/>
            <w:sz w:val="20"/>
            <w:szCs w:val="20"/>
            <w:lang w:val="fr-FR"/>
          </w:rPr>
          <w:t>www.domino-printing.com</w:t>
        </w:r>
      </w:hyperlink>
      <w:r w:rsidRPr="00E06028">
        <w:rPr>
          <w:rFonts w:ascii="Noto Sans" w:eastAsia="Gill Sans" w:hAnsi="Noto Sans" w:cs="Noto Sans"/>
          <w:sz w:val="20"/>
          <w:szCs w:val="20"/>
          <w:lang w:val="fr-FR"/>
        </w:rPr>
        <w:t xml:space="preserve"> </w:t>
      </w:r>
      <w:r w:rsidRPr="00E06028">
        <w:rPr>
          <w:rFonts w:ascii="Noto Sans" w:eastAsia="Gill Sans" w:hAnsi="Noto Sans" w:cs="Noto Sans"/>
          <w:sz w:val="20"/>
          <w:szCs w:val="20"/>
          <w:lang w:val="fr-FR"/>
        </w:rPr>
        <w:br/>
      </w:r>
      <w:r w:rsidRPr="00E06028">
        <w:rPr>
          <w:rFonts w:ascii="Noto Sans" w:eastAsia="Gill Sans" w:hAnsi="Noto Sans" w:cs="Noto Sans"/>
          <w:sz w:val="20"/>
          <w:szCs w:val="20"/>
          <w:lang w:val="fr-FR"/>
        </w:rPr>
        <w:br/>
      </w:r>
      <w:r w:rsidRPr="00E06028">
        <w:rPr>
          <w:rFonts w:ascii="Noto Sans" w:eastAsia="Gill Sans" w:hAnsi="Noto Sans" w:cs="Noto Sans"/>
          <w:b/>
          <w:bCs/>
          <w:sz w:val="20"/>
          <w:szCs w:val="20"/>
          <w:lang w:val="fr-FR"/>
        </w:rPr>
        <w:t>Pour de plus amples renseignements, veuillez contacter :</w:t>
      </w:r>
      <w:r w:rsidRPr="00E06028">
        <w:rPr>
          <w:rFonts w:ascii="Noto Sans" w:eastAsia="Gill Sans" w:hAnsi="Noto Sans" w:cs="Noto Sans"/>
          <w:b/>
          <w:sz w:val="20"/>
          <w:szCs w:val="20"/>
          <w:lang w:val="fr-FR"/>
        </w:rPr>
        <w:br/>
      </w:r>
      <w:r w:rsidRPr="00E06028">
        <w:rPr>
          <w:rFonts w:ascii="Noto Sans" w:eastAsia="Gill Sans" w:hAnsi="Noto Sans" w:cs="Noto Sans"/>
          <w:b/>
          <w:sz w:val="20"/>
          <w:szCs w:val="20"/>
          <w:lang w:val="fr-FR"/>
        </w:rPr>
        <w:br/>
      </w:r>
      <w:r w:rsidRPr="00F4774E">
        <w:rPr>
          <w:rFonts w:ascii="Noto Sans" w:hAnsi="Noto Sans" w:cs="Noto Sans"/>
          <w:sz w:val="20"/>
          <w:szCs w:val="20"/>
          <w:lang w:val="nl"/>
        </w:rPr>
        <w:t>Jade Taylor-Salazar</w:t>
      </w:r>
      <w:r w:rsidRPr="00E06028">
        <w:rPr>
          <w:rFonts w:ascii="Noto Sans" w:hAnsi="Noto Sans" w:cs="Noto Sans"/>
          <w:sz w:val="20"/>
          <w:szCs w:val="20"/>
          <w:lang w:val="fr-FR"/>
        </w:rPr>
        <w:br/>
        <w:t xml:space="preserve">Spécialiste en contenu rédactionnel </w:t>
      </w:r>
      <w:r w:rsidRPr="00E06028">
        <w:rPr>
          <w:rFonts w:ascii="Noto Sans" w:hAnsi="Noto Sans" w:cs="Noto Sans"/>
          <w:sz w:val="20"/>
          <w:szCs w:val="20"/>
          <w:lang w:val="fr-FR"/>
        </w:rPr>
        <w:br/>
        <w:t xml:space="preserve">Domino Printing Sciences </w:t>
      </w:r>
      <w:r w:rsidRPr="00E06028">
        <w:rPr>
          <w:rFonts w:ascii="Noto Sans" w:hAnsi="Noto Sans" w:cs="Noto Sans"/>
          <w:sz w:val="20"/>
          <w:szCs w:val="20"/>
          <w:lang w:val="fr-FR"/>
        </w:rPr>
        <w:br/>
        <w:t>Tél. : +44 (0) 1954 778780</w:t>
      </w:r>
      <w:r w:rsidRPr="00E06028">
        <w:rPr>
          <w:rFonts w:ascii="Noto Sans" w:hAnsi="Noto Sans" w:cs="Noto Sans"/>
          <w:sz w:val="20"/>
          <w:szCs w:val="20"/>
          <w:lang w:val="fr-FR"/>
        </w:rPr>
        <w:br/>
      </w:r>
      <w:hyperlink r:id="rId10" w:history="1">
        <w:r w:rsidRPr="00F623A5">
          <w:rPr>
            <w:rStyle w:val="Hyperlink"/>
            <w:rFonts w:ascii="Noto Sans" w:hAnsi="Noto Sans" w:cs="Noto Sans"/>
            <w:sz w:val="20"/>
            <w:szCs w:val="20"/>
            <w:lang w:val="fr-FR"/>
          </w:rPr>
          <w:t>Jade.Taylor-Salazar@domino-uk.com</w:t>
        </w:r>
      </w:hyperlink>
      <w:r w:rsidRPr="00E06028">
        <w:rPr>
          <w:rFonts w:ascii="Noto Sans" w:eastAsia="Verdana" w:hAnsi="Noto Sans" w:cs="Noto Sans"/>
          <w:sz w:val="20"/>
          <w:szCs w:val="20"/>
          <w:lang w:val="fr-FR"/>
        </w:rPr>
        <w:br/>
      </w:r>
      <w:r w:rsidRPr="00E06028">
        <w:rPr>
          <w:rFonts w:ascii="Noto Sans" w:eastAsia="Verdana" w:hAnsi="Noto Sans" w:cs="Noto Sans"/>
          <w:sz w:val="20"/>
          <w:szCs w:val="20"/>
          <w:lang w:val="fr-FR"/>
        </w:rPr>
        <w:br/>
      </w:r>
      <w:bookmarkEnd w:id="0"/>
      <w:bookmarkEnd w:id="1"/>
      <w:r w:rsidRPr="00E06028">
        <w:rPr>
          <w:rFonts w:ascii="Noto Sans" w:hAnsi="Noto Sans" w:cs="Noto Sans"/>
          <w:sz w:val="20"/>
          <w:szCs w:val="20"/>
          <w:lang w:val="fr-FR"/>
        </w:rPr>
        <w:t>Delphine Baudesson</w:t>
      </w:r>
      <w:r w:rsidRPr="00E06028">
        <w:rPr>
          <w:rFonts w:ascii="Noto Sans" w:hAnsi="Noto Sans" w:cs="Noto Sans"/>
          <w:sz w:val="20"/>
          <w:szCs w:val="20"/>
          <w:lang w:val="fr-FR"/>
        </w:rPr>
        <w:br/>
        <w:t xml:space="preserve">Responsable du marketing </w:t>
      </w:r>
      <w:r w:rsidRPr="00E06028">
        <w:rPr>
          <w:rFonts w:ascii="Noto Sans" w:hAnsi="Noto Sans" w:cs="Noto Sans"/>
          <w:sz w:val="20"/>
          <w:szCs w:val="20"/>
          <w:lang w:val="fr-FR"/>
        </w:rPr>
        <w:br/>
        <w:t>Domino Printing Sciences France</w:t>
      </w:r>
      <w:r w:rsidRPr="00E06028">
        <w:rPr>
          <w:rFonts w:ascii="Noto Sans" w:hAnsi="Noto Sans" w:cs="Noto Sans"/>
          <w:sz w:val="20"/>
          <w:szCs w:val="20"/>
          <w:lang w:val="fr-FR"/>
        </w:rPr>
        <w:br/>
        <w:t>Tél. : +33 6 78 58 81 59</w:t>
      </w:r>
      <w:r w:rsidRPr="00E06028">
        <w:rPr>
          <w:rFonts w:ascii="Noto Sans" w:hAnsi="Noto Sans" w:cs="Noto Sans"/>
          <w:sz w:val="20"/>
          <w:szCs w:val="20"/>
          <w:lang w:val="fr-FR"/>
        </w:rPr>
        <w:br/>
      </w:r>
      <w:hyperlink r:id="rId11" w:history="1">
        <w:r w:rsidRPr="00E06028">
          <w:rPr>
            <w:rStyle w:val="Hyperlink"/>
            <w:rFonts w:ascii="Noto Sans" w:hAnsi="Noto Sans" w:cs="Noto Sans"/>
            <w:sz w:val="20"/>
            <w:szCs w:val="20"/>
            <w:lang w:val="fr-FR"/>
          </w:rPr>
          <w:t>delphine.baudesson@domino-marquage.com</w:t>
        </w:r>
      </w:hyperlink>
      <w:r w:rsidRPr="00E06028">
        <w:rPr>
          <w:rStyle w:val="Hyperlink"/>
          <w:rFonts w:ascii="Noto Sans" w:hAnsi="Noto Sans" w:cs="Noto Sans"/>
          <w:sz w:val="20"/>
          <w:szCs w:val="20"/>
          <w:lang w:val="fr-FR"/>
        </w:rPr>
        <w:br/>
      </w:r>
      <w:r w:rsidRPr="00E06028">
        <w:rPr>
          <w:rFonts w:ascii="Noto Sans" w:hAnsi="Noto Sans" w:cs="Noto Sans"/>
          <w:sz w:val="20"/>
          <w:szCs w:val="20"/>
          <w:lang w:val="fr-FR"/>
        </w:rPr>
        <w:br/>
      </w:r>
    </w:p>
    <w:p w14:paraId="53EB7C38" w14:textId="77777777" w:rsidR="005524DB" w:rsidRPr="008E7573" w:rsidRDefault="005524DB" w:rsidP="008E7573"/>
    <w:sectPr w:rsidR="005524DB" w:rsidRPr="008E7573" w:rsidSect="000F6D00">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1531" w:footer="226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3F388C" w14:textId="77777777" w:rsidR="005B672B" w:rsidRDefault="005B672B" w:rsidP="00785717">
      <w:pPr>
        <w:spacing w:line="240" w:lineRule="auto"/>
      </w:pPr>
      <w:r>
        <w:separator/>
      </w:r>
    </w:p>
  </w:endnote>
  <w:endnote w:type="continuationSeparator" w:id="0">
    <w:p w14:paraId="75E1C0D3" w14:textId="77777777" w:rsidR="005B672B" w:rsidRDefault="005B672B" w:rsidP="0078571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Noto Sans">
    <w:panose1 w:val="020B0502040504020204"/>
    <w:charset w:val="00"/>
    <w:family w:val="swiss"/>
    <w:pitch w:val="variable"/>
    <w:sig w:usb0="E00082FF" w:usb1="4000205F" w:usb2="08000029" w:usb3="00000000" w:csb0="0000019F" w:csb1="00000000"/>
  </w:font>
  <w:font w:name="Gill Sans">
    <w:altName w:val="Arial"/>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0F32A" w14:textId="77777777" w:rsidR="00EC1C5A" w:rsidRDefault="00EC1C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523E4" w14:textId="77777777" w:rsidR="00785717" w:rsidRDefault="000F6D00" w:rsidP="00785717">
    <w:pPr>
      <w:pStyle w:val="Footer"/>
    </w:pPr>
    <w:r>
      <w:rPr>
        <w:noProof/>
      </w:rPr>
      <w:drawing>
        <wp:anchor distT="0" distB="0" distL="114300" distR="114300" simplePos="0" relativeHeight="251659264" behindDoc="0" locked="0" layoutInCell="1" allowOverlap="1" wp14:anchorId="5F1A3A08" wp14:editId="0C311E39">
          <wp:simplePos x="0" y="0"/>
          <wp:positionH relativeFrom="column">
            <wp:posOffset>4953000</wp:posOffset>
          </wp:positionH>
          <wp:positionV relativeFrom="paragraph">
            <wp:posOffset>1231440</wp:posOffset>
          </wp:positionV>
          <wp:extent cx="1466850" cy="1393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466850" cy="139350"/>
                  </a:xfrm>
                  <a:prstGeom prst="rect">
                    <a:avLst/>
                  </a:prstGeom>
                </pic:spPr>
              </pic:pic>
            </a:graphicData>
          </a:graphic>
          <wp14:sizeRelH relativeFrom="margin">
            <wp14:pctWidth>0</wp14:pctWidth>
          </wp14:sizeRelH>
          <wp14:sizeRelV relativeFrom="margin">
            <wp14:pctHeight>0</wp14:pctHeight>
          </wp14:sizeRelV>
        </wp:anchor>
      </w:drawing>
    </w:r>
    <w:r w:rsidR="00BC7C15">
      <w:rPr>
        <w:noProof/>
      </w:rPr>
      <w:drawing>
        <wp:anchor distT="0" distB="0" distL="114300" distR="114300" simplePos="0" relativeHeight="251658240" behindDoc="1" locked="0" layoutInCell="1" allowOverlap="1" wp14:anchorId="536137F7" wp14:editId="53ACCE9A">
          <wp:simplePos x="0" y="0"/>
          <wp:positionH relativeFrom="page">
            <wp:posOffset>47625</wp:posOffset>
          </wp:positionH>
          <wp:positionV relativeFrom="page">
            <wp:posOffset>9247505</wp:posOffset>
          </wp:positionV>
          <wp:extent cx="7448550" cy="1259840"/>
          <wp:effectExtent l="0" t="0" r="0" b="0"/>
          <wp:wrapNone/>
          <wp:docPr id="1" name="Picture 1" descr="A picture containing knif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knife&#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7448550" cy="125984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3FA95" w14:textId="77777777" w:rsidR="00EC1C5A" w:rsidRDefault="00EC1C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DC9CB7" w14:textId="77777777" w:rsidR="005B672B" w:rsidRDefault="005B672B" w:rsidP="00785717">
      <w:pPr>
        <w:spacing w:line="240" w:lineRule="auto"/>
      </w:pPr>
      <w:r>
        <w:separator/>
      </w:r>
    </w:p>
  </w:footnote>
  <w:footnote w:type="continuationSeparator" w:id="0">
    <w:p w14:paraId="4608CD6C" w14:textId="77777777" w:rsidR="005B672B" w:rsidRDefault="005B672B" w:rsidP="0078571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7E0BA" w14:textId="77777777" w:rsidR="00EC1C5A" w:rsidRDefault="00EC1C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5D583" w14:textId="77777777" w:rsidR="000F6D00" w:rsidRDefault="002766D9">
    <w:pPr>
      <w:pStyle w:val="Header"/>
    </w:pPr>
    <w:r>
      <w:rPr>
        <w:noProof/>
      </w:rPr>
      <w:drawing>
        <wp:anchor distT="0" distB="0" distL="114300" distR="114300" simplePos="0" relativeHeight="251661312" behindDoc="0" locked="0" layoutInCell="1" allowOverlap="1" wp14:anchorId="652D8042" wp14:editId="1D9E5B1D">
          <wp:simplePos x="0" y="0"/>
          <wp:positionH relativeFrom="page">
            <wp:posOffset>228600</wp:posOffset>
          </wp:positionH>
          <wp:positionV relativeFrom="paragraph">
            <wp:posOffset>-972185</wp:posOffset>
          </wp:positionV>
          <wp:extent cx="2781300" cy="1096645"/>
          <wp:effectExtent l="0" t="0" r="0" b="0"/>
          <wp:wrapSquare wrapText="bothSides"/>
          <wp:docPr id="3" name="Picture 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a:picLocks noChangeAspect="1" noChangeArrowheads="1"/>
                  </pic:cNvPicPr>
                </pic:nvPicPr>
                <pic:blipFill rotWithShape="1">
                  <a:blip r:embed="rId1">
                    <a:clrChange>
                      <a:clrFrom>
                        <a:srgbClr val="FFFEFD"/>
                      </a:clrFrom>
                      <a:clrTo>
                        <a:srgbClr val="FFFEFD">
                          <a:alpha val="0"/>
                        </a:srgbClr>
                      </a:clrTo>
                    </a:clrChange>
                    <a:extLst>
                      <a:ext uri="{28A0092B-C50C-407E-A947-70E740481C1C}">
                        <a14:useLocalDpi xmlns:a14="http://schemas.microsoft.com/office/drawing/2010/main" val="0"/>
                      </a:ext>
                    </a:extLst>
                  </a:blip>
                  <a:srcRect b="11420"/>
                  <a:stretch/>
                </pic:blipFill>
                <pic:spPr bwMode="auto">
                  <a:xfrm>
                    <a:off x="0" y="0"/>
                    <a:ext cx="2781300" cy="10966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1E02A" w14:textId="77777777" w:rsidR="00EC1C5A" w:rsidRDefault="00EC1C5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64D"/>
    <w:rsid w:val="0002201E"/>
    <w:rsid w:val="000F6D00"/>
    <w:rsid w:val="00113106"/>
    <w:rsid w:val="001D743C"/>
    <w:rsid w:val="002766D9"/>
    <w:rsid w:val="002C3337"/>
    <w:rsid w:val="00372E92"/>
    <w:rsid w:val="005272B1"/>
    <w:rsid w:val="005524DB"/>
    <w:rsid w:val="005741C7"/>
    <w:rsid w:val="005B672B"/>
    <w:rsid w:val="0060122E"/>
    <w:rsid w:val="00647055"/>
    <w:rsid w:val="00660F46"/>
    <w:rsid w:val="00682566"/>
    <w:rsid w:val="00703D7F"/>
    <w:rsid w:val="00785717"/>
    <w:rsid w:val="007A4E85"/>
    <w:rsid w:val="008220B7"/>
    <w:rsid w:val="00823B77"/>
    <w:rsid w:val="008916A8"/>
    <w:rsid w:val="008B6461"/>
    <w:rsid w:val="008E7573"/>
    <w:rsid w:val="008F3E38"/>
    <w:rsid w:val="008F74D8"/>
    <w:rsid w:val="00923631"/>
    <w:rsid w:val="00931996"/>
    <w:rsid w:val="00943A95"/>
    <w:rsid w:val="009851A2"/>
    <w:rsid w:val="009A1716"/>
    <w:rsid w:val="009A1DEC"/>
    <w:rsid w:val="009D6280"/>
    <w:rsid w:val="009E564D"/>
    <w:rsid w:val="00A20B3C"/>
    <w:rsid w:val="00A34918"/>
    <w:rsid w:val="00AB11DA"/>
    <w:rsid w:val="00B23C3C"/>
    <w:rsid w:val="00B546C5"/>
    <w:rsid w:val="00B72851"/>
    <w:rsid w:val="00BC7C15"/>
    <w:rsid w:val="00C063FE"/>
    <w:rsid w:val="00C44603"/>
    <w:rsid w:val="00C541FE"/>
    <w:rsid w:val="00CF1AD5"/>
    <w:rsid w:val="00E03029"/>
    <w:rsid w:val="00E113E5"/>
    <w:rsid w:val="00EC1C5A"/>
    <w:rsid w:val="00F82F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75E0C"/>
  <w15:chartTrackingRefBased/>
  <w15:docId w15:val="{C5FE791E-4976-45BD-8795-31D7E3D9B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743C"/>
    <w:pPr>
      <w:spacing w:after="0" w:line="360" w:lineRule="auto"/>
    </w:pPr>
    <w:rPr>
      <w:rFonts w:ascii="Verdana" w:eastAsia="Calibri" w:hAnsi="Verdana" w:cs="Times New Roman"/>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5717"/>
    <w:pPr>
      <w:tabs>
        <w:tab w:val="center" w:pos="4513"/>
        <w:tab w:val="right" w:pos="9026"/>
      </w:tabs>
      <w:spacing w:line="240" w:lineRule="auto"/>
    </w:pPr>
    <w:rPr>
      <w:rFonts w:asciiTheme="minorHAnsi" w:eastAsiaTheme="minorHAnsi" w:hAnsiTheme="minorHAnsi" w:cstheme="minorBidi"/>
      <w:sz w:val="22"/>
    </w:rPr>
  </w:style>
  <w:style w:type="character" w:customStyle="1" w:styleId="HeaderChar">
    <w:name w:val="Header Char"/>
    <w:basedOn w:val="DefaultParagraphFont"/>
    <w:link w:val="Header"/>
    <w:uiPriority w:val="99"/>
    <w:rsid w:val="00785717"/>
  </w:style>
  <w:style w:type="paragraph" w:styleId="Footer">
    <w:name w:val="footer"/>
    <w:basedOn w:val="Normal"/>
    <w:link w:val="FooterChar"/>
    <w:uiPriority w:val="99"/>
    <w:unhideWhenUsed/>
    <w:rsid w:val="00785717"/>
    <w:pPr>
      <w:tabs>
        <w:tab w:val="center" w:pos="4513"/>
        <w:tab w:val="right" w:pos="9026"/>
      </w:tabs>
      <w:spacing w:line="240" w:lineRule="auto"/>
    </w:pPr>
    <w:rPr>
      <w:rFonts w:asciiTheme="minorHAnsi" w:eastAsiaTheme="minorHAnsi" w:hAnsiTheme="minorHAnsi" w:cstheme="minorBidi"/>
      <w:sz w:val="22"/>
    </w:rPr>
  </w:style>
  <w:style w:type="character" w:customStyle="1" w:styleId="FooterChar">
    <w:name w:val="Footer Char"/>
    <w:basedOn w:val="DefaultParagraphFont"/>
    <w:link w:val="Footer"/>
    <w:uiPriority w:val="99"/>
    <w:rsid w:val="00785717"/>
  </w:style>
  <w:style w:type="character" w:styleId="Hyperlink">
    <w:name w:val="Hyperlink"/>
    <w:basedOn w:val="DefaultParagraphFont"/>
    <w:uiPriority w:val="99"/>
    <w:rsid w:val="001D743C"/>
    <w:rPr>
      <w:color w:val="0000FF"/>
      <w:u w:val="single"/>
    </w:rPr>
  </w:style>
  <w:style w:type="paragraph" w:styleId="NoSpacing">
    <w:name w:val="No Spacing"/>
    <w:uiPriority w:val="1"/>
    <w:qFormat/>
    <w:rsid w:val="001D743C"/>
    <w:pPr>
      <w:spacing w:after="0" w:line="240" w:lineRule="auto"/>
    </w:pPr>
    <w:rPr>
      <w:rFonts w:ascii="Verdana" w:eastAsia="Calibri" w:hAnsi="Verdana" w:cs="Times New Roman"/>
      <w:sz w:val="18"/>
    </w:rPr>
  </w:style>
  <w:style w:type="character" w:styleId="UnresolvedMention">
    <w:name w:val="Unresolved Mention"/>
    <w:basedOn w:val="DefaultParagraphFont"/>
    <w:uiPriority w:val="99"/>
    <w:semiHidden/>
    <w:unhideWhenUsed/>
    <w:rsid w:val="00931996"/>
    <w:rPr>
      <w:color w:val="605E5C"/>
      <w:shd w:val="clear" w:color="auto" w:fill="E1DFDD"/>
    </w:rPr>
  </w:style>
  <w:style w:type="character" w:styleId="CommentReference">
    <w:name w:val="annotation reference"/>
    <w:basedOn w:val="DefaultParagraphFont"/>
    <w:uiPriority w:val="99"/>
    <w:semiHidden/>
    <w:unhideWhenUsed/>
    <w:rsid w:val="009851A2"/>
    <w:rPr>
      <w:sz w:val="16"/>
      <w:szCs w:val="16"/>
    </w:rPr>
  </w:style>
  <w:style w:type="paragraph" w:styleId="CommentText">
    <w:name w:val="annotation text"/>
    <w:basedOn w:val="Normal"/>
    <w:link w:val="CommentTextChar"/>
    <w:uiPriority w:val="99"/>
    <w:unhideWhenUsed/>
    <w:rsid w:val="009851A2"/>
    <w:pPr>
      <w:spacing w:after="160" w:line="240" w:lineRule="auto"/>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9851A2"/>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se.gov.uk/construction/healthrisks/hazardous-substances/cement.htm"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domino-printing.com/fr-fr/home.aspx?utm_medium=non-paid&amp;utm_source=onlinepublication&amp;utm_content=bandc-beyond-compliance-tlp-fr&amp;utm_campaign=2026-fr-fr-global-pr-cm-fy26-q1"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ettings" Target="settings.xml"/><Relationship Id="rId16" Type="http://schemas.openxmlformats.org/officeDocument/2006/relationships/header" Target="header3.xml"/><Relationship Id="rId1" Type="http://schemas.openxmlformats.org/officeDocument/2006/relationships/styles" Target="styles.xml"/><Relationship Id="rId6" Type="http://schemas.openxmlformats.org/officeDocument/2006/relationships/hyperlink" Target="https://www.domino-printing.com/fr-fr/blog/2025/construire-plus-intelligemment-le-role-des-codes-2d-dans-la-rationalisation-de-la-coordination?utm_medium=non-paid&amp;utm_source=onlinepublication&amp;utm_content=bandc-beyond-compliance-tlp-fr&amp;utm_campaign=2026-fr-fr-global-pr-cm-fy26-q1" TargetMode="External"/><Relationship Id="rId11" Type="http://schemas.openxmlformats.org/officeDocument/2006/relationships/hyperlink" Target="mailto:delphine.baudesson@domino-marquage.com" TargetMode="External"/><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hyperlink" Target="mailto:Jade.Taylor-Salazar@domino-uk.com"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www.domino-printing.com"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_Taylor-Salazar\AppData\Roaming\Microsoft\Templates\header%20and%20foot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header and footer</Template>
  <TotalTime>5</TotalTime>
  <Pages>6</Pages>
  <Words>2107</Words>
  <Characters>12012</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Jade Taylor-Salazar</dc:creator>
  <cp:keywords/>
  <dc:description/>
  <cp:lastModifiedBy>Jade Taylor-Salazar</cp:lastModifiedBy>
  <cp:revision>5</cp:revision>
  <dcterms:created xsi:type="dcterms:W3CDTF">2026-07-21T12:14:00Z</dcterms:created>
  <dcterms:modified xsi:type="dcterms:W3CDTF">2026-08-07T14:07:00Z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8c460ca5-f23d-4821-b40e-ba4a1f2458c0</vt:lpwstr>
  </property>
</Properties>
</file>