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FB1B" w14:textId="77777777" w:rsidR="005956F1" w:rsidRPr="005956F1" w:rsidRDefault="005956F1" w:rsidP="005956F1">
      <w:pPr>
        <w:spacing w:after="160" w:line="276" w:lineRule="auto"/>
        <w:rPr>
          <w:rFonts w:ascii="Noto Sans" w:eastAsiaTheme="minorHAnsi" w:hAnsi="Noto Sans" w:cs="Noto Sans"/>
          <w:sz w:val="28"/>
          <w:szCs w:val="28"/>
        </w:rPr>
      </w:pPr>
      <w:r w:rsidRPr="005956F1">
        <w:rPr>
          <w:rFonts w:ascii="Noto Sans" w:eastAsiaTheme="minorHAnsi" w:hAnsi="Noto Sans" w:cs="Noto Sans"/>
          <w:b/>
          <w:bCs/>
          <w:sz w:val="28"/>
          <w:szCs w:val="28"/>
        </w:rPr>
        <w:t>Beyond Compliance: Unlocking Value from Traceability in Building and Construction</w:t>
      </w:r>
    </w:p>
    <w:p w14:paraId="0EE92356" w14:textId="7D017726" w:rsidR="005956F1" w:rsidRPr="005956F1" w:rsidRDefault="005956F1" w:rsidP="005956F1">
      <w:pPr>
        <w:spacing w:after="160" w:line="276" w:lineRule="auto"/>
        <w:rPr>
          <w:rFonts w:ascii="Noto Sans" w:eastAsiaTheme="minorHAnsi" w:hAnsi="Noto Sans" w:cs="Noto Sans"/>
          <w:i/>
          <w:iCs/>
          <w:sz w:val="22"/>
        </w:rPr>
      </w:pPr>
      <w:r w:rsidRPr="005956F1">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5956F1">
          <w:rPr>
            <w:rFonts w:ascii="Noto Sans" w:eastAsiaTheme="minorHAnsi" w:hAnsi="Noto Sans" w:cs="Noto Sans"/>
            <w:i/>
            <w:iCs/>
            <w:color w:val="0563C1" w:themeColor="hyperlink"/>
            <w:sz w:val="22"/>
            <w:u w:val="single"/>
          </w:rPr>
          <w:t>additional potential benefits to the industry</w:t>
        </w:r>
      </w:hyperlink>
      <w:r w:rsidRPr="005956F1">
        <w:rPr>
          <w:rFonts w:ascii="Noto Sans" w:eastAsiaTheme="minorHAnsi" w:hAnsi="Noto Sans" w:cs="Noto Sans"/>
          <w:i/>
          <w:iCs/>
          <w:sz w:val="22"/>
        </w:rPr>
        <w:t xml:space="preserve"> that are compelling. </w:t>
      </w:r>
    </w:p>
    <w:p w14:paraId="20FD5CA2" w14:textId="77777777" w:rsidR="005956F1" w:rsidRDefault="005956F1" w:rsidP="005956F1">
      <w:pPr>
        <w:spacing w:after="160" w:line="276" w:lineRule="auto"/>
        <w:rPr>
          <w:rFonts w:ascii="Noto Sans" w:eastAsiaTheme="minorHAnsi" w:hAnsi="Noto Sans" w:cs="Noto Sans"/>
          <w:i/>
          <w:iCs/>
          <w:sz w:val="22"/>
        </w:rPr>
      </w:pPr>
      <w:r w:rsidRPr="005956F1">
        <w:rPr>
          <w:rFonts w:ascii="Noto Sans" w:eastAsiaTheme="minorHAnsi" w:hAnsi="Noto Sans" w:cs="Noto Sans"/>
          <w:i/>
          <w:iCs/>
          <w:sz w:val="22"/>
        </w:rPr>
        <w:t>Digital product passports will ensure building and construction products and components are identifiable</w:t>
      </w:r>
      <w:r w:rsidRPr="005956F1">
        <w:rPr>
          <w:rFonts w:ascii="Noto Sans" w:eastAsia="Segoe UI" w:hAnsi="Noto Sans" w:cs="Noto Sans"/>
          <w:i/>
          <w:iCs/>
          <w:color w:val="323130"/>
          <w:sz w:val="22"/>
        </w:rPr>
        <w:t xml:space="preserve"> from design, production, construction, and maintenance, right through to deconstruction and recycling. This ‘</w:t>
      </w:r>
      <w:r w:rsidRPr="005956F1">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73CAD849" w14:textId="10CBF303" w:rsidR="005956F1" w:rsidRDefault="005956F1" w:rsidP="005956F1">
      <w:pPr>
        <w:spacing w:line="276" w:lineRule="auto"/>
        <w:jc w:val="both"/>
        <w:rPr>
          <w:rFonts w:ascii="Noto Sans" w:hAnsi="Noto Sans" w:cs="Noto Sans"/>
          <w:i/>
          <w:iCs/>
          <w:sz w:val="22"/>
        </w:rPr>
      </w:pPr>
      <w:r w:rsidRPr="005956F1">
        <w:rPr>
          <w:rFonts w:ascii="Noto Sans" w:hAnsi="Noto Sans" w:cs="Noto Sans"/>
          <w:i/>
          <w:iCs/>
          <w:sz w:val="22"/>
        </w:rPr>
        <w:t xml:space="preserve">As Rob Ellinor, Global Building &amp; Construction Sector Manager, </w:t>
      </w:r>
      <w:hyperlink r:id="rId7" w:history="1">
        <w:r w:rsidRPr="005956F1">
          <w:rPr>
            <w:rStyle w:val="Hyperlink"/>
            <w:rFonts w:ascii="Noto Sans" w:hAnsi="Noto Sans" w:cs="Noto Sans"/>
            <w:i/>
            <w:iCs/>
            <w:sz w:val="22"/>
          </w:rPr>
          <w:t>Domino</w:t>
        </w:r>
      </w:hyperlink>
      <w:r w:rsidRPr="005956F1">
        <w:rPr>
          <w:rFonts w:ascii="Noto Sans" w:hAnsi="Noto Sans" w:cs="Noto Sans"/>
          <w:i/>
          <w:iCs/>
          <w:sz w:val="22"/>
        </w:rPr>
        <w:t xml:space="preserve"> explains.</w:t>
      </w:r>
    </w:p>
    <w:p w14:paraId="3151FC24" w14:textId="77777777" w:rsidR="005956F1" w:rsidRPr="005956F1" w:rsidRDefault="005956F1" w:rsidP="005956F1">
      <w:pPr>
        <w:spacing w:line="276" w:lineRule="auto"/>
        <w:jc w:val="both"/>
        <w:rPr>
          <w:rFonts w:ascii="Noto Sans" w:eastAsiaTheme="minorHAnsi" w:hAnsi="Noto Sans" w:cs="Noto Sans"/>
          <w:i/>
          <w:iCs/>
          <w:sz w:val="22"/>
        </w:rPr>
      </w:pPr>
    </w:p>
    <w:p w14:paraId="32D763C8"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 xml:space="preserve">Escalating construction compliance </w:t>
      </w:r>
    </w:p>
    <w:p w14:paraId="0C1BBA97" w14:textId="427FAA3D"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New EU regulations including the Construction Products Regulation (CPR) are set to place new demands on manufacturers and suppliers of construction products. </w:t>
      </w:r>
      <w:r w:rsidR="004F6AA8">
        <w:rPr>
          <w:rFonts w:ascii="Noto Sans" w:eastAsiaTheme="minorHAnsi" w:hAnsi="Noto Sans" w:cs="Noto Sans"/>
          <w:sz w:val="22"/>
        </w:rPr>
        <w:t>T</w:t>
      </w:r>
      <w:r w:rsidRPr="005956F1">
        <w:rPr>
          <w:rFonts w:ascii="Noto Sans" w:eastAsiaTheme="minorHAnsi" w:hAnsi="Noto Sans" w:cs="Noto Sans"/>
          <w:sz w:val="22"/>
        </w:rPr>
        <w:t xml:space="preserve">he direction of travel is clear: manufacturers will need to provide structured, digital product information that can be accessed and shared consistently throughout the lifecycle of a building. </w:t>
      </w:r>
    </w:p>
    <w:p w14:paraId="1ED1D88C"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736D3458"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accelerate change and encourage the widespread adoption of standards required to achieve a more consistent and transparent construction process.</w:t>
      </w:r>
    </w:p>
    <w:p w14:paraId="3F7E0ABB"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lastRenderedPageBreak/>
        <w:t>Data standards support construction compliance</w:t>
      </w:r>
    </w:p>
    <w:p w14:paraId="616E7E06"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66E5A111"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1260F0C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2C02CA55"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 xml:space="preserve">Extracting value from data beyond compliance </w:t>
      </w:r>
    </w:p>
    <w:p w14:paraId="0218DAE7"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0E926FF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the risk of expensive delays or inspection failures. Indeed, site inspectors with detailed </w:t>
      </w:r>
      <w:r w:rsidRPr="005956F1">
        <w:rPr>
          <w:rFonts w:ascii="Noto Sans" w:eastAsiaTheme="minorHAnsi" w:hAnsi="Noto Sans" w:cs="Noto Sans"/>
          <w:sz w:val="22"/>
        </w:rPr>
        <w:lastRenderedPageBreak/>
        <w:t xml:space="preserve">insight in advance into the specific high-risk areas that require assessment, can achieve more focused and faster inspections and sign off. </w:t>
      </w:r>
    </w:p>
    <w:p w14:paraId="22DF0CDD"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61FD3D7E"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Leveraging data to improve operational performance</w:t>
      </w:r>
    </w:p>
    <w:p w14:paraId="4B2D085A"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5956F1">
          <w:rPr>
            <w:rFonts w:ascii="Noto Sans" w:eastAsiaTheme="minorHAnsi" w:hAnsi="Noto Sans" w:cs="Noto Sans"/>
            <w:color w:val="0563C1" w:themeColor="hyperlink"/>
            <w:sz w:val="22"/>
            <w:u w:val="single"/>
          </w:rPr>
          <w:t>hazardous to workers</w:t>
        </w:r>
      </w:hyperlink>
      <w:r w:rsidRPr="005956F1">
        <w:rPr>
          <w:rFonts w:ascii="Noto Sans" w:eastAsiaTheme="minorHAnsi" w:hAnsi="Noto Sans" w:cs="Noto Sans"/>
          <w:sz w:val="22"/>
        </w:rPr>
        <w:t xml:space="preserve"> and undermine building integrity.</w:t>
      </w:r>
    </w:p>
    <w:p w14:paraId="19A64F05"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1C3242F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4F40CB63"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Leveraging compliance to achieve competitive advantage</w:t>
      </w:r>
    </w:p>
    <w:p w14:paraId="03C768E3"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opportunity for materials manufacturers to become embedded within the end-to-end </w:t>
      </w:r>
      <w:r w:rsidRPr="005956F1">
        <w:rPr>
          <w:rFonts w:ascii="Noto Sans" w:eastAsiaTheme="minorHAnsi" w:hAnsi="Noto Sans" w:cs="Noto Sans"/>
          <w:sz w:val="22"/>
        </w:rPr>
        <w:lastRenderedPageBreak/>
        <w:t xml:space="preserve">supply chain, offering additional value to construction companies that is a tangible commercial differentiator. </w:t>
      </w:r>
    </w:p>
    <w:p w14:paraId="140F90BA"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recognise that building and construction manufacturers can deliver significant value throughout a connected and collaborative supply chain.</w:t>
      </w:r>
    </w:p>
    <w:p w14:paraId="342FF541" w14:textId="77777777" w:rsidR="005956F1" w:rsidRPr="005956F1" w:rsidRDefault="005956F1" w:rsidP="005956F1">
      <w:pPr>
        <w:spacing w:after="160" w:line="259" w:lineRule="auto"/>
        <w:rPr>
          <w:rFonts w:ascii="Noto Sans" w:eastAsiaTheme="minorHAnsi" w:hAnsi="Noto Sans" w:cs="Noto Sans"/>
          <w:b/>
          <w:bCs/>
          <w:sz w:val="22"/>
        </w:rPr>
      </w:pPr>
      <w:r w:rsidRPr="005956F1">
        <w:rPr>
          <w:rFonts w:ascii="Noto Sans" w:eastAsiaTheme="minorHAnsi" w:hAnsi="Noto Sans" w:cs="Noto Sans"/>
          <w:b/>
          <w:bCs/>
          <w:sz w:val="22"/>
        </w:rPr>
        <w:t>&lt;ENDS&gt;</w:t>
      </w:r>
    </w:p>
    <w:p w14:paraId="2EE0959B" w14:textId="77777777" w:rsidR="005956F1" w:rsidRPr="005956F1" w:rsidRDefault="005956F1" w:rsidP="005956F1">
      <w:pPr>
        <w:spacing w:after="160" w:line="259" w:lineRule="auto"/>
        <w:rPr>
          <w:rFonts w:ascii="Noto Sans" w:eastAsiaTheme="minorHAnsi" w:hAnsi="Noto Sans" w:cs="Noto Sans"/>
          <w:b/>
          <w:bCs/>
          <w:sz w:val="22"/>
        </w:rPr>
      </w:pPr>
    </w:p>
    <w:p w14:paraId="78D830B9" w14:textId="77777777" w:rsidR="005956F1" w:rsidRPr="005956F1" w:rsidRDefault="005956F1" w:rsidP="005956F1">
      <w:pPr>
        <w:spacing w:after="160" w:line="259" w:lineRule="auto"/>
        <w:rPr>
          <w:rFonts w:asciiTheme="minorHAnsi" w:eastAsiaTheme="minorHAnsi" w:hAnsiTheme="minorHAnsi" w:cstheme="minorBidi"/>
          <w:sz w:val="22"/>
        </w:rPr>
      </w:pPr>
      <w:bookmarkStart w:id="0" w:name="_Hlk531088985"/>
      <w:r w:rsidRPr="005956F1">
        <w:rPr>
          <w:rFonts w:ascii="Noto Sans" w:eastAsiaTheme="minorHAnsi" w:hAnsi="Noto Sans" w:cs="Noto Sans"/>
          <w:b/>
          <w:sz w:val="20"/>
          <w:szCs w:val="20"/>
        </w:rPr>
        <w:t>Disclaimers</w:t>
      </w:r>
      <w:bookmarkEnd w:id="0"/>
      <w:r w:rsidRPr="005956F1">
        <w:rPr>
          <w:rFonts w:ascii="Noto Sans" w:eastAsiaTheme="minorHAnsi" w:hAnsi="Noto Sans" w:cs="Noto Sans"/>
          <w:b/>
          <w:sz w:val="20"/>
          <w:szCs w:val="20"/>
        </w:rPr>
        <w:br/>
      </w:r>
      <w:r w:rsidRPr="005956F1">
        <w:rPr>
          <w:rFonts w:ascii="Noto Sans" w:eastAsiaTheme="minorHAnsi" w:hAnsi="Noto Sans" w:cs="Noto Sans"/>
          <w:b/>
          <w:bCs/>
          <w:sz w:val="20"/>
          <w:szCs w:val="20"/>
        </w:rPr>
        <w:br/>
        <w:t>Inks</w:t>
      </w:r>
      <w:r w:rsidRPr="005956F1">
        <w:rPr>
          <w:rFonts w:ascii="Noto Sans" w:eastAsiaTheme="minorHAnsi"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General</w:t>
      </w:r>
      <w:r w:rsidRPr="005956F1">
        <w:rPr>
          <w:rFonts w:ascii="Noto Sans" w:eastAsiaTheme="minorHAnsi" w:hAnsi="Noto Sans" w:cs="Noto Sans"/>
          <w:sz w:val="20"/>
          <w:szCs w:val="20"/>
        </w:rPr>
        <w:br/>
        <w:t xml:space="preserve">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Imagery</w:t>
      </w:r>
      <w:r w:rsidRPr="005956F1">
        <w:rPr>
          <w:rFonts w:ascii="Noto Sans" w:eastAsiaTheme="minorHAnsi"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Videos</w:t>
      </w:r>
      <w:r w:rsidRPr="005956F1">
        <w:rPr>
          <w:rFonts w:ascii="Noto Sans" w:eastAsiaTheme="minorHAnsi" w:hAnsi="Noto Sans" w:cs="Noto Sans"/>
          <w:sz w:val="20"/>
          <w:szCs w:val="20"/>
        </w:rPr>
        <w:br/>
        <w:t xml:space="preserve">This video is illustrative only and may include optional extras. Performance figures obtained under specific conditions; individual performance may vary. Errors and downtime on production </w:t>
      </w:r>
      <w:r w:rsidRPr="005956F1">
        <w:rPr>
          <w:rFonts w:ascii="Noto Sans" w:eastAsiaTheme="minorHAnsi" w:hAnsi="Noto Sans" w:cs="Noto Sans"/>
          <w:sz w:val="20"/>
          <w:szCs w:val="20"/>
        </w:rPr>
        <w:lastRenderedPageBreak/>
        <w:t>lines may be unavoidable. Nothing in this video forms part of any contract between you and Domino.</w:t>
      </w:r>
      <w:r w:rsidRPr="005956F1">
        <w:rPr>
          <w:rFonts w:ascii="Noto Sans" w:eastAsiaTheme="minorHAnsi" w:hAnsi="Noto Sans" w:cs="Noto Sans"/>
          <w:sz w:val="20"/>
          <w:szCs w:val="20"/>
        </w:rPr>
        <w:br/>
      </w:r>
      <w:bookmarkStart w:id="1" w:name="_Hlk61949672"/>
      <w:r w:rsidRPr="005956F1">
        <w:rPr>
          <w:rFonts w:ascii="Noto Sans" w:eastAsiaTheme="minorHAnsi" w:hAnsi="Noto Sans" w:cs="Noto Sans"/>
          <w:b/>
          <w:sz w:val="20"/>
          <w:szCs w:val="20"/>
        </w:rPr>
        <w:br/>
        <w:t>Notes to Editors:</w:t>
      </w:r>
      <w:r w:rsidRPr="005956F1">
        <w:rPr>
          <w:rFonts w:ascii="Noto Sans" w:eastAsiaTheme="minorHAnsi" w:hAnsi="Noto Sans" w:cs="Noto Sans"/>
          <w:b/>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About Domino</w:t>
      </w:r>
      <w:r w:rsidRPr="005956F1">
        <w:rPr>
          <w:rFonts w:ascii="Noto Sans" w:eastAsiaTheme="minorHAnsi" w:hAnsi="Noto Sans" w:cs="Noto Sans"/>
          <w:b/>
          <w:sz w:val="20"/>
          <w:szCs w:val="20"/>
        </w:rPr>
        <w:br/>
      </w:r>
      <w:r w:rsidRPr="005956F1">
        <w:rPr>
          <w:rFonts w:ascii="Noto Sans" w:eastAsiaTheme="minorHAnsi"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Domino became an autonomous division within Brother Industries Ltd. on 11</w:t>
      </w:r>
      <w:r w:rsidRPr="005956F1">
        <w:rPr>
          <w:rFonts w:ascii="Noto Sans" w:eastAsiaTheme="minorHAnsi" w:hAnsi="Noto Sans" w:cs="Noto Sans"/>
          <w:sz w:val="20"/>
          <w:szCs w:val="20"/>
          <w:vertAlign w:val="superscript"/>
        </w:rPr>
        <w:t>th</w:t>
      </w:r>
      <w:r w:rsidRPr="005956F1">
        <w:rPr>
          <w:rFonts w:ascii="Noto Sans" w:eastAsiaTheme="minorHAnsi" w:hAnsi="Noto Sans" w:cs="Noto Sans"/>
          <w:sz w:val="20"/>
          <w:szCs w:val="20"/>
        </w:rPr>
        <w:t xml:space="preserve"> June 2015.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For further information on Domino</w:t>
      </w:r>
      <w:r w:rsidRPr="005956F1">
        <w:rPr>
          <w:rFonts w:ascii="Noto Sans" w:eastAsiaTheme="minorHAnsi" w:hAnsi="Noto Sans" w:cs="Noto Sans"/>
          <w:sz w:val="20"/>
          <w:szCs w:val="20"/>
        </w:rPr>
        <w:br/>
        <w:t xml:space="preserve">Please visit </w:t>
      </w:r>
      <w:hyperlink r:id="rId9" w:history="1">
        <w:r w:rsidRPr="005956F1">
          <w:rPr>
            <w:rFonts w:ascii="Noto Sans" w:eastAsiaTheme="minorHAnsi" w:hAnsi="Noto Sans" w:cs="Noto Sans"/>
            <w:color w:val="0563C1" w:themeColor="hyperlink"/>
            <w:sz w:val="20"/>
            <w:szCs w:val="20"/>
            <w:u w:val="single"/>
          </w:rPr>
          <w:t>www.domino-printing.com</w:t>
        </w:r>
      </w:hyperlink>
      <w:r w:rsidRPr="005956F1">
        <w:rPr>
          <w:rFonts w:ascii="Noto Sans" w:eastAsiaTheme="minorHAnsi" w:hAnsi="Noto Sans" w:cs="Noto Sans"/>
          <w:sz w:val="20"/>
          <w:szCs w:val="20"/>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Issued on behalf of Domino by Neo PR Limited</w:t>
      </w:r>
      <w:r w:rsidRPr="005956F1">
        <w:rPr>
          <w:rFonts w:ascii="Noto Sans" w:eastAsiaTheme="minorHAnsi" w:hAnsi="Noto Sans" w:cs="Noto Sans"/>
          <w:sz w:val="20"/>
          <w:szCs w:val="20"/>
        </w:rPr>
        <w:t>.</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Please contact:</w:t>
      </w:r>
      <w:r w:rsidRPr="005956F1">
        <w:rPr>
          <w:rFonts w:ascii="Noto Sans" w:eastAsiaTheme="minorHAnsi" w:hAnsi="Noto Sans" w:cs="Noto Sans"/>
          <w:b/>
          <w:sz w:val="20"/>
          <w:szCs w:val="20"/>
        </w:rPr>
        <w:br/>
      </w:r>
      <w:r w:rsidRPr="005956F1">
        <w:rPr>
          <w:rFonts w:ascii="Noto Sans" w:eastAsiaTheme="minorHAnsi" w:hAnsi="Noto Sans" w:cs="Noto Sans"/>
          <w:b/>
          <w:sz w:val="20"/>
          <w:szCs w:val="20"/>
        </w:rPr>
        <w:br/>
      </w:r>
      <w:r w:rsidRPr="005956F1">
        <w:rPr>
          <w:rFonts w:ascii="Noto Sans" w:eastAsiaTheme="minorHAnsi" w:hAnsi="Noto Sans" w:cs="Noto Sans"/>
          <w:sz w:val="20"/>
          <w:szCs w:val="20"/>
        </w:rPr>
        <w:t>David Mieny</w:t>
      </w:r>
      <w:r w:rsidRPr="005956F1">
        <w:rPr>
          <w:rFonts w:ascii="Noto Sans" w:eastAsiaTheme="minorHAnsi" w:hAnsi="Noto Sans" w:cs="Noto Sans"/>
          <w:sz w:val="20"/>
          <w:szCs w:val="20"/>
        </w:rPr>
        <w:br/>
        <w:t>PR Account Director</w:t>
      </w:r>
      <w:r w:rsidRPr="005956F1">
        <w:rPr>
          <w:rFonts w:ascii="Noto Sans" w:eastAsiaTheme="minorHAnsi" w:hAnsi="Noto Sans" w:cs="Noto Sans"/>
          <w:sz w:val="20"/>
          <w:szCs w:val="20"/>
        </w:rPr>
        <w:br/>
        <w:t>Neo PR Limited</w:t>
      </w:r>
      <w:r w:rsidRPr="005956F1">
        <w:rPr>
          <w:rFonts w:ascii="Noto Sans" w:eastAsiaTheme="minorHAnsi" w:hAnsi="Noto Sans" w:cs="Noto Sans"/>
          <w:sz w:val="20"/>
          <w:szCs w:val="20"/>
        </w:rPr>
        <w:br/>
        <w:t>Tel: +44 (0) 1296 733 867</w:t>
      </w:r>
      <w:r w:rsidRPr="005956F1">
        <w:rPr>
          <w:rFonts w:ascii="Noto Sans" w:eastAsiaTheme="minorHAnsi" w:hAnsi="Noto Sans" w:cs="Noto Sans"/>
          <w:sz w:val="20"/>
          <w:szCs w:val="20"/>
        </w:rPr>
        <w:br/>
      </w:r>
      <w:hyperlink r:id="rId10" w:history="1">
        <w:r w:rsidRPr="005956F1">
          <w:rPr>
            <w:rFonts w:ascii="Noto Sans" w:eastAsiaTheme="minorHAnsi" w:hAnsi="Noto Sans" w:cs="Noto Sans"/>
            <w:color w:val="0563C1" w:themeColor="hyperlink"/>
            <w:sz w:val="20"/>
            <w:szCs w:val="20"/>
            <w:u w:val="single"/>
          </w:rPr>
          <w:t>david@neopr.co.uk</w:t>
        </w:r>
      </w:hyperlink>
      <w:r w:rsidRPr="005956F1">
        <w:rPr>
          <w:rFonts w:ascii="Noto Sans" w:eastAsiaTheme="minorHAnsi" w:hAnsi="Noto Sans" w:cs="Noto Sans"/>
          <w:sz w:val="20"/>
          <w:szCs w:val="20"/>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bookmarkEnd w:id="1"/>
      <w:r w:rsidRPr="005956F1">
        <w:rPr>
          <w:rFonts w:ascii="Noto Sans" w:eastAsiaTheme="minorHAnsi" w:hAnsi="Noto Sans" w:cs="Noto Sans"/>
          <w:sz w:val="20"/>
          <w:szCs w:val="20"/>
        </w:rPr>
        <w:t xml:space="preserve">Jade Taylor-Salazar </w:t>
      </w:r>
      <w:r w:rsidRPr="005956F1">
        <w:rPr>
          <w:rFonts w:ascii="Noto Sans" w:eastAsiaTheme="minorHAnsi" w:hAnsi="Noto Sans" w:cs="Noto Sans"/>
          <w:sz w:val="20"/>
          <w:szCs w:val="20"/>
        </w:rPr>
        <w:br/>
        <w:t xml:space="preserve">PR and Content Manager </w:t>
      </w:r>
      <w:r w:rsidRPr="005956F1">
        <w:rPr>
          <w:rFonts w:ascii="Noto Sans" w:eastAsiaTheme="minorHAnsi" w:hAnsi="Noto Sans" w:cs="Noto Sans"/>
          <w:sz w:val="20"/>
          <w:szCs w:val="20"/>
        </w:rPr>
        <w:br/>
        <w:t xml:space="preserve">Domino Printing Sciences </w:t>
      </w:r>
      <w:r w:rsidRPr="005956F1">
        <w:rPr>
          <w:rFonts w:ascii="Noto Sans" w:eastAsiaTheme="minorHAnsi" w:hAnsi="Noto Sans" w:cs="Noto Sans"/>
          <w:sz w:val="20"/>
          <w:szCs w:val="20"/>
        </w:rPr>
        <w:br/>
        <w:t>Tel: +44 (0) 1954 778780</w:t>
      </w:r>
      <w:r w:rsidRPr="005956F1">
        <w:rPr>
          <w:rFonts w:ascii="Noto Sans" w:eastAsiaTheme="minorHAnsi" w:hAnsi="Noto Sans" w:cs="Noto Sans"/>
          <w:sz w:val="20"/>
          <w:szCs w:val="20"/>
        </w:rPr>
        <w:br/>
      </w:r>
      <w:hyperlink r:id="rId11" w:history="1">
        <w:r w:rsidRPr="005956F1">
          <w:rPr>
            <w:rFonts w:ascii="Noto Sans" w:eastAsiaTheme="minorHAnsi" w:hAnsi="Noto Sans" w:cs="Noto Sans"/>
            <w:color w:val="0563C1" w:themeColor="hyperlink"/>
            <w:sz w:val="22"/>
            <w:u w:val="single"/>
          </w:rPr>
          <w:t>Jade.Taylor-Salazar@domino-uk.com</w:t>
        </w:r>
      </w:hyperlink>
      <w:r w:rsidRPr="005956F1">
        <w:rPr>
          <w:rFonts w:ascii="Noto Sans" w:eastAsiaTheme="minorHAnsi" w:hAnsi="Noto Sans" w:cs="Noto Sans"/>
          <w:sz w:val="22"/>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lastRenderedPageBreak/>
        <w:br/>
      </w:r>
      <w:r w:rsidRPr="005956F1">
        <w:rPr>
          <w:rFonts w:ascii="Noto Sans" w:eastAsiaTheme="minorHAnsi" w:hAnsi="Noto Sans" w:cs="Noto Sans"/>
          <w:b/>
          <w:bCs/>
          <w:sz w:val="22"/>
        </w:rPr>
        <w:t xml:space="preserve"> </w:t>
      </w:r>
    </w:p>
    <w:p w14:paraId="18D22C1C" w14:textId="77777777" w:rsidR="005956F1" w:rsidRPr="005956F1" w:rsidRDefault="005956F1" w:rsidP="005956F1">
      <w:pPr>
        <w:spacing w:after="160" w:line="276" w:lineRule="auto"/>
        <w:jc w:val="both"/>
        <w:rPr>
          <w:rFonts w:asciiTheme="minorHAnsi" w:eastAsiaTheme="minorHAnsi" w:hAnsiTheme="minorHAnsi" w:cstheme="minorBidi"/>
          <w:sz w:val="22"/>
        </w:rPr>
      </w:pPr>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CDFEB" w14:textId="77777777" w:rsidR="00F7606D" w:rsidRDefault="00F7606D" w:rsidP="00785717">
      <w:pPr>
        <w:spacing w:line="240" w:lineRule="auto"/>
      </w:pPr>
      <w:r>
        <w:separator/>
      </w:r>
    </w:p>
  </w:endnote>
  <w:endnote w:type="continuationSeparator" w:id="0">
    <w:p w14:paraId="5351339C" w14:textId="77777777" w:rsidR="00F7606D" w:rsidRDefault="00F7606D"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E1A49" w14:textId="77777777" w:rsidR="00F7606D" w:rsidRDefault="00F7606D" w:rsidP="00785717">
      <w:pPr>
        <w:spacing w:line="240" w:lineRule="auto"/>
      </w:pPr>
      <w:r>
        <w:separator/>
      </w:r>
    </w:p>
  </w:footnote>
  <w:footnote w:type="continuationSeparator" w:id="0">
    <w:p w14:paraId="3B827EC7" w14:textId="77777777" w:rsidR="00F7606D" w:rsidRDefault="00F7606D"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4F6AA8"/>
    <w:rsid w:val="005272B1"/>
    <w:rsid w:val="005524DB"/>
    <w:rsid w:val="005741C7"/>
    <w:rsid w:val="005956F1"/>
    <w:rsid w:val="0060122E"/>
    <w:rsid w:val="00647055"/>
    <w:rsid w:val="00660F46"/>
    <w:rsid w:val="00682566"/>
    <w:rsid w:val="00785717"/>
    <w:rsid w:val="0081589A"/>
    <w:rsid w:val="008220B7"/>
    <w:rsid w:val="00823B77"/>
    <w:rsid w:val="008916A8"/>
    <w:rsid w:val="008B6461"/>
    <w:rsid w:val="008C11B5"/>
    <w:rsid w:val="008E7573"/>
    <w:rsid w:val="008F3E38"/>
    <w:rsid w:val="008F74D8"/>
    <w:rsid w:val="00931996"/>
    <w:rsid w:val="00943A95"/>
    <w:rsid w:val="009A1716"/>
    <w:rsid w:val="009A1DEC"/>
    <w:rsid w:val="009D6280"/>
    <w:rsid w:val="009E564D"/>
    <w:rsid w:val="00A34918"/>
    <w:rsid w:val="00AB11DA"/>
    <w:rsid w:val="00AE1361"/>
    <w:rsid w:val="00B23C3C"/>
    <w:rsid w:val="00B546C5"/>
    <w:rsid w:val="00BC7C15"/>
    <w:rsid w:val="00C063FE"/>
    <w:rsid w:val="00C44603"/>
    <w:rsid w:val="00C541FE"/>
    <w:rsid w:val="00C75242"/>
    <w:rsid w:val="00CF1AD5"/>
    <w:rsid w:val="00E03029"/>
    <w:rsid w:val="00EC1C5A"/>
    <w:rsid w:val="00F7606D"/>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5956F1"/>
    <w:rPr>
      <w:sz w:val="16"/>
      <w:szCs w:val="16"/>
    </w:rPr>
  </w:style>
  <w:style w:type="paragraph" w:styleId="CommentText">
    <w:name w:val="annotation text"/>
    <w:basedOn w:val="Normal"/>
    <w:link w:val="CommentTextChar"/>
    <w:uiPriority w:val="99"/>
    <w:unhideWhenUsed/>
    <w:rsid w:val="005956F1"/>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956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gb/home.aspx?utm_medium=non-paid&amp;utm_source=onlinepublication&amp;utm_content=bandc-beyond-compliance-tlp-uk&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n-gb/blog/2025/building-smarter-the-role-of-2d-codes-in-streamlining-coordination?utm_medium=non-paid&amp;utm_source=onlinepublication&amp;utm_content=bandc-beyond-compliance-tlp-uk&amp;utm_campaign=2026-int-en-global-pr-cm-fy26-q1" TargetMode="External"/><Relationship Id="rId11" Type="http://schemas.openxmlformats.org/officeDocument/2006/relationships/hyperlink" Target="mailto:Jade.Taylor-Salaza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david@neopr.co.uk"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6</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4</cp:revision>
  <dcterms:created xsi:type="dcterms:W3CDTF">2026-07-15T11:43:00Z</dcterms:created>
  <dcterms:modified xsi:type="dcterms:W3CDTF">2026-08-07T11:17:00Z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