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7952" w14:textId="77777777" w:rsidR="00713E51" w:rsidRPr="00713E51" w:rsidRDefault="00713E51" w:rsidP="00713E51">
      <w:pPr>
        <w:spacing w:after="160" w:line="240" w:lineRule="auto"/>
        <w:jc w:val="both"/>
        <w:rPr>
          <w:rFonts w:ascii="Noto Sans" w:hAnsi="Noto Sans" w:cs="Noto Sans"/>
          <w:b/>
          <w:bCs/>
          <w:color w:val="1C1C1C"/>
          <w:sz w:val="28"/>
          <w:szCs w:val="28"/>
          <w:shd w:val="clear" w:color="auto" w:fill="FFFFFF"/>
          <w:lang w:val="pt-BR"/>
        </w:rPr>
      </w:pPr>
      <w:r w:rsidRPr="00713E51">
        <w:rPr>
          <w:rFonts w:ascii="Noto Sans" w:hAnsi="Noto Sans" w:cs="Noto Sans"/>
          <w:b/>
          <w:bCs/>
          <w:color w:val="1C1C1C"/>
          <w:sz w:val="28"/>
          <w:szCs w:val="28"/>
          <w:shd w:val="clear" w:color="auto" w:fill="FFFFFF"/>
          <w:lang w:val="pt-PT"/>
        </w:rPr>
        <w:t>PPWR, impressão de embalagens e reciclabilidade: uma análise da realidade</w:t>
      </w:r>
    </w:p>
    <w:p w14:paraId="3B8A2F55" w14:textId="77777777" w:rsidR="00713E51" w:rsidRPr="00713E51" w:rsidRDefault="00713E51" w:rsidP="00713E51">
      <w:pPr>
        <w:spacing w:after="160" w:line="240" w:lineRule="auto"/>
        <w:jc w:val="both"/>
        <w:rPr>
          <w:rFonts w:ascii="Noto Sans" w:hAnsi="Noto Sans" w:cs="Noto Sans"/>
          <w:i/>
          <w:iCs/>
          <w:sz w:val="22"/>
          <w:lang w:val="pt-BR"/>
        </w:rPr>
      </w:pPr>
      <w:r w:rsidRPr="00713E51">
        <w:rPr>
          <w:rFonts w:ascii="Noto Sans" w:hAnsi="Noto Sans" w:cs="Noto Sans"/>
          <w:i/>
          <w:iCs/>
          <w:sz w:val="22"/>
          <w:lang w:val="pt-PT"/>
        </w:rPr>
        <w:t>O Regulamento da UE relativo a embalagens e resíduos de embalagens (</w:t>
      </w:r>
      <w:hyperlink r:id="rId6" w:history="1">
        <w:r w:rsidRPr="00713E51">
          <w:rPr>
            <w:rFonts w:ascii="Noto Sans" w:hAnsi="Noto Sans" w:cs="Noto Sans"/>
            <w:i/>
            <w:iCs/>
            <w:color w:val="0000FF"/>
            <w:sz w:val="22"/>
            <w:u w:val="single"/>
            <w:lang w:val="pt-PT"/>
          </w:rPr>
          <w:t>PPWR</w:t>
        </w:r>
      </w:hyperlink>
      <w:r w:rsidRPr="00713E51">
        <w:rPr>
          <w:rFonts w:ascii="Noto Sans" w:hAnsi="Noto Sans" w:cs="Noto Sans"/>
          <w:i/>
          <w:iCs/>
          <w:sz w:val="22"/>
          <w:lang w:val="pt-PT"/>
        </w:rPr>
        <w:t>) irá remodelar os requisitos de embalagem, exigindo a minimização da embalagem, a reutilização e a reciclagem em larga escala. Até à data, muitas marcas têm focado os seus esforços de conformidade com o PPWR em cumprir os requisitos básicos para o prazo de agosto de 2026: minimizar a embalagem, reduzir substâncias perigosas, adicionar números de lote ou de série rastreáveis e criar declarações de conformidade para cada tipo de embalagem.</w:t>
      </w:r>
    </w:p>
    <w:p w14:paraId="3F46A2FA" w14:textId="77777777" w:rsidR="00713E51" w:rsidRPr="00713E51" w:rsidRDefault="00713E51" w:rsidP="00713E51">
      <w:pPr>
        <w:spacing w:after="160" w:line="240" w:lineRule="auto"/>
        <w:jc w:val="both"/>
        <w:rPr>
          <w:rFonts w:ascii="Noto Sans" w:hAnsi="Noto Sans" w:cs="Noto Sans"/>
          <w:i/>
          <w:iCs/>
          <w:sz w:val="22"/>
          <w:lang w:val="pt-BR"/>
        </w:rPr>
      </w:pPr>
      <w:r w:rsidRPr="00713E51">
        <w:rPr>
          <w:rFonts w:ascii="Noto Sans" w:hAnsi="Noto Sans" w:cs="Noto Sans"/>
          <w:i/>
          <w:iCs/>
          <w:sz w:val="22"/>
          <w:lang w:val="pt-PT"/>
        </w:rPr>
        <w:t xml:space="preserve">Até 2030, os requisitos irão tornar-se ainda mais exigentes, mudando a ênfase para os materiais de embalagem e para a eliminação de componentes que possam comprometer os fluxos de reciclagem, de modo a maximizar a reciclabilidade das embalagens. No entanto, muitos aspetos do PPWR permanecem indefinidos e a infraestrutura de reciclagem necessária ainda não foi implementada. Apesar dos apelos para um </w:t>
      </w:r>
      <w:hyperlink r:id="rId7" w:history="1">
        <w:r w:rsidRPr="00713E51">
          <w:rPr>
            <w:rFonts w:ascii="Noto Sans" w:hAnsi="Noto Sans" w:cs="Noto Sans"/>
            <w:i/>
            <w:iCs/>
            <w:color w:val="0000FF"/>
            <w:sz w:val="22"/>
            <w:u w:val="single"/>
            <w:lang w:val="pt-PT"/>
          </w:rPr>
          <w:t>adiamento do prazo</w:t>
        </w:r>
      </w:hyperlink>
      <w:r w:rsidRPr="00713E51">
        <w:rPr>
          <w:rFonts w:ascii="Noto Sans" w:hAnsi="Noto Sans" w:cs="Noto Sans"/>
          <w:i/>
          <w:iCs/>
          <w:sz w:val="22"/>
          <w:lang w:val="pt-PT"/>
        </w:rPr>
        <w:t xml:space="preserve"> e das exigências de </w:t>
      </w:r>
      <w:hyperlink r:id="rId8" w:history="1">
        <w:r w:rsidRPr="00713E51">
          <w:rPr>
            <w:rFonts w:ascii="Noto Sans" w:hAnsi="Noto Sans" w:cs="Noto Sans"/>
            <w:i/>
            <w:iCs/>
            <w:color w:val="0000FF"/>
            <w:sz w:val="22"/>
            <w:u w:val="single"/>
            <w:lang w:val="pt-PT"/>
          </w:rPr>
          <w:t>legislação secundária</w:t>
        </w:r>
      </w:hyperlink>
      <w:r w:rsidRPr="00713E51">
        <w:rPr>
          <w:rFonts w:ascii="Noto Sans" w:hAnsi="Noto Sans" w:cs="Noto Sans"/>
          <w:i/>
          <w:iCs/>
          <w:sz w:val="22"/>
          <w:lang w:val="pt-PT"/>
        </w:rPr>
        <w:t xml:space="preserve"> que realçam as preocupações do setor, as marcas precisam de começar a planear agora.</w:t>
      </w:r>
    </w:p>
    <w:p w14:paraId="13E71528" w14:textId="77777777" w:rsidR="00713E51" w:rsidRPr="00713E51" w:rsidRDefault="00713E51" w:rsidP="00713E51">
      <w:pPr>
        <w:tabs>
          <w:tab w:val="num" w:pos="720"/>
        </w:tabs>
        <w:spacing w:after="160" w:line="240" w:lineRule="auto"/>
        <w:jc w:val="both"/>
        <w:rPr>
          <w:rFonts w:ascii="Noto Sans" w:hAnsi="Noto Sans" w:cs="Noto Sans"/>
          <w:i/>
          <w:iCs/>
          <w:sz w:val="22"/>
          <w:lang w:val="pt-BR"/>
        </w:rPr>
      </w:pPr>
      <w:r w:rsidRPr="00713E51">
        <w:rPr>
          <w:rFonts w:ascii="Noto Sans" w:hAnsi="Noto Sans" w:cs="Noto Sans"/>
          <w:i/>
          <w:iCs/>
          <w:sz w:val="22"/>
          <w:lang w:val="pt-PT"/>
        </w:rPr>
        <w:t>Natasha Jeremic, Head of Piezo Inks da Domino Printing Sciences, analisa a realidade comercial dos fornecedores de embalagem e o papel crítico que os fabricantes desempenham para permitir a colaboração focada na sustentabilidade.</w:t>
      </w:r>
    </w:p>
    <w:p w14:paraId="23236C2F" w14:textId="77777777" w:rsidR="00713E51" w:rsidRPr="00713E51" w:rsidRDefault="00713E51" w:rsidP="00713E51">
      <w:pPr>
        <w:spacing w:after="160" w:line="240" w:lineRule="auto"/>
        <w:jc w:val="both"/>
        <w:rPr>
          <w:rFonts w:ascii="Noto Sans" w:hAnsi="Noto Sans" w:cs="Noto Sans"/>
          <w:b/>
          <w:bCs/>
          <w:sz w:val="22"/>
          <w:lang w:val="pt-BR"/>
        </w:rPr>
      </w:pPr>
      <w:r w:rsidRPr="00713E51">
        <w:rPr>
          <w:rFonts w:ascii="Noto Sans" w:hAnsi="Noto Sans" w:cs="Noto Sans"/>
          <w:b/>
          <w:bCs/>
          <w:sz w:val="22"/>
          <w:lang w:val="pt-PT"/>
        </w:rPr>
        <w:t>Regulamentação versus preparação</w:t>
      </w:r>
    </w:p>
    <w:p w14:paraId="20FA19F2"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Apesar do declínio do interesse dos consumidores no </w:t>
      </w:r>
      <w:hyperlink r:id="rId9" w:history="1">
        <w:r w:rsidRPr="00713E51">
          <w:rPr>
            <w:rFonts w:ascii="Noto Sans" w:hAnsi="Noto Sans" w:cs="Noto Sans"/>
            <w:color w:val="0000FF"/>
            <w:sz w:val="22"/>
            <w:u w:val="single"/>
            <w:lang w:val="pt-PT"/>
          </w:rPr>
          <w:t>impacto ambiental das embalagens</w:t>
        </w:r>
      </w:hyperlink>
      <w:r w:rsidRPr="00713E51">
        <w:rPr>
          <w:rFonts w:ascii="Noto Sans" w:hAnsi="Noto Sans" w:cs="Noto Sans"/>
          <w:sz w:val="22"/>
          <w:lang w:val="pt-PT"/>
        </w:rPr>
        <w:t>, as exigências regulatórias estão a obrigar as marcas a afastar-se das abordagens tradicionais de desenvolvimento e produção de embalagens e etiquetas. As prioridades de longa data em termos de volumes de encomendas, qualidade de impressão e custos devem agora ser equilibradas com os requisitos do PPWR, tanto para a reciclabilidade da embalagem como para o conteúdo reciclado mínimo.</w:t>
      </w:r>
    </w:p>
    <w:p w14:paraId="35C22EB5"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No entanto, apesar de terem sido estabelecidas metas faseadas do PPWR para 2030 e anos posteriores, o setor revela preocupações quanto à ausência de um quadro de suporte. As definições fundamentais de reciclabilidade, graus de material reciclado e metodologias de teste relacionadas permanecem pouco claras ou incompletas. Também falta clareza sobre como a conformidade será avaliada a longo prazo. </w:t>
      </w:r>
    </w:p>
    <w:p w14:paraId="7586AEC4"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O resultado é não só uma perceção fragmentada da sustentabilidade das embalagens, mas também uma abordagem compartimentada ao desenvolvimento de produtos sustentáveis. Os fornecedores de tinta, adesivos e materiais estão a avaliar os seus próprios portfólios de produtos de forma isolada, sem considerar o impacto na unidade de embalagem global. Como resultado, embora componentes individuais possam ser considerados em conformidade com o PPWR e tecnicamente recicláveis, a embalagem </w:t>
      </w:r>
      <w:r w:rsidRPr="00713E51">
        <w:rPr>
          <w:rFonts w:ascii="Noto Sans" w:hAnsi="Noto Sans" w:cs="Noto Sans"/>
          <w:sz w:val="22"/>
          <w:lang w:val="pt-PT"/>
        </w:rPr>
        <w:lastRenderedPageBreak/>
        <w:t xml:space="preserve">combinada pode ainda não passar nas avaliações de reciclabilidade se não for reciclável em escala. </w:t>
      </w:r>
    </w:p>
    <w:p w14:paraId="4AEB8D50" w14:textId="77777777" w:rsidR="00713E51" w:rsidRPr="00713E51" w:rsidRDefault="00713E51" w:rsidP="00713E51">
      <w:pPr>
        <w:spacing w:after="160" w:line="240" w:lineRule="auto"/>
        <w:jc w:val="both"/>
        <w:rPr>
          <w:rFonts w:ascii="Noto Sans" w:hAnsi="Noto Sans" w:cs="Noto Sans"/>
          <w:b/>
          <w:bCs/>
          <w:sz w:val="22"/>
          <w:lang w:val="pt-BR"/>
        </w:rPr>
      </w:pPr>
      <w:r w:rsidRPr="00713E51">
        <w:rPr>
          <w:rFonts w:ascii="Noto Sans" w:hAnsi="Noto Sans" w:cs="Noto Sans"/>
          <w:b/>
          <w:bCs/>
          <w:sz w:val="22"/>
          <w:lang w:val="pt-PT"/>
        </w:rPr>
        <w:t>Respeito pelo ambiente versus impacto no ciclo de vida completo</w:t>
      </w:r>
    </w:p>
    <w:p w14:paraId="4999167F"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Naturalmente, as marcas já implementaram mudanças significativas nas suas estratégias de embalagem para cumprir o prazo do PPWR de agosto de 2026. A embalagem foi minimizada, as substâncias perigosas foram removidas e a rastreabilidade foi adicionada. No entanto, a forte ênfase dos requisitos do PPWR 2030 na reciclabilidade da embalagem levanta questões relativas às perceções de sustentabilidade ambiental oferecidas pelas capacidades de reciclagem atuais, em vez de compreender o impacto ambiental de todo o ciclo de vida. </w:t>
      </w:r>
    </w:p>
    <w:p w14:paraId="1100D736" w14:textId="2F428DAB"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A ambiguidade está a levar as marcas a adotar diferentes abordagens no design de embalagem e na escolha de materiais. </w:t>
      </w:r>
      <w:hyperlink r:id="rId10" w:history="1">
        <w:r w:rsidRPr="00713E51">
          <w:rPr>
            <w:rFonts w:ascii="Noto Sans" w:hAnsi="Noto Sans" w:cs="Noto Sans"/>
            <w:color w:val="0000FF"/>
            <w:sz w:val="22"/>
            <w:u w:val="single"/>
            <w:lang w:val="pt-PT"/>
          </w:rPr>
          <w:t>Babybel</w:t>
        </w:r>
      </w:hyperlink>
      <w:r w:rsidRPr="00713E51">
        <w:rPr>
          <w:rFonts w:ascii="Noto Sans" w:hAnsi="Noto Sans" w:cs="Noto Sans"/>
          <w:sz w:val="22"/>
          <w:lang w:val="pt-PT"/>
        </w:rPr>
        <w:t xml:space="preserve">, por exemplo, passou para embalagens à base de papel sempre que possível, uma vitória fácil em termos de reciclabilidade. É considerado uma escolha mais sustentável pelos consumidores e evita as regras mais complexas </w:t>
      </w:r>
      <w:r w:rsidRPr="00825B69">
        <w:rPr>
          <w:rFonts w:ascii="Noto Sans" w:hAnsi="Noto Sans" w:cs="Noto Sans"/>
          <w:sz w:val="22"/>
          <w:lang w:val="pt-PT"/>
        </w:rPr>
        <w:t xml:space="preserve">e em constante evolução impostas às embalagens de plástico. Em contraste, o fabricante canadiano de bolachas </w:t>
      </w:r>
      <w:hyperlink r:id="rId11" w:history="1">
        <w:r w:rsidRPr="00825B69">
          <w:rPr>
            <w:rStyle w:val="Hyperlink"/>
            <w:rFonts w:ascii="Noto Sans" w:hAnsi="Noto Sans" w:cs="Noto Sans"/>
            <w:sz w:val="22"/>
            <w:lang w:val="pt-PT"/>
          </w:rPr>
          <w:t>Leclerc</w:t>
        </w:r>
      </w:hyperlink>
      <w:r w:rsidRPr="00825B69">
        <w:rPr>
          <w:rFonts w:ascii="Noto Sans" w:hAnsi="Noto Sans" w:cs="Noto Sans"/>
          <w:sz w:val="22"/>
          <w:lang w:val="pt-PT"/>
        </w:rPr>
        <w:t xml:space="preserve"> mudou do cartão para uma película de plástico leve, c</w:t>
      </w:r>
      <w:r w:rsidRPr="00713E51">
        <w:rPr>
          <w:rFonts w:ascii="Noto Sans" w:hAnsi="Noto Sans" w:cs="Noto Sans"/>
          <w:sz w:val="22"/>
          <w:lang w:val="pt-PT"/>
        </w:rPr>
        <w:t>om base numa análise de ciclo de vida que demonstrou reduções nas emissões de transporte e na utilização global de materiais.</w:t>
      </w:r>
    </w:p>
    <w:p w14:paraId="684CFA9F"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As marcas também têm de considerar as variações nacionais nas taxas de Responsabilidade alargada do produtor (EPR) ao tomar decisões sobre embalagens. Um inquérito recente do Department for Environment, Food and Rural Affairs (Defra) do Reino Unido destaca grandes diferenças entre os fornecedores: apenas </w:t>
      </w:r>
      <w:hyperlink r:id="rId12" w:history="1">
        <w:r w:rsidRPr="00713E51">
          <w:rPr>
            <w:rFonts w:ascii="Noto Sans" w:hAnsi="Noto Sans" w:cs="Noto Sans"/>
            <w:color w:val="0000FF"/>
            <w:sz w:val="22"/>
            <w:u w:val="single"/>
            <w:lang w:val="pt-PT"/>
          </w:rPr>
          <w:t>10% dos produtores de embalagens do Reino Unido</w:t>
        </w:r>
      </w:hyperlink>
      <w:r w:rsidRPr="00713E51">
        <w:rPr>
          <w:rFonts w:ascii="Noto Sans" w:hAnsi="Noto Sans" w:cs="Noto Sans"/>
          <w:sz w:val="22"/>
          <w:lang w:val="pt-PT"/>
        </w:rPr>
        <w:t xml:space="preserve"> fizeram a transição completa para embalagens amplamente recicláveis, enquanto 14% ainda fornecem exclusivamente embalagens que apresentam grandes desafios de reciclagem.  </w:t>
      </w:r>
    </w:p>
    <w:p w14:paraId="6C3794F4" w14:textId="77777777" w:rsidR="00713E51" w:rsidRPr="00713E51" w:rsidRDefault="00713E51" w:rsidP="00713E51">
      <w:pPr>
        <w:spacing w:after="160" w:line="240" w:lineRule="auto"/>
        <w:jc w:val="both"/>
        <w:rPr>
          <w:rFonts w:ascii="Noto Sans" w:hAnsi="Noto Sans" w:cs="Noto Sans"/>
          <w:b/>
          <w:bCs/>
          <w:sz w:val="22"/>
          <w:lang w:val="pt-BR"/>
        </w:rPr>
      </w:pPr>
      <w:r w:rsidRPr="00713E51">
        <w:rPr>
          <w:rFonts w:ascii="Noto Sans" w:hAnsi="Noto Sans" w:cs="Noto Sans"/>
          <w:b/>
          <w:bCs/>
          <w:sz w:val="22"/>
          <w:lang w:val="pt-PT"/>
        </w:rPr>
        <w:t>A realidade comercial para os fornecedores de embalagens</w:t>
      </w:r>
    </w:p>
    <w:p w14:paraId="2B5A43C3"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Existe uma necessidade premente de colaboração ao longo de toda a cadeia de abastecimento para alterar este estado de coisas e fornecer às marcas informações fiáveis sobre os produtos de embalagem. Os testes e a validação partilhados serão a base das estratégias de design de embalagem que reflitam não só os requisitos regulamentares, mas também as capacidades dos sistemas de reciclagem atuais. </w:t>
      </w:r>
    </w:p>
    <w:p w14:paraId="40E651B4"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Os fabricantes têm um papel claro na facilitação da colaboração entre fornecedores e no apoio às marcas para navegarem neste período de incerteza e mudança. Podem esclarecer os prós e os contras da evolução dos materiais reciclados; por exemplo, os materiais de embalagens reciclados de alta qualidade são frequentemente mais caros e podem apresentar desafios de impressão em termos de aderência da tinta e velocidade </w:t>
      </w:r>
      <w:r w:rsidRPr="00713E51">
        <w:rPr>
          <w:rFonts w:ascii="Noto Sans" w:hAnsi="Noto Sans" w:cs="Noto Sans"/>
          <w:sz w:val="22"/>
          <w:lang w:val="pt-PT"/>
        </w:rPr>
        <w:lastRenderedPageBreak/>
        <w:t xml:space="preserve">de impressão, o que pode aumentar o desperdício e reduzir a eficiência e a produtividade. </w:t>
      </w:r>
    </w:p>
    <w:p w14:paraId="5ED93344"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A colaboração com fornecedores de impressoras, tintas e materiais, através da partilha de testes e da troca de dados, será vital para gerar confiança. Esta informação permitirá que os fornecedores de embalagens identifiquem e validem materiais sustentáveis que proporcionem um bom desempenho de produção e impacto visual para os seus clientes de marca. A colaboração irá também apoiar a transição de alegações genéricas, como "ecológico" ou "reciclável", para alegações mensuráveis e verificáveis.</w:t>
      </w:r>
    </w:p>
    <w:p w14:paraId="4D909F7A" w14:textId="77777777" w:rsidR="00713E51" w:rsidRPr="00713E51" w:rsidRDefault="00713E51" w:rsidP="00713E51">
      <w:pPr>
        <w:spacing w:after="160" w:line="240" w:lineRule="auto"/>
        <w:jc w:val="both"/>
        <w:rPr>
          <w:rFonts w:ascii="Noto Sans" w:hAnsi="Noto Sans" w:cs="Noto Sans"/>
          <w:b/>
          <w:bCs/>
          <w:sz w:val="22"/>
          <w:lang w:val="pt-BR"/>
        </w:rPr>
      </w:pPr>
      <w:r w:rsidRPr="00713E51">
        <w:rPr>
          <w:rFonts w:ascii="Noto Sans" w:hAnsi="Noto Sans" w:cs="Noto Sans"/>
          <w:b/>
          <w:bCs/>
          <w:sz w:val="22"/>
          <w:lang w:val="pt-PT"/>
        </w:rPr>
        <w:t>As vantagens da impressão digital para apoiar a transição</w:t>
      </w:r>
    </w:p>
    <w:p w14:paraId="4042FB1D"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Estes dados partilhados e fiáveis serão essenciais para apoiar os relatórios de conformidade num ambiente cada vez mais regulamentado. Os fabricantes desempenham um papel central na consolidação de dados provenientes de toda a cadeia de valor, fornecendo às marcas informações sobre materiais, conteúdo reciclado, substâncias que suscitam preocupação e desempenho de reciclabilidade, de modo a apoiar as suas declarações de conformidade e relatórios de EPR.</w:t>
      </w:r>
    </w:p>
    <w:p w14:paraId="64A861AC"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A tecnologia de impressão digital a jato de tinta pode ser um ativo importante durante esta evolução, permitindo a utilização de </w:t>
      </w:r>
      <w:hyperlink r:id="rId13" w:history="1">
        <w:r w:rsidRPr="00713E51">
          <w:rPr>
            <w:rFonts w:ascii="Noto Sans" w:hAnsi="Noto Sans" w:cs="Noto Sans"/>
            <w:color w:val="0000FF"/>
            <w:sz w:val="22"/>
            <w:u w:val="single"/>
            <w:lang w:val="pt-PT"/>
          </w:rPr>
          <w:t>códigos 2D baseados nos padrões da GS1</w:t>
        </w:r>
      </w:hyperlink>
      <w:r w:rsidRPr="00713E51">
        <w:rPr>
          <w:rFonts w:ascii="Noto Sans" w:hAnsi="Noto Sans" w:cs="Noto Sans"/>
          <w:sz w:val="22"/>
          <w:lang w:val="pt-PT"/>
        </w:rPr>
        <w:t>. Além de apoiarem a rastreabilidade, a monitorização do ciclo de vida em tempo real e os relatórios de conformidade, os códigos 2D e as plataformas de dados conectadas podem evoluir com os requisitos de informação sobre o produto e a embalagem à medida que a implementação do PPWR, o Sunrise 2027 e as iniciativas de passaporte digital de produto progridem nos próximos anos.</w:t>
      </w:r>
    </w:p>
    <w:p w14:paraId="2AB7F108"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Além disso, a tecnologia de impressão digital sustenta a agilidade operacional de que as marcas necessitam para gerir as crescentes exigências diversificadas das embalagens. Permite a produção eficiente de volumes mais baixos de designs de embalagem variáveis, de forma a acompanhar a evolução dos requisitos para as informações na embalagem, tais como a serialização por lote ou por unidade. A tecnologia a jato de tinta também proporciona um maior controlo sobre a aplicação da tinta, reduzindo o seu consumo, e pode diminuir o impacto da impressão na reciclabilidade da embalagem. No geral, uma abordagem digital proporciona aos fabricantes uma oferta comercial mais flexível. </w:t>
      </w:r>
    </w:p>
    <w:p w14:paraId="6DA688CF"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b/>
          <w:bCs/>
          <w:sz w:val="22"/>
          <w:lang w:val="pt-PT"/>
        </w:rPr>
        <w:t>Conclusão</w:t>
      </w:r>
    </w:p>
    <w:p w14:paraId="28DB634A"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 xml:space="preserve">A evolução da regulamentação de sustentabilidade acrescenta uma complexidade significativa ao design e aos materiais de embalagem. A indústria precisa de passar rapidamente de uma abordagem compartimentada para uma baseada na colaboração contínua e estreita entre </w:t>
      </w:r>
      <w:hyperlink r:id="rId14" w:history="1">
        <w:r w:rsidRPr="00713E51">
          <w:rPr>
            <w:rFonts w:ascii="Noto Sans" w:hAnsi="Noto Sans" w:cs="Noto Sans"/>
            <w:color w:val="0000FF"/>
            <w:sz w:val="22"/>
            <w:u w:val="single"/>
            <w:lang w:val="pt-PT"/>
          </w:rPr>
          <w:t xml:space="preserve">fornecedores </w:t>
        </w:r>
        <w:r w:rsidRPr="00713E51">
          <w:rPr>
            <w:rFonts w:ascii="Noto Sans" w:hAnsi="Noto Sans" w:cs="Noto Sans"/>
            <w:color w:val="0000FF"/>
            <w:u w:val="single"/>
            <w:lang w:val="pt-PT"/>
          </w:rPr>
          <w:t>de impressoras</w:t>
        </w:r>
      </w:hyperlink>
      <w:r w:rsidRPr="00713E51">
        <w:rPr>
          <w:rFonts w:ascii="Noto Sans" w:hAnsi="Noto Sans" w:cs="Noto Sans"/>
          <w:sz w:val="22"/>
          <w:lang w:val="pt-PT"/>
        </w:rPr>
        <w:t xml:space="preserve">, materiais, fabricantes e marcas. As partes interessadas em toda a cadeia de valor precisam de trabalhar em conjunto para </w:t>
      </w:r>
      <w:r w:rsidRPr="00713E51">
        <w:rPr>
          <w:rFonts w:ascii="Noto Sans" w:hAnsi="Noto Sans" w:cs="Noto Sans"/>
          <w:sz w:val="22"/>
          <w:lang w:val="pt-PT"/>
        </w:rPr>
        <w:lastRenderedPageBreak/>
        <w:t>se adaptarem, testar e evoluir, de modo a cumprir não só os requisitos regulamentares, mas também as exigências impostas pela realidade das atuais infraestruturas de reciclagem.</w:t>
      </w:r>
    </w:p>
    <w:p w14:paraId="037CCB8E"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Trata-se de uma oportunidade valiosa para os fabricantes aprofundarem o seu conhecimento sobre combinações de materiais e reciclabilidade, recolherem dados de conformidade e investirem em flexibilidade através de tecnologias digitais. As empresas que assumirem a liderança em matéria de sustentabilidade estarão bem posicionadas para reforçar a sua competitividade, apoiando os seus clientes de marca no cumprimento dos requisitos regulamentares.</w:t>
      </w:r>
    </w:p>
    <w:p w14:paraId="6599A681" w14:textId="77777777" w:rsidR="00713E51" w:rsidRPr="00713E51" w:rsidRDefault="00713E51" w:rsidP="00713E51">
      <w:pPr>
        <w:spacing w:after="160" w:line="240" w:lineRule="auto"/>
        <w:jc w:val="both"/>
        <w:rPr>
          <w:rFonts w:ascii="Noto Sans" w:hAnsi="Noto Sans" w:cs="Noto Sans"/>
          <w:sz w:val="22"/>
          <w:lang w:val="pt-BR"/>
        </w:rPr>
      </w:pPr>
      <w:r w:rsidRPr="00713E51">
        <w:rPr>
          <w:rFonts w:ascii="Noto Sans" w:hAnsi="Noto Sans" w:cs="Noto Sans"/>
          <w:sz w:val="22"/>
          <w:lang w:val="pt-PT"/>
        </w:rPr>
        <w:t>FIM</w:t>
      </w:r>
    </w:p>
    <w:p w14:paraId="29B953BD" w14:textId="55EAF266" w:rsidR="006C6C7C" w:rsidRPr="00713E51" w:rsidRDefault="00D66051" w:rsidP="006C6C7C">
      <w:pPr>
        <w:spacing w:line="240" w:lineRule="auto"/>
        <w:rPr>
          <w:rFonts w:ascii="Noto Sans" w:hAnsi="Noto Sans" w:cs="Noto Sans"/>
          <w:lang w:val="pt-BR"/>
        </w:rPr>
      </w:pPr>
      <w:r w:rsidRPr="00713E51">
        <w:rPr>
          <w:rFonts w:ascii="Noto Sans" w:eastAsia="Gill Sans" w:hAnsi="Noto Sans" w:cs="Noto Sans"/>
          <w:szCs w:val="18"/>
          <w:lang w:val="pt-PT"/>
        </w:rPr>
        <w:br/>
      </w:r>
      <w:r w:rsidR="006C6C7C" w:rsidRPr="00713E51">
        <w:rPr>
          <w:rFonts w:ascii="Noto Sans" w:eastAsia="Gill Sans" w:hAnsi="Noto Sans" w:cs="Noto Sans"/>
          <w:b/>
          <w:bCs/>
          <w:szCs w:val="18"/>
          <w:lang w:val="pt-PT"/>
        </w:rPr>
        <w:t>Isenção de responsabilidade</w:t>
      </w:r>
      <w:r w:rsidR="006C6C7C" w:rsidRPr="00713E51">
        <w:rPr>
          <w:rFonts w:ascii="Noto Sans" w:eastAsia="Gill Sans" w:hAnsi="Noto Sans" w:cs="Noto Sans"/>
          <w:b/>
          <w:szCs w:val="18"/>
          <w:lang w:val="pt-PT"/>
        </w:rPr>
        <w:br/>
      </w:r>
      <w:r w:rsidR="006C6C7C" w:rsidRPr="00713E51">
        <w:rPr>
          <w:rFonts w:ascii="Noto Sans" w:eastAsia="Gill Sans" w:hAnsi="Noto Sans" w:cs="Noto Sans"/>
          <w:szCs w:val="18"/>
          <w:lang w:val="pt-PT"/>
        </w:rPr>
        <w:br/>
      </w:r>
      <w:r w:rsidR="006C6C7C" w:rsidRPr="00713E51">
        <w:rPr>
          <w:rFonts w:ascii="Noto Sans" w:hAnsi="Noto Sans" w:cs="Noto Sans"/>
          <w:b/>
          <w:bCs/>
          <w:szCs w:val="18"/>
          <w:lang w:val="pt-PT"/>
        </w:rPr>
        <w:t>Tintas</w:t>
      </w:r>
      <w:r w:rsidR="006C6C7C" w:rsidRPr="00713E51">
        <w:rPr>
          <w:rFonts w:ascii="Noto Sans" w:hAnsi="Noto Sans" w:cs="Noto Sans"/>
          <w:szCs w:val="18"/>
          <w:lang w:val="pt-PT"/>
        </w:rPr>
        <w:br/>
      </w:r>
      <w:r w:rsidR="006C6C7C" w:rsidRPr="00713E51">
        <w:rPr>
          <w:rFonts w:ascii="Noto Sans" w:hAnsi="Noto Sans" w:cs="Noto Sans"/>
          <w:szCs w:val="18"/>
          <w:lang w:val="pt-BR"/>
        </w:rPr>
        <w:t>As informações que se encontram no presente documento não devem substituir a realização dos testes adequados às suas circunstâncias e usos específicos. O grupo Domino não será, de forma alguma, responsável por qualquer tipo de confiança com base neste documento em relação à adequação de qualquer uma das nossas tintas para a sua aplicação em particular. O presente documento não faz parte de quaisquer termos e condições celebrados entre si o grupo Domino. Os Termos e Condições de venda da Domino, em particular as garantias e responsabilidades presentes nos mesmos, dever-se-ão aplicar a qualquer uma das suas compras de produtos.</w:t>
      </w:r>
      <w:r w:rsidR="006C6C7C" w:rsidRPr="00713E51">
        <w:rPr>
          <w:rFonts w:ascii="Noto Sans" w:hAnsi="Noto Sans" w:cs="Noto Sans"/>
          <w:szCs w:val="18"/>
          <w:lang w:val="pt-PT"/>
        </w:rPr>
        <w:br/>
      </w:r>
      <w:r w:rsidR="006C6C7C" w:rsidRPr="00713E51">
        <w:rPr>
          <w:rFonts w:ascii="Noto Sans" w:hAnsi="Noto Sans" w:cs="Noto Sans"/>
          <w:szCs w:val="18"/>
          <w:lang w:val="pt-PT"/>
        </w:rPr>
        <w:br/>
      </w:r>
      <w:r w:rsidR="006C6C7C" w:rsidRPr="00713E51">
        <w:rPr>
          <w:rFonts w:ascii="Noto Sans" w:hAnsi="Noto Sans" w:cs="Noto Sans"/>
          <w:b/>
          <w:bCs/>
          <w:szCs w:val="18"/>
          <w:lang w:val="pt-PT"/>
        </w:rPr>
        <w:t>Geral</w:t>
      </w:r>
      <w:r w:rsidR="006C6C7C" w:rsidRPr="00713E51">
        <w:rPr>
          <w:rFonts w:ascii="Noto Sans" w:hAnsi="Noto Sans" w:cs="Noto Sans"/>
          <w:szCs w:val="18"/>
          <w:lang w:val="pt-PT"/>
        </w:rPr>
        <w:br/>
      </w:r>
      <w:r w:rsidR="006C6C7C" w:rsidRPr="00713E51">
        <w:rPr>
          <w:rFonts w:ascii="Noto Sans" w:hAnsi="Noto Sans" w:cs="Noto Sans"/>
          <w:szCs w:val="18"/>
          <w:lang w:val="pt-BR"/>
        </w:rPr>
        <w:t>Todos os valores em termos de desempenho e alegações citados no presente documento foram obtidos sob condições específicas e apenas poderão ser repetidos sob condições semelhantes. Para obter detalhes específicos do produto, deve entrar em contacto com o seu Consultor Comercial da Domino. O presente documento não faz parte de quaisquer termos e condições celebrados entre si e a Domino.</w:t>
      </w:r>
      <w:r w:rsidR="00062E86" w:rsidRPr="00713E51">
        <w:rPr>
          <w:rFonts w:ascii="Noto Sans" w:hAnsi="Noto Sans" w:cs="Noto Sans"/>
          <w:szCs w:val="18"/>
          <w:lang w:val="pt-PT"/>
        </w:rPr>
        <w:t xml:space="preserve"> </w:t>
      </w:r>
      <w:r w:rsidR="00062E86" w:rsidRPr="00713E51">
        <w:rPr>
          <w:rFonts w:ascii="Noto Sans" w:hAnsi="Noto Sans" w:cs="Noto Sans"/>
          <w:szCs w:val="18"/>
          <w:lang w:val="pt-PT"/>
        </w:rPr>
        <w:br/>
      </w:r>
      <w:r w:rsidR="006C6C7C" w:rsidRPr="00713E51">
        <w:rPr>
          <w:rFonts w:ascii="Noto Sans" w:hAnsi="Noto Sans" w:cs="Noto Sans"/>
          <w:szCs w:val="18"/>
          <w:lang w:val="pt-PT"/>
        </w:rPr>
        <w:br/>
      </w:r>
      <w:r w:rsidR="006C6C7C" w:rsidRPr="00713E51">
        <w:rPr>
          <w:rFonts w:ascii="Noto Sans" w:hAnsi="Noto Sans" w:cs="Noto Sans"/>
          <w:b/>
          <w:bCs/>
          <w:szCs w:val="18"/>
          <w:lang w:val="pt-PT"/>
        </w:rPr>
        <w:t>Imagens</w:t>
      </w:r>
      <w:r w:rsidR="006C6C7C" w:rsidRPr="00713E51">
        <w:rPr>
          <w:rFonts w:ascii="Noto Sans" w:hAnsi="Noto Sans" w:cs="Noto Sans"/>
          <w:szCs w:val="18"/>
          <w:lang w:val="pt-PT"/>
        </w:rPr>
        <w:br/>
      </w:r>
      <w:r w:rsidR="006C6C7C" w:rsidRPr="00713E51">
        <w:rPr>
          <w:rFonts w:ascii="Noto Sans" w:hAnsi="Noto Sans" w:cs="Noto Sans"/>
          <w:szCs w:val="18"/>
          <w:lang w:val="pt-BR"/>
        </w:rPr>
        <w:t>As imagens podem incluir melhorias ou extras opcionais. A qualidade de impressão pode variar de acordo com os consumíveis, o equipamento, a superfície e outros fatores. As imagens e fotografias não fazem parte de quaisquer termos e condições celebrados entre si e a Domino.</w:t>
      </w:r>
      <w:r w:rsidR="006C6C7C" w:rsidRPr="00713E51">
        <w:rPr>
          <w:rFonts w:ascii="Noto Sans" w:hAnsi="Noto Sans" w:cs="Noto Sans"/>
          <w:szCs w:val="18"/>
          <w:lang w:val="pt-PT"/>
        </w:rPr>
        <w:br/>
      </w:r>
      <w:r w:rsidR="006C6C7C" w:rsidRPr="00713E51">
        <w:rPr>
          <w:rFonts w:ascii="Noto Sans" w:hAnsi="Noto Sans" w:cs="Noto Sans"/>
          <w:szCs w:val="18"/>
          <w:lang w:val="pt-PT"/>
        </w:rPr>
        <w:br/>
      </w:r>
      <w:r w:rsidR="006C6C7C" w:rsidRPr="00713E51">
        <w:rPr>
          <w:rFonts w:ascii="Noto Sans" w:hAnsi="Noto Sans" w:cs="Noto Sans"/>
          <w:b/>
          <w:bCs/>
          <w:szCs w:val="18"/>
          <w:lang w:val="pt-PT"/>
        </w:rPr>
        <w:t>Vídeos</w:t>
      </w:r>
      <w:r w:rsidR="006C6C7C" w:rsidRPr="00713E51">
        <w:rPr>
          <w:rFonts w:ascii="Noto Sans" w:hAnsi="Noto Sans" w:cs="Noto Sans"/>
          <w:szCs w:val="18"/>
          <w:lang w:val="pt-PT"/>
        </w:rPr>
        <w:br/>
      </w:r>
      <w:r w:rsidR="006C6C7C" w:rsidRPr="00713E51">
        <w:rPr>
          <w:rFonts w:ascii="Noto Sans" w:hAnsi="Noto Sans" w:cs="Noto Sans"/>
          <w:szCs w:val="18"/>
          <w:lang w:val="pt-BR"/>
        </w:rPr>
        <w:t>Este vídeo é apenas ilustrativo e pode incluir extras opcionais. Os valores relativos ao desempenho foram obtidos sob condições específicas; o desempenho individual pode variar. Os erros e as paragens das linhas de produção podem ser inevitáveis. Nada do que se encontra neste vídeo faz parte de qualquer contrato celebrado entre si e a Domino.</w:t>
      </w:r>
      <w:r w:rsidR="006C6C7C" w:rsidRPr="00713E51">
        <w:rPr>
          <w:rFonts w:ascii="Noto Sans" w:hAnsi="Noto Sans" w:cs="Noto Sans"/>
          <w:szCs w:val="18"/>
          <w:lang w:val="pt-PT"/>
        </w:rPr>
        <w:br/>
      </w:r>
      <w:r w:rsidR="006C6C7C" w:rsidRPr="00713E51">
        <w:rPr>
          <w:rFonts w:ascii="Noto Sans" w:eastAsia="Gill Sans" w:hAnsi="Noto Sans" w:cs="Noto Sans"/>
          <w:szCs w:val="18"/>
          <w:lang w:val="pt-PT"/>
        </w:rPr>
        <w:br/>
      </w:r>
      <w:bookmarkStart w:id="0" w:name="_Hlk61949672"/>
      <w:r w:rsidR="006C6C7C" w:rsidRPr="00713E51">
        <w:rPr>
          <w:rFonts w:ascii="Noto Sans" w:eastAsia="Gill Sans" w:hAnsi="Noto Sans" w:cs="Noto Sans"/>
          <w:b/>
          <w:szCs w:val="18"/>
          <w:lang w:val="pt-PT"/>
        </w:rPr>
        <w:br/>
      </w:r>
      <w:r w:rsidR="006C6C7C" w:rsidRPr="00713E51">
        <w:rPr>
          <w:rFonts w:ascii="Noto Sans" w:eastAsia="Gill Sans" w:hAnsi="Noto Sans" w:cs="Noto Sans"/>
          <w:b/>
          <w:bCs/>
          <w:szCs w:val="18"/>
          <w:lang w:val="pt-PT"/>
        </w:rPr>
        <w:t>Notas para os editores:</w:t>
      </w:r>
      <w:r w:rsidR="006C6C7C" w:rsidRPr="00713E51">
        <w:rPr>
          <w:rFonts w:ascii="Noto Sans" w:eastAsia="Gill Sans" w:hAnsi="Noto Sans" w:cs="Noto Sans"/>
          <w:b/>
          <w:szCs w:val="18"/>
          <w:lang w:val="pt-PT"/>
        </w:rPr>
        <w:br/>
      </w:r>
      <w:r w:rsidR="006C6C7C" w:rsidRPr="00713E51">
        <w:rPr>
          <w:rFonts w:ascii="Noto Sans" w:eastAsia="Gill Sans" w:hAnsi="Noto Sans" w:cs="Noto Sans"/>
          <w:szCs w:val="18"/>
          <w:lang w:val="pt-PT"/>
        </w:rPr>
        <w:br/>
      </w:r>
      <w:r w:rsidR="006C6C7C" w:rsidRPr="00713E51">
        <w:rPr>
          <w:rFonts w:ascii="Noto Sans" w:eastAsia="Gill Sans" w:hAnsi="Noto Sans" w:cs="Noto Sans"/>
          <w:b/>
          <w:bCs/>
          <w:szCs w:val="18"/>
          <w:lang w:val="pt-PT"/>
        </w:rPr>
        <w:t>Acerca da Domino</w:t>
      </w:r>
      <w:r w:rsidR="006C6C7C" w:rsidRPr="00713E51">
        <w:rPr>
          <w:rFonts w:ascii="Noto Sans" w:eastAsia="Gill Sans" w:hAnsi="Noto Sans" w:cs="Noto Sans"/>
          <w:b/>
          <w:szCs w:val="18"/>
          <w:lang w:val="pt-PT"/>
        </w:rPr>
        <w:br/>
      </w:r>
      <w:r w:rsidR="006C6C7C" w:rsidRPr="00713E51">
        <w:rPr>
          <w:rFonts w:ascii="Noto Sans" w:eastAsia="Gill Sans" w:hAnsi="Noto Sans" w:cs="Noto Sans"/>
          <w:szCs w:val="18"/>
          <w:lang w:val="pt-PT"/>
        </w:rPr>
        <w:br/>
        <w:t xml:space="preserve">A Digital Printing Solutions é uma divisão da Domino Printing Sciences. Fundada em 1978, a empresa estabeleceu uma reputação global relativamente ao desenvolvimento e fabrico de tecnologias de </w:t>
      </w:r>
      <w:r w:rsidR="006C6C7C" w:rsidRPr="00713E51">
        <w:rPr>
          <w:rFonts w:ascii="Noto Sans" w:eastAsia="Gill Sans" w:hAnsi="Noto Sans" w:cs="Noto Sans"/>
          <w:szCs w:val="18"/>
          <w:lang w:val="pt-PT"/>
        </w:rPr>
        <w:lastRenderedPageBreak/>
        <w:t>impressão a jato de tinta digital, assim como aos seus produtos de pós-venda e ao atendimento ao cliente a nível mundial.  Os seus serviços para o setor de impressão comercial incluem impressoras digitais a jato de tinta e sistemas de controlo desenvolvidos para proporcionar soluções para uma gama completa de aplicações de impressão de dados variáveis e etiquetagem.</w:t>
      </w:r>
      <w:r w:rsidR="006C6C7C" w:rsidRPr="00713E51">
        <w:rPr>
          <w:rFonts w:ascii="Noto Sans" w:eastAsia="Gill Sans" w:hAnsi="Noto Sans" w:cs="Noto Sans"/>
          <w:szCs w:val="18"/>
          <w:lang w:val="pt-PT"/>
        </w:rPr>
        <w:br/>
      </w:r>
      <w:r w:rsidR="006C6C7C" w:rsidRPr="00713E51">
        <w:rPr>
          <w:rFonts w:ascii="Noto Sans" w:eastAsia="Gill Sans" w:hAnsi="Noto Sans" w:cs="Noto Sans"/>
          <w:szCs w:val="18"/>
          <w:lang w:val="pt-PT"/>
        </w:rPr>
        <w:br/>
        <w:t>Todas as impressoras da Domino são desenvolvidas para satisfazerem as exigências de alta velocidade e elevada qualidade em ambientes de impressão comercial, apresentando novas capacidades a diferentes setores, incluindo os da etiquetagem, publicações e impressão de segurança, transacional, conversão de embalagens, cartões plastificados, bilhetes, jogos de cartas e formulários, bem como os setores de publicidade endereçada e serviços postais.</w:t>
      </w:r>
      <w:r w:rsidR="006C6C7C" w:rsidRPr="00713E51">
        <w:rPr>
          <w:rFonts w:ascii="Noto Sans" w:eastAsia="Gill Sans" w:hAnsi="Noto Sans" w:cs="Noto Sans"/>
          <w:szCs w:val="18"/>
          <w:lang w:val="pt-PT"/>
        </w:rPr>
        <w:br/>
      </w:r>
      <w:r w:rsidR="006C6C7C" w:rsidRPr="00713E51">
        <w:rPr>
          <w:rFonts w:ascii="Noto Sans" w:eastAsia="Gill Sans" w:hAnsi="Noto Sans" w:cs="Noto Sans"/>
          <w:szCs w:val="18"/>
          <w:lang w:val="pt-PT"/>
        </w:rPr>
        <w:br/>
      </w:r>
      <w:r w:rsidR="006C6C7C" w:rsidRPr="00713E51">
        <w:rPr>
          <w:rFonts w:ascii="Noto Sans" w:eastAsia="Gill Sans" w:hAnsi="Noto Sans" w:cs="Noto Sans"/>
          <w:szCs w:val="18"/>
          <w:lang w:val="pt-BR"/>
        </w:rPr>
        <w:t>A Domino emprega mais de 3000 pessoas em todo mundo e comercializa para mais de 120 países através de uma rede global de 29 filiais e mais de 200 distribuidores. As instalações de fabrico da Domino estão localizadas na Alemanha, China, EUA, Índia, Reino Unido, Suécia e Suíça. A Domino tornou-se uma divisão independente da Brother Industries Ltd. a 11 de junho de 2015.</w:t>
      </w:r>
      <w:r w:rsidR="006C6C7C" w:rsidRPr="00713E51">
        <w:rPr>
          <w:rFonts w:ascii="Noto Sans" w:eastAsia="Gill Sans" w:hAnsi="Noto Sans" w:cs="Noto Sans"/>
          <w:sz w:val="20"/>
          <w:szCs w:val="20"/>
          <w:lang w:val="pt-PT"/>
        </w:rPr>
        <w:br/>
      </w:r>
      <w:r w:rsidR="006C6C7C" w:rsidRPr="00713E51">
        <w:rPr>
          <w:rFonts w:ascii="Noto Sans" w:eastAsia="Gill Sans" w:hAnsi="Noto Sans" w:cs="Noto Sans"/>
          <w:sz w:val="20"/>
          <w:szCs w:val="20"/>
          <w:lang w:val="pt-PT"/>
        </w:rPr>
        <w:br/>
      </w:r>
      <w:r w:rsidR="006C6C7C" w:rsidRPr="00713E51">
        <w:rPr>
          <w:rFonts w:ascii="Noto Sans" w:eastAsia="Gill Sans" w:hAnsi="Noto Sans" w:cs="Noto Sans"/>
          <w:szCs w:val="18"/>
          <w:lang w:val="pt-PT"/>
        </w:rPr>
        <w:t xml:space="preserve">Para obter mais informações sobre a Domino, visite </w:t>
      </w:r>
      <w:hyperlink r:id="rId15" w:history="1">
        <w:r w:rsidR="006C6C7C" w:rsidRPr="00713E51">
          <w:rPr>
            <w:rStyle w:val="Hyperlink"/>
            <w:rFonts w:ascii="Noto Sans" w:eastAsia="Gill Sans" w:hAnsi="Noto Sans" w:cs="Noto Sans"/>
            <w:szCs w:val="18"/>
            <w:lang w:val="pt-PT"/>
          </w:rPr>
          <w:t>www.domino-printing.pt</w:t>
        </w:r>
      </w:hyperlink>
      <w:r w:rsidR="006C6C7C" w:rsidRPr="00713E51">
        <w:rPr>
          <w:rFonts w:ascii="Noto Sans" w:eastAsia="Gill Sans" w:hAnsi="Noto Sans" w:cs="Noto Sans"/>
          <w:szCs w:val="18"/>
          <w:lang w:val="pt-PT"/>
        </w:rPr>
        <w:t xml:space="preserve"> </w:t>
      </w:r>
      <w:r w:rsidR="006C6C7C" w:rsidRPr="00713E51">
        <w:rPr>
          <w:rFonts w:ascii="Noto Sans" w:eastAsia="Gill Sans" w:hAnsi="Noto Sans" w:cs="Noto Sans"/>
          <w:szCs w:val="18"/>
          <w:lang w:val="pt-PT"/>
        </w:rPr>
        <w:br/>
      </w:r>
      <w:r w:rsidR="006C6C7C" w:rsidRPr="00713E51">
        <w:rPr>
          <w:rFonts w:ascii="Noto Sans" w:eastAsia="Gill Sans" w:hAnsi="Noto Sans" w:cs="Noto Sans"/>
          <w:szCs w:val="18"/>
          <w:lang w:val="pt-PT"/>
        </w:rPr>
        <w:br/>
      </w:r>
      <w:r w:rsidR="006C6C7C" w:rsidRPr="00713E51">
        <w:rPr>
          <w:rFonts w:ascii="Noto Sans" w:eastAsia="Gill Sans" w:hAnsi="Noto Sans" w:cs="Noto Sans"/>
          <w:b/>
          <w:bCs/>
          <w:szCs w:val="18"/>
          <w:lang w:val="pt-PT"/>
        </w:rPr>
        <w:t>Para obter mais informações, contacte:</w:t>
      </w:r>
      <w:r w:rsidR="006C6C7C" w:rsidRPr="00713E51">
        <w:rPr>
          <w:rFonts w:ascii="Noto Sans" w:eastAsia="Gill Sans" w:hAnsi="Noto Sans" w:cs="Noto Sans"/>
          <w:b/>
          <w:bCs/>
          <w:szCs w:val="18"/>
          <w:lang w:val="pt-PT"/>
        </w:rPr>
        <w:br/>
      </w:r>
      <w:r w:rsidR="006C6C7C" w:rsidRPr="00713E51">
        <w:rPr>
          <w:rFonts w:ascii="Noto Sans" w:eastAsia="Gill Sans" w:hAnsi="Noto Sans" w:cs="Noto Sans"/>
          <w:b/>
          <w:bCs/>
          <w:szCs w:val="18"/>
          <w:lang w:val="pt-PT"/>
        </w:rPr>
        <w:br/>
      </w:r>
      <w:bookmarkEnd w:id="0"/>
      <w:r w:rsidR="006C6C7C" w:rsidRPr="00713E51">
        <w:rPr>
          <w:rFonts w:ascii="Noto Sans" w:hAnsi="Noto Sans" w:cs="Noto Sans"/>
          <w:szCs w:val="18"/>
          <w:lang w:val="pt-BR"/>
        </w:rPr>
        <w:t>Kathrin Farr</w:t>
      </w:r>
      <w:r w:rsidR="006C6C7C" w:rsidRPr="00713E51">
        <w:rPr>
          <w:rFonts w:ascii="Noto Sans" w:hAnsi="Noto Sans" w:cs="Noto Sans"/>
          <w:szCs w:val="18"/>
          <w:lang w:val="pt-BR"/>
        </w:rPr>
        <w:br/>
        <w:t>Content Executive (Digital Printing)</w:t>
      </w:r>
      <w:r w:rsidR="006C6C7C" w:rsidRPr="00713E51">
        <w:rPr>
          <w:rFonts w:ascii="Noto Sans" w:hAnsi="Noto Sans" w:cs="Noto Sans"/>
          <w:szCs w:val="18"/>
          <w:lang w:val="pt-BR"/>
        </w:rPr>
        <w:br/>
        <w:t xml:space="preserve">Domino Printing Sciences </w:t>
      </w:r>
      <w:r w:rsidR="006C6C7C" w:rsidRPr="00713E51">
        <w:rPr>
          <w:rFonts w:ascii="Noto Sans" w:hAnsi="Noto Sans" w:cs="Noto Sans"/>
          <w:szCs w:val="18"/>
          <w:lang w:val="pt-BR"/>
        </w:rPr>
        <w:br/>
        <w:t xml:space="preserve">Tel. : +44 (0) </w:t>
      </w:r>
      <w:hyperlink r:id="rId16" w:history="1">
        <w:r w:rsidR="006C6C7C" w:rsidRPr="00713E51">
          <w:rPr>
            <w:rFonts w:ascii="Noto Sans" w:hAnsi="Noto Sans" w:cs="Noto Sans"/>
            <w:szCs w:val="18"/>
            <w:lang w:val="pt-BR"/>
          </w:rPr>
          <w:t>1954 782 551</w:t>
        </w:r>
      </w:hyperlink>
      <w:r w:rsidR="006C6C7C" w:rsidRPr="00713E51">
        <w:rPr>
          <w:rFonts w:ascii="Noto Sans" w:hAnsi="Noto Sans" w:cs="Noto Sans"/>
          <w:szCs w:val="18"/>
          <w:lang w:val="pt-BR"/>
        </w:rPr>
        <w:br/>
      </w:r>
      <w:hyperlink r:id="rId17" w:history="1">
        <w:r w:rsidR="006C6C7C" w:rsidRPr="00713E51">
          <w:rPr>
            <w:rStyle w:val="Hyperlink"/>
            <w:rFonts w:ascii="Noto Sans" w:hAnsi="Noto Sans" w:cs="Noto Sans"/>
            <w:szCs w:val="18"/>
            <w:lang w:val="pt-BR"/>
          </w:rPr>
          <w:t>Kathrin.Farr@domino-uk.com</w:t>
        </w:r>
      </w:hyperlink>
      <w:r w:rsidR="006C6C7C" w:rsidRPr="00713E51">
        <w:rPr>
          <w:rFonts w:ascii="Noto Sans" w:hAnsi="Noto Sans" w:cs="Noto Sans"/>
          <w:szCs w:val="18"/>
          <w:lang w:val="pt-BR"/>
        </w:rPr>
        <w:t xml:space="preserve"> </w:t>
      </w:r>
      <w:r w:rsidR="006C6C7C" w:rsidRPr="00713E51">
        <w:rPr>
          <w:rFonts w:ascii="Noto Sans" w:hAnsi="Noto Sans" w:cs="Noto Sans"/>
          <w:szCs w:val="18"/>
          <w:lang w:val="pt-BR"/>
        </w:rPr>
        <w:br/>
      </w:r>
      <w:r w:rsidR="006C6C7C" w:rsidRPr="00713E51">
        <w:rPr>
          <w:rFonts w:ascii="Noto Sans" w:hAnsi="Noto Sans" w:cs="Noto Sans"/>
          <w:szCs w:val="18"/>
          <w:lang w:val="pt-BR"/>
        </w:rPr>
        <w:br/>
      </w:r>
      <w:r w:rsidR="00175248" w:rsidRPr="00713E51">
        <w:rPr>
          <w:rFonts w:ascii="Noto Sans" w:hAnsi="Noto Sans" w:cs="Noto Sans"/>
          <w:szCs w:val="18"/>
          <w:lang w:val="pt-BR"/>
        </w:rPr>
        <w:t xml:space="preserve">Jade Taylor-Salazar </w:t>
      </w:r>
      <w:r w:rsidR="00175248" w:rsidRPr="00713E51">
        <w:rPr>
          <w:rFonts w:ascii="Noto Sans" w:hAnsi="Noto Sans" w:cs="Noto Sans"/>
          <w:szCs w:val="18"/>
          <w:lang w:val="pt-BR"/>
        </w:rPr>
        <w:br/>
        <w:t xml:space="preserve">PR and Content Manager </w:t>
      </w:r>
      <w:r w:rsidR="00175248" w:rsidRPr="00713E51">
        <w:rPr>
          <w:rFonts w:ascii="Noto Sans" w:hAnsi="Noto Sans" w:cs="Noto Sans"/>
          <w:szCs w:val="18"/>
          <w:lang w:val="pt-BR"/>
        </w:rPr>
        <w:br/>
        <w:t xml:space="preserve">Domino Printing Sciences </w:t>
      </w:r>
      <w:r w:rsidR="00175248" w:rsidRPr="00713E51">
        <w:rPr>
          <w:rFonts w:ascii="Noto Sans" w:hAnsi="Noto Sans" w:cs="Noto Sans"/>
          <w:szCs w:val="18"/>
          <w:lang w:val="pt-BR"/>
        </w:rPr>
        <w:br/>
        <w:t>Tel. : +44 (0) 1954 778780</w:t>
      </w:r>
      <w:r w:rsidR="00175248" w:rsidRPr="00713E51">
        <w:rPr>
          <w:rFonts w:ascii="Noto Sans" w:hAnsi="Noto Sans" w:cs="Noto Sans"/>
          <w:szCs w:val="18"/>
          <w:lang w:val="pt-BR"/>
        </w:rPr>
        <w:br/>
      </w:r>
      <w:hyperlink r:id="rId18" w:history="1">
        <w:r w:rsidR="00175248" w:rsidRPr="00713E51">
          <w:rPr>
            <w:rStyle w:val="Hyperlink"/>
            <w:rFonts w:ascii="Noto Sans" w:hAnsi="Noto Sans" w:cs="Noto Sans"/>
            <w:szCs w:val="18"/>
            <w:lang w:val="pt-BR"/>
          </w:rPr>
          <w:t>Jade.Taylor-Salazar@domino-uk.com</w:t>
        </w:r>
      </w:hyperlink>
    </w:p>
    <w:sectPr w:rsidR="006C6C7C" w:rsidRPr="00713E51" w:rsidSect="000F6D0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CE7EA" w14:textId="77777777" w:rsidR="0011573D" w:rsidRDefault="0011573D" w:rsidP="00785717">
      <w:pPr>
        <w:spacing w:line="240" w:lineRule="auto"/>
      </w:pPr>
      <w:r>
        <w:separator/>
      </w:r>
    </w:p>
  </w:endnote>
  <w:endnote w:type="continuationSeparator" w:id="0">
    <w:p w14:paraId="6EC1D072" w14:textId="77777777" w:rsidR="0011573D" w:rsidRDefault="0011573D"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3CA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2678" w14:textId="77777777" w:rsidR="00785717" w:rsidRDefault="000F6D00" w:rsidP="00785717">
    <w:pPr>
      <w:pStyle w:val="Footer"/>
    </w:pPr>
    <w:r>
      <w:rPr>
        <w:noProof/>
      </w:rPr>
      <w:drawing>
        <wp:anchor distT="0" distB="0" distL="114300" distR="114300" simplePos="0" relativeHeight="251659264" behindDoc="0" locked="0" layoutInCell="1" allowOverlap="1" wp14:anchorId="157C21E0" wp14:editId="562C3EA1">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7A6B7F6D" wp14:editId="090469BE">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63D8"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AE099" w14:textId="77777777" w:rsidR="0011573D" w:rsidRDefault="0011573D" w:rsidP="00785717">
      <w:pPr>
        <w:spacing w:line="240" w:lineRule="auto"/>
      </w:pPr>
      <w:r>
        <w:separator/>
      </w:r>
    </w:p>
  </w:footnote>
  <w:footnote w:type="continuationSeparator" w:id="0">
    <w:p w14:paraId="6A483A55" w14:textId="77777777" w:rsidR="0011573D" w:rsidRDefault="0011573D"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F32C"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BD58" w14:textId="77777777" w:rsidR="000F6D00" w:rsidRDefault="002766D9">
    <w:pPr>
      <w:pStyle w:val="Header"/>
    </w:pPr>
    <w:r>
      <w:rPr>
        <w:noProof/>
      </w:rPr>
      <w:drawing>
        <wp:anchor distT="0" distB="0" distL="114300" distR="114300" simplePos="0" relativeHeight="251661312" behindDoc="0" locked="0" layoutInCell="1" allowOverlap="1" wp14:anchorId="1A046442" wp14:editId="3586F545">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A8D0"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E86"/>
    <w:rsid w:val="0002201E"/>
    <w:rsid w:val="000220DA"/>
    <w:rsid w:val="00062E86"/>
    <w:rsid w:val="000F6D00"/>
    <w:rsid w:val="0011573D"/>
    <w:rsid w:val="00175248"/>
    <w:rsid w:val="001D743C"/>
    <w:rsid w:val="002202E3"/>
    <w:rsid w:val="00240801"/>
    <w:rsid w:val="002766D9"/>
    <w:rsid w:val="00372E92"/>
    <w:rsid w:val="003C7663"/>
    <w:rsid w:val="004C6703"/>
    <w:rsid w:val="005272B1"/>
    <w:rsid w:val="005524DB"/>
    <w:rsid w:val="005741C7"/>
    <w:rsid w:val="00581FEB"/>
    <w:rsid w:val="005E6C45"/>
    <w:rsid w:val="00616095"/>
    <w:rsid w:val="00647055"/>
    <w:rsid w:val="00660F46"/>
    <w:rsid w:val="006C6C7C"/>
    <w:rsid w:val="00713E51"/>
    <w:rsid w:val="00785717"/>
    <w:rsid w:val="00791A4F"/>
    <w:rsid w:val="007C0541"/>
    <w:rsid w:val="007D2B85"/>
    <w:rsid w:val="008220B7"/>
    <w:rsid w:val="00823B77"/>
    <w:rsid w:val="00825B69"/>
    <w:rsid w:val="00842E7E"/>
    <w:rsid w:val="008916A8"/>
    <w:rsid w:val="008B6461"/>
    <w:rsid w:val="008E5E0C"/>
    <w:rsid w:val="008F3E38"/>
    <w:rsid w:val="009073CF"/>
    <w:rsid w:val="00931996"/>
    <w:rsid w:val="009A1716"/>
    <w:rsid w:val="009A1DEC"/>
    <w:rsid w:val="009D6280"/>
    <w:rsid w:val="009E5D98"/>
    <w:rsid w:val="00A34918"/>
    <w:rsid w:val="00AB11DA"/>
    <w:rsid w:val="00B23C3C"/>
    <w:rsid w:val="00B546C5"/>
    <w:rsid w:val="00B7088D"/>
    <w:rsid w:val="00B86660"/>
    <w:rsid w:val="00BC7C15"/>
    <w:rsid w:val="00BD07B6"/>
    <w:rsid w:val="00C03CCC"/>
    <w:rsid w:val="00C063FE"/>
    <w:rsid w:val="00C44603"/>
    <w:rsid w:val="00C541FE"/>
    <w:rsid w:val="00CF1AD5"/>
    <w:rsid w:val="00D66051"/>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A8D"/>
  <w15:chartTrackingRefBased/>
  <w15:docId w15:val="{1703AFDA-3DB4-460F-B480-6EA71A2F6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C7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kaging-gateway.com/news/eu-ppwr-regulation-schedule/" TargetMode="External"/><Relationship Id="rId13" Type="http://schemas.openxmlformats.org/officeDocument/2006/relationships/hyperlink" Target="https://www.domino-printing.com/pt-pt/blog/2026/dp-cuidados-impressao-qr-code-gs1?utm_medium=non-paid&amp;utm_source=onlinepublication&amp;utm_content=pr-dp-ppwr-check&amp;utm_campaign=2026-int-pt-Global-PR-DP-FY26-Q2" TargetMode="External"/><Relationship Id="rId18" Type="http://schemas.openxmlformats.org/officeDocument/2006/relationships/hyperlink" Target="mailto:Jade.Taylor-Salazar@domino-uk.co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www.packaginginsights.com/news/coca-cola-mcdonalds-ppwr-delay.html" TargetMode="External"/><Relationship Id="rId12" Type="http://schemas.openxmlformats.org/officeDocument/2006/relationships/hyperlink" Target="https://www.packagingnews.co.uk/news/environment/data-shows-many-packaging-producers-still-struggling-with-recyclability-13-07-2026" TargetMode="External"/><Relationship Id="rId17" Type="http://schemas.openxmlformats.org/officeDocument/2006/relationships/hyperlink" Target="mailto:Kathrin.Farr@domino-uk.co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tel:+44%20(0)1954%20782%20551"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environment.ec.europa.eu/topics/waste-and-recycling/packaging-waste/packaging-packaging-waste-regulation_en" TargetMode="External"/><Relationship Id="rId11" Type="http://schemas.openxmlformats.org/officeDocument/2006/relationships/hyperlink" Target="https://thepackhub.com/innovation-news/leclerc-replaces-cardboard-with-compact-plastic-film-in-biscuit-packaging/"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www.domino-printing.pt" TargetMode="External"/><Relationship Id="rId23" Type="http://schemas.openxmlformats.org/officeDocument/2006/relationships/header" Target="header3.xml"/><Relationship Id="rId10" Type="http://schemas.openxmlformats.org/officeDocument/2006/relationships/hyperlink" Target="https://www.groupe-bel.com/en/newsroom/press-releases/bel-announces-global-rollout-of-babybels-paper-packaging/"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ckinsey.com/industries/packaging-and-paper/our-insights/sustainability-in-packaging-2025-inside-the-minds-of-global-consumers" TargetMode="External"/><Relationship Id="rId14" Type="http://schemas.openxmlformats.org/officeDocument/2006/relationships/hyperlink" Target="https://www.domino-printing.com/pt-pt/home.aspx?utm_medium=non-paid&amp;utm_source=onlinepublication&amp;utm_content=pr-dp-ppwr-check&amp;utm_campaign=2026-int-pt-Global-PR-DP-FY26-Q2"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3</cp:revision>
  <dcterms:created xsi:type="dcterms:W3CDTF">2026-08-06T10:27:00Z</dcterms:created>
  <dcterms:modified xsi:type="dcterms:W3CDTF">2026-08-06T10:30:00Z</dcterms:modified>
</cp:coreProperties>
</file>