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9FD09" w14:textId="77777777" w:rsidR="005078B0" w:rsidRPr="005078B0" w:rsidRDefault="005078B0" w:rsidP="005078B0">
      <w:pPr>
        <w:spacing w:after="160" w:line="240" w:lineRule="auto"/>
        <w:jc w:val="both"/>
        <w:rPr>
          <w:rFonts w:ascii="Noto Sans" w:eastAsiaTheme="minorHAnsi" w:hAnsi="Noto Sans" w:cs="Noto Sans"/>
          <w:b/>
          <w:bCs/>
          <w:color w:val="1C1C1C"/>
          <w:sz w:val="28"/>
          <w:szCs w:val="28"/>
          <w:shd w:val="clear" w:color="auto" w:fill="FFFFFF"/>
          <w:lang w:val="nl-NL"/>
        </w:rPr>
      </w:pPr>
      <w:r w:rsidRPr="005078B0">
        <w:rPr>
          <w:rFonts w:ascii="Noto Sans" w:eastAsiaTheme="minorHAnsi" w:hAnsi="Noto Sans" w:cs="Noto Sans"/>
          <w:b/>
          <w:bCs/>
          <w:color w:val="1C1C1C"/>
          <w:sz w:val="28"/>
          <w:szCs w:val="28"/>
          <w:shd w:val="clear" w:color="auto" w:fill="FFFFFF"/>
          <w:lang w:val="nl"/>
        </w:rPr>
        <w:t>PPWR, verpakkingsprint en recyclebaarheid: een realitycheck</w:t>
      </w:r>
    </w:p>
    <w:p w14:paraId="6C4D18F6" w14:textId="77777777" w:rsidR="005078B0" w:rsidRPr="005078B0" w:rsidRDefault="005078B0" w:rsidP="005078B0">
      <w:pPr>
        <w:spacing w:after="160" w:line="240" w:lineRule="auto"/>
        <w:jc w:val="both"/>
        <w:rPr>
          <w:rFonts w:ascii="Noto Sans" w:eastAsiaTheme="minorHAnsi" w:hAnsi="Noto Sans" w:cs="Noto Sans"/>
          <w:i/>
          <w:iCs/>
          <w:sz w:val="22"/>
          <w:lang w:val="nl-NL"/>
        </w:rPr>
      </w:pPr>
      <w:r w:rsidRPr="005078B0">
        <w:rPr>
          <w:rFonts w:ascii="Noto Sans" w:eastAsiaTheme="minorHAnsi" w:hAnsi="Noto Sans" w:cs="Noto Sans"/>
          <w:i/>
          <w:iCs/>
          <w:sz w:val="22"/>
          <w:lang w:val="nl"/>
        </w:rPr>
        <w:t>De EU Packaging and Packaging Waste Regulation (</w:t>
      </w:r>
      <w:r>
        <w:fldChar w:fldCharType="begin"/>
      </w:r>
      <w:r w:rsidRPr="004B5296">
        <w:rPr>
          <w:lang w:val="nl-NL"/>
        </w:rPr>
        <w:instrText>HYPERLINK "https://environment.ec.europa.eu/topics/waste-and-recycling/packaging-waste/packaging-packaging-waste-regulation_en"</w:instrText>
      </w:r>
      <w:r>
        <w:fldChar w:fldCharType="separate"/>
      </w:r>
      <w:r w:rsidRPr="005078B0">
        <w:rPr>
          <w:rFonts w:ascii="Noto Sans" w:eastAsiaTheme="minorHAnsi" w:hAnsi="Noto Sans" w:cs="Noto Sans"/>
          <w:i/>
          <w:iCs/>
          <w:color w:val="0000FF"/>
          <w:sz w:val="22"/>
          <w:u w:val="single"/>
          <w:lang w:val="nl"/>
        </w:rPr>
        <w:t>PPWR</w:t>
      </w:r>
      <w:r>
        <w:fldChar w:fldCharType="end"/>
      </w:r>
      <w:r w:rsidRPr="005078B0">
        <w:rPr>
          <w:rFonts w:ascii="Noto Sans" w:eastAsiaTheme="minorHAnsi" w:hAnsi="Noto Sans" w:cs="Noto Sans"/>
          <w:i/>
          <w:iCs/>
          <w:sz w:val="22"/>
          <w:lang w:val="nl"/>
        </w:rPr>
        <w:t>) gaat de eisen voor verpakkingen ingrijpend veranderen door op grote schaal minimalisering van verpakking, hergebruik en recycling te vereisen. Tot nu toe hebben veel merken hun nalevingsinspanningen aangaande PPWR gericht op het voldoen aan de basisvereisten voor de deadline van augustus 2026: verpakking minimaliseren, gevaarlijke stoffen verminderen, traceerbare batch- of serienummers toevoegen en conformiteitsverklaringen voor elk type verpakking opstellen.</w:t>
      </w:r>
    </w:p>
    <w:p w14:paraId="64C37546" w14:textId="77777777" w:rsidR="005078B0" w:rsidRPr="005078B0" w:rsidRDefault="005078B0" w:rsidP="005078B0">
      <w:pPr>
        <w:spacing w:after="160" w:line="240" w:lineRule="auto"/>
        <w:jc w:val="both"/>
        <w:rPr>
          <w:rFonts w:ascii="Noto Sans" w:eastAsiaTheme="minorHAnsi" w:hAnsi="Noto Sans" w:cs="Noto Sans"/>
          <w:i/>
          <w:iCs/>
          <w:sz w:val="22"/>
          <w:lang w:val="nl-NL"/>
        </w:rPr>
      </w:pPr>
      <w:r w:rsidRPr="005078B0">
        <w:rPr>
          <w:rFonts w:ascii="Noto Sans" w:eastAsiaTheme="minorHAnsi" w:hAnsi="Noto Sans" w:cs="Noto Sans"/>
          <w:i/>
          <w:iCs/>
          <w:sz w:val="22"/>
          <w:lang w:val="nl"/>
        </w:rPr>
        <w:t xml:space="preserve">Richting 2030 worden de eisen verder aangescherpt. De focus verschuift naar verpakkingsmaterialen, waarbij componenten die recyclingstromen kunnen verstoren worden verwijderd voor maximale recyclebaarheid van verpakkingen. Veel aspecten van de PPWR zijn echter nog onduidelijk en de benodigde recyclinginfrastructuur moet nog worden opgezet. Ondanks de roep tot </w:t>
      </w:r>
      <w:hyperlink r:id="rId6" w:history="1">
        <w:r w:rsidRPr="005078B0">
          <w:rPr>
            <w:rFonts w:ascii="Noto Sans" w:eastAsiaTheme="minorHAnsi" w:hAnsi="Noto Sans" w:cs="Noto Sans"/>
            <w:i/>
            <w:iCs/>
            <w:color w:val="0000FF"/>
            <w:sz w:val="22"/>
            <w:u w:val="single"/>
            <w:lang w:val="nl"/>
          </w:rPr>
          <w:t>uitstel van de deadline</w:t>
        </w:r>
      </w:hyperlink>
      <w:r w:rsidRPr="005078B0">
        <w:rPr>
          <w:rFonts w:ascii="Noto Sans" w:eastAsiaTheme="minorHAnsi" w:hAnsi="Noto Sans" w:cs="Noto Sans"/>
          <w:i/>
          <w:iCs/>
          <w:sz w:val="22"/>
          <w:lang w:val="nl"/>
        </w:rPr>
        <w:t xml:space="preserve"> en de eisen voor </w:t>
      </w:r>
      <w:hyperlink r:id="rId7" w:history="1">
        <w:r w:rsidRPr="005078B0">
          <w:rPr>
            <w:rFonts w:ascii="Noto Sans" w:eastAsiaTheme="minorHAnsi" w:hAnsi="Noto Sans" w:cs="Noto Sans"/>
            <w:i/>
            <w:iCs/>
            <w:color w:val="0000FF"/>
            <w:sz w:val="22"/>
            <w:u w:val="single"/>
            <w:lang w:val="nl"/>
          </w:rPr>
          <w:t>secundaire wetgeving</w:t>
        </w:r>
      </w:hyperlink>
      <w:r w:rsidRPr="005078B0">
        <w:rPr>
          <w:rFonts w:ascii="Noto Sans" w:eastAsiaTheme="minorHAnsi" w:hAnsi="Noto Sans" w:cs="Noto Sans"/>
          <w:i/>
          <w:iCs/>
          <w:sz w:val="22"/>
          <w:lang w:val="nl"/>
        </w:rPr>
        <w:t xml:space="preserve"> die de zorgen in de sector </w:t>
      </w:r>
      <w:proofErr w:type="gramStart"/>
      <w:r w:rsidRPr="005078B0">
        <w:rPr>
          <w:rFonts w:ascii="Noto Sans" w:eastAsiaTheme="minorHAnsi" w:hAnsi="Noto Sans" w:cs="Noto Sans"/>
          <w:i/>
          <w:iCs/>
          <w:sz w:val="22"/>
          <w:lang w:val="nl"/>
        </w:rPr>
        <w:t>onderstrepen</w:t>
      </w:r>
      <w:proofErr w:type="gramEnd"/>
      <w:r w:rsidRPr="005078B0">
        <w:rPr>
          <w:rFonts w:ascii="Noto Sans" w:eastAsiaTheme="minorHAnsi" w:hAnsi="Noto Sans" w:cs="Noto Sans"/>
          <w:i/>
          <w:iCs/>
          <w:sz w:val="22"/>
          <w:lang w:val="nl"/>
        </w:rPr>
        <w:t>, moeten merken nu al plannen gaan maken.</w:t>
      </w:r>
    </w:p>
    <w:p w14:paraId="3976EB73" w14:textId="77777777" w:rsidR="005078B0" w:rsidRPr="005078B0" w:rsidRDefault="005078B0" w:rsidP="005078B0">
      <w:pPr>
        <w:tabs>
          <w:tab w:val="num" w:pos="720"/>
        </w:tabs>
        <w:spacing w:after="160" w:line="240" w:lineRule="auto"/>
        <w:jc w:val="both"/>
        <w:rPr>
          <w:rFonts w:ascii="Noto Sans" w:eastAsiaTheme="minorHAnsi" w:hAnsi="Noto Sans" w:cs="Noto Sans"/>
          <w:i/>
          <w:iCs/>
          <w:sz w:val="22"/>
          <w:lang w:val="nl-NL"/>
        </w:rPr>
      </w:pPr>
      <w:r w:rsidRPr="005078B0">
        <w:rPr>
          <w:rFonts w:ascii="Noto Sans" w:eastAsiaTheme="minorHAnsi" w:hAnsi="Noto Sans" w:cs="Noto Sans"/>
          <w:i/>
          <w:iCs/>
          <w:sz w:val="22"/>
          <w:lang w:val="nl"/>
        </w:rPr>
        <w:t>Natasha Jeremic, Head of Piezo Inks bij Domino Printing Sciences, bekijkt de commerciële realiteit voor verpakkingsleveranciers en de cruciale rol van converters in duurzaamheidsgerichte samenwerking.</w:t>
      </w:r>
    </w:p>
    <w:p w14:paraId="22337FA2" w14:textId="77777777" w:rsidR="005078B0" w:rsidRPr="005078B0" w:rsidRDefault="005078B0" w:rsidP="005078B0">
      <w:pPr>
        <w:spacing w:after="160" w:line="240" w:lineRule="auto"/>
        <w:jc w:val="both"/>
        <w:rPr>
          <w:rFonts w:ascii="Noto Sans" w:eastAsiaTheme="minorHAnsi" w:hAnsi="Noto Sans" w:cs="Noto Sans"/>
          <w:b/>
          <w:bCs/>
          <w:sz w:val="22"/>
          <w:lang w:val="nl-NL"/>
        </w:rPr>
      </w:pPr>
      <w:r w:rsidRPr="005078B0">
        <w:rPr>
          <w:rFonts w:ascii="Noto Sans" w:eastAsiaTheme="minorHAnsi" w:hAnsi="Noto Sans" w:cs="Noto Sans"/>
          <w:b/>
          <w:bCs/>
          <w:sz w:val="22"/>
          <w:lang w:val="nl"/>
        </w:rPr>
        <w:t>Regelgeving versus paraatheid</w:t>
      </w:r>
    </w:p>
    <w:p w14:paraId="2CB43010" w14:textId="77777777" w:rsidR="005078B0" w:rsidRPr="005078B0" w:rsidRDefault="005078B0" w:rsidP="005078B0">
      <w:pPr>
        <w:spacing w:after="160" w:line="240" w:lineRule="auto"/>
        <w:jc w:val="both"/>
        <w:rPr>
          <w:rFonts w:ascii="Noto Sans" w:eastAsiaTheme="minorHAnsi" w:hAnsi="Noto Sans" w:cs="Noto Sans"/>
          <w:sz w:val="22"/>
          <w:lang w:val="nl-NL"/>
        </w:rPr>
      </w:pPr>
      <w:r w:rsidRPr="005078B0">
        <w:rPr>
          <w:rFonts w:ascii="Noto Sans" w:eastAsiaTheme="minorHAnsi" w:hAnsi="Noto Sans" w:cs="Noto Sans"/>
          <w:sz w:val="22"/>
          <w:lang w:val="nl"/>
        </w:rPr>
        <w:t xml:space="preserve">Ondanks de dalende interesse van consumenten in de </w:t>
      </w:r>
      <w:r>
        <w:fldChar w:fldCharType="begin"/>
      </w:r>
      <w:r w:rsidRPr="004B5296">
        <w:rPr>
          <w:lang w:val="nl-NL"/>
        </w:rPr>
        <w:instrText>HYPERLINK "https://www.mckinsey.com/industries/packaging-and-paper/our-insights/sustainability-in-packaging-2025-inside-the-minds-of-global-consumers"</w:instrText>
      </w:r>
      <w:r>
        <w:fldChar w:fldCharType="separate"/>
      </w:r>
      <w:r w:rsidRPr="005078B0">
        <w:rPr>
          <w:rFonts w:ascii="Noto Sans" w:eastAsiaTheme="minorHAnsi" w:hAnsi="Noto Sans" w:cs="Noto Sans"/>
          <w:color w:val="0000FF"/>
          <w:sz w:val="22"/>
          <w:u w:val="single"/>
          <w:lang w:val="nl"/>
        </w:rPr>
        <w:t>milieu-impact van verpakkingen</w:t>
      </w:r>
      <w:r>
        <w:fldChar w:fldCharType="end"/>
      </w:r>
      <w:r w:rsidRPr="005078B0">
        <w:rPr>
          <w:rFonts w:ascii="Noto Sans" w:eastAsiaTheme="minorHAnsi" w:hAnsi="Noto Sans" w:cs="Noto Sans"/>
          <w:sz w:val="22"/>
          <w:lang w:val="nl"/>
        </w:rPr>
        <w:t>, dwingt strengere regelgeving merken om af te stappen van traditionele methoden voor de ontwikkeling en productie van verpakkingen en labels. Ordervolumes, printkwaliteit en kosten stonden vanouds voorop, maar deze moeten nu in evenwicht worden gebracht met de PPWR-vereisten voor zowel de recyclebaarheid van verpakkingen als het minimale aandeel gerecycled materiaal.</w:t>
      </w:r>
    </w:p>
    <w:p w14:paraId="17A490DC" w14:textId="77777777" w:rsidR="005078B0" w:rsidRPr="005078B0" w:rsidRDefault="005078B0" w:rsidP="005078B0">
      <w:pPr>
        <w:spacing w:after="160" w:line="240" w:lineRule="auto"/>
        <w:jc w:val="both"/>
        <w:rPr>
          <w:rFonts w:ascii="Noto Sans" w:eastAsiaTheme="minorHAnsi" w:hAnsi="Noto Sans" w:cs="Noto Sans"/>
          <w:sz w:val="22"/>
          <w:lang w:val="nl-NL"/>
        </w:rPr>
      </w:pPr>
      <w:r w:rsidRPr="005078B0">
        <w:rPr>
          <w:rFonts w:ascii="Noto Sans" w:eastAsiaTheme="minorHAnsi" w:hAnsi="Noto Sans" w:cs="Noto Sans"/>
          <w:sz w:val="22"/>
          <w:lang w:val="nl"/>
        </w:rPr>
        <w:t xml:space="preserve">Hoewel er voor 2030 en daarna incrementele PPWR-doelstellingen zijn vastgesteld, maakt de sector zich zorgen over het ontbreken van een ondersteunend kader. Belangrijke definities van recyclebaarheid, de kwaliteitsklassen van gerecycled materiaal en de bijbehorende testmethodologieën blijven onduidelijk of onvolledig. Er is ook onduidelijkheid over de manier waarop de naleving van regelgeving op de lange termijn zal worden beoordeeld. </w:t>
      </w:r>
    </w:p>
    <w:p w14:paraId="1F56007F" w14:textId="77777777" w:rsidR="005078B0" w:rsidRPr="005078B0" w:rsidRDefault="005078B0" w:rsidP="005078B0">
      <w:pPr>
        <w:spacing w:after="160" w:line="240" w:lineRule="auto"/>
        <w:jc w:val="both"/>
        <w:rPr>
          <w:rFonts w:ascii="Noto Sans" w:eastAsiaTheme="minorHAnsi" w:hAnsi="Noto Sans" w:cs="Noto Sans"/>
          <w:sz w:val="22"/>
          <w:lang w:val="nl-NL"/>
        </w:rPr>
      </w:pPr>
      <w:r w:rsidRPr="005078B0">
        <w:rPr>
          <w:rFonts w:ascii="Noto Sans" w:eastAsiaTheme="minorHAnsi" w:hAnsi="Noto Sans" w:cs="Noto Sans"/>
          <w:sz w:val="22"/>
          <w:lang w:val="nl"/>
        </w:rPr>
        <w:t>Het resultaat is niet alleen een gefragmenteerd beeld van de duurzaamheid van verpakkingen, maar ook een gefragmenteerde aanpak van duurzame productontwikkeling. Leveranciers van inkt, kleefstoffen en materialen kijken momenteel enkel naar hun eigen productportfolio's, zonder rekening te houden met de impact op de totale verpakkingseenheid. Het gevolg is dat individuele componenten misschien als PPWR-</w:t>
      </w:r>
      <w:proofErr w:type="gramStart"/>
      <w:r w:rsidRPr="005078B0">
        <w:rPr>
          <w:rFonts w:ascii="Noto Sans" w:eastAsiaTheme="minorHAnsi" w:hAnsi="Noto Sans" w:cs="Noto Sans"/>
          <w:sz w:val="22"/>
          <w:lang w:val="nl"/>
        </w:rPr>
        <w:t>conform</w:t>
      </w:r>
      <w:proofErr w:type="gramEnd"/>
      <w:r w:rsidRPr="005078B0">
        <w:rPr>
          <w:rFonts w:ascii="Noto Sans" w:eastAsiaTheme="minorHAnsi" w:hAnsi="Noto Sans" w:cs="Noto Sans"/>
          <w:sz w:val="22"/>
          <w:lang w:val="nl"/>
        </w:rPr>
        <w:t xml:space="preserve"> en technisch recyclebaar worden beschouwd, maar dat de gecombineerde verpakking nog steeds niet aan de recyclebaarheidsbeoordelingen voldoet als deze niet op grote schaal recyclebaar is. </w:t>
      </w:r>
    </w:p>
    <w:p w14:paraId="415DC0EF" w14:textId="77777777" w:rsidR="005078B0" w:rsidRPr="005078B0" w:rsidRDefault="005078B0" w:rsidP="005078B0">
      <w:pPr>
        <w:spacing w:after="160" w:line="240" w:lineRule="auto"/>
        <w:jc w:val="both"/>
        <w:rPr>
          <w:rFonts w:ascii="Noto Sans" w:eastAsiaTheme="minorHAnsi" w:hAnsi="Noto Sans" w:cs="Noto Sans"/>
          <w:b/>
          <w:bCs/>
          <w:sz w:val="22"/>
          <w:lang w:val="nl-NL"/>
        </w:rPr>
      </w:pPr>
      <w:r w:rsidRPr="005078B0">
        <w:rPr>
          <w:rFonts w:ascii="Noto Sans" w:eastAsiaTheme="minorHAnsi" w:hAnsi="Noto Sans" w:cs="Noto Sans"/>
          <w:b/>
          <w:bCs/>
          <w:sz w:val="22"/>
          <w:lang w:val="nl"/>
        </w:rPr>
        <w:lastRenderedPageBreak/>
        <w:t>Milieuvriendelijkheid versus de impact op de volledige levenscyclus</w:t>
      </w:r>
    </w:p>
    <w:p w14:paraId="44BF5E86" w14:textId="77777777" w:rsidR="005078B0" w:rsidRPr="005078B0" w:rsidRDefault="005078B0" w:rsidP="005078B0">
      <w:pPr>
        <w:spacing w:after="160" w:line="240" w:lineRule="auto"/>
        <w:jc w:val="both"/>
        <w:rPr>
          <w:rFonts w:ascii="Noto Sans" w:eastAsiaTheme="minorHAnsi" w:hAnsi="Noto Sans" w:cs="Noto Sans"/>
          <w:sz w:val="22"/>
          <w:lang w:val="nl-NL"/>
        </w:rPr>
      </w:pPr>
      <w:r w:rsidRPr="005078B0">
        <w:rPr>
          <w:rFonts w:ascii="Noto Sans" w:eastAsiaTheme="minorHAnsi" w:hAnsi="Noto Sans" w:cs="Noto Sans"/>
          <w:sz w:val="22"/>
          <w:lang w:val="nl"/>
        </w:rPr>
        <w:t xml:space="preserve">Merken hebben uiteraard al aanzienlijke veranderingen doorgevoerd in hun verpakkingsstrategie om aan de PPWR-deadline van augustus 2026 te voldoen. De verpakking is geminimaliseerd, gevaarlijke stoffen zijn verwijderd en traceerbaarheid is toegevoegd. De sterke nadruk van de 2030 PPWR-vereisten op de recyclebaarheid van verpakkingen roept echter vragen op over de perceptie van milieuvriendelijkheid die de huidige recyclingmogelijkheden bieden, zonder naar de milieu-impact over de volledige levenscyclus te kijken. </w:t>
      </w:r>
    </w:p>
    <w:p w14:paraId="7C9A2261" w14:textId="77777777" w:rsidR="005078B0" w:rsidRPr="005078B0" w:rsidRDefault="005078B0" w:rsidP="005078B0">
      <w:pPr>
        <w:spacing w:after="160" w:line="240" w:lineRule="auto"/>
        <w:jc w:val="both"/>
        <w:rPr>
          <w:rFonts w:ascii="Noto Sans" w:eastAsiaTheme="minorHAnsi" w:hAnsi="Noto Sans" w:cs="Noto Sans"/>
          <w:sz w:val="22"/>
          <w:lang w:val="nl-NL"/>
        </w:rPr>
      </w:pPr>
      <w:r w:rsidRPr="005078B0">
        <w:rPr>
          <w:rFonts w:ascii="Noto Sans" w:eastAsiaTheme="minorHAnsi" w:hAnsi="Noto Sans" w:cs="Noto Sans"/>
          <w:sz w:val="22"/>
          <w:lang w:val="nl"/>
        </w:rPr>
        <w:t xml:space="preserve">Deze ambiguïteit dwingt merken verschillende benaderingen te kiezen voor verpakkingsontwerp en materiaalkeuze. Zo is </w:t>
      </w:r>
      <w:hyperlink r:id="rId8" w:history="1">
        <w:r w:rsidRPr="005078B0">
          <w:rPr>
            <w:rFonts w:ascii="Noto Sans" w:eastAsiaTheme="minorHAnsi" w:hAnsi="Noto Sans" w:cs="Noto Sans"/>
            <w:color w:val="0000FF"/>
            <w:sz w:val="22"/>
            <w:u w:val="single"/>
            <w:lang w:val="nl"/>
          </w:rPr>
          <w:t>Babybel</w:t>
        </w:r>
      </w:hyperlink>
      <w:r w:rsidRPr="005078B0">
        <w:rPr>
          <w:rFonts w:ascii="Noto Sans" w:eastAsiaTheme="minorHAnsi" w:hAnsi="Noto Sans" w:cs="Noto Sans"/>
          <w:sz w:val="22"/>
          <w:lang w:val="nl"/>
        </w:rPr>
        <w:t xml:space="preserve"> waar mogelijk overgestapt op papieren verpakkingen: een eenvoudige manier om de recyclebaarheid te verbeteren. Consumenten beschouwen dit als een duurzamere keuze en daarnaast omzeilt deze de complexere en voortdurend veranderende regels voor plastic verpakkingen. De Canadese koekjesfabrikant </w:t>
      </w:r>
      <w:hyperlink r:id="rId9" w:history="1">
        <w:r w:rsidRPr="005078B0">
          <w:rPr>
            <w:rFonts w:ascii="Noto Sans" w:eastAsiaTheme="minorHAnsi" w:hAnsi="Noto Sans" w:cs="Noto Sans"/>
            <w:color w:val="0000FF"/>
            <w:sz w:val="22"/>
            <w:u w:val="single"/>
            <w:lang w:val="nl"/>
          </w:rPr>
          <w:t>Leclerc</w:t>
        </w:r>
      </w:hyperlink>
      <w:r w:rsidRPr="005078B0">
        <w:rPr>
          <w:rFonts w:ascii="Noto Sans" w:eastAsiaTheme="minorHAnsi" w:hAnsi="Noto Sans" w:cs="Noto Sans"/>
          <w:sz w:val="22"/>
          <w:lang w:val="nl"/>
        </w:rPr>
        <w:t xml:space="preserve"> stapte daarentegen over van karton naar lichtgewicht </w:t>
      </w:r>
      <w:proofErr w:type="gramStart"/>
      <w:r w:rsidRPr="005078B0">
        <w:rPr>
          <w:rFonts w:ascii="Noto Sans" w:eastAsiaTheme="minorHAnsi" w:hAnsi="Noto Sans" w:cs="Noto Sans"/>
          <w:sz w:val="22"/>
          <w:lang w:val="nl"/>
        </w:rPr>
        <w:t>plastic folie</w:t>
      </w:r>
      <w:proofErr w:type="gramEnd"/>
      <w:r w:rsidRPr="005078B0">
        <w:rPr>
          <w:rFonts w:ascii="Noto Sans" w:eastAsiaTheme="minorHAnsi" w:hAnsi="Noto Sans" w:cs="Noto Sans"/>
          <w:sz w:val="22"/>
          <w:lang w:val="nl"/>
        </w:rPr>
        <w:t>, op basis van een levenscyclusanalyse die een reductie in transportemissies en totaal materiaalgebruik aantoonde.</w:t>
      </w:r>
    </w:p>
    <w:p w14:paraId="4025CC10" w14:textId="77777777" w:rsidR="005078B0" w:rsidRPr="005078B0" w:rsidRDefault="005078B0" w:rsidP="005078B0">
      <w:pPr>
        <w:spacing w:after="160" w:line="240" w:lineRule="auto"/>
        <w:jc w:val="both"/>
        <w:rPr>
          <w:rFonts w:ascii="Noto Sans" w:eastAsiaTheme="minorHAnsi" w:hAnsi="Noto Sans" w:cs="Noto Sans"/>
          <w:sz w:val="22"/>
          <w:lang w:val="nl-NL"/>
        </w:rPr>
      </w:pPr>
      <w:r w:rsidRPr="005078B0">
        <w:rPr>
          <w:rFonts w:ascii="Noto Sans" w:eastAsiaTheme="minorHAnsi" w:hAnsi="Noto Sans" w:cs="Noto Sans"/>
          <w:sz w:val="22"/>
          <w:lang w:val="nl"/>
        </w:rPr>
        <w:t xml:space="preserve">Merken moeten bij hun verpakkingsbeslissingen ook rekening houden met nationale verschillen in de kosten voor de Uitgebreide producentenverantwoordelijkheid (EPR). Een recente enquête van het Britse Department for Environment, Food and Rural Affairs (Defra) brengt grote verschillen tussen leveranciers aan het licht: slechts </w:t>
      </w:r>
      <w:hyperlink r:id="rId10" w:history="1">
        <w:r w:rsidRPr="005078B0">
          <w:rPr>
            <w:rFonts w:ascii="Noto Sans" w:eastAsiaTheme="minorHAnsi" w:hAnsi="Noto Sans" w:cs="Noto Sans"/>
            <w:color w:val="0000FF"/>
            <w:sz w:val="22"/>
            <w:u w:val="single"/>
            <w:lang w:val="nl"/>
          </w:rPr>
          <w:t>10% van de Britse verpakkingsproducenten</w:t>
        </w:r>
      </w:hyperlink>
      <w:r w:rsidRPr="005078B0">
        <w:rPr>
          <w:rFonts w:ascii="Noto Sans" w:eastAsiaTheme="minorHAnsi" w:hAnsi="Noto Sans" w:cs="Noto Sans"/>
          <w:sz w:val="22"/>
          <w:lang w:val="nl"/>
        </w:rPr>
        <w:t xml:space="preserve"> is volledig overgestapt op breed recyclebare verpakkingen, terwijl 14% nog uitsluitend verpakkingen levert die het recyclingproces flink bemoeilijken.  </w:t>
      </w:r>
    </w:p>
    <w:p w14:paraId="05126027" w14:textId="77777777" w:rsidR="005078B0" w:rsidRPr="005078B0" w:rsidRDefault="005078B0" w:rsidP="005078B0">
      <w:pPr>
        <w:spacing w:after="160" w:line="240" w:lineRule="auto"/>
        <w:jc w:val="both"/>
        <w:rPr>
          <w:rFonts w:ascii="Noto Sans" w:eastAsiaTheme="minorHAnsi" w:hAnsi="Noto Sans" w:cs="Noto Sans"/>
          <w:b/>
          <w:bCs/>
          <w:sz w:val="22"/>
          <w:lang w:val="nl-NL"/>
        </w:rPr>
      </w:pPr>
      <w:r w:rsidRPr="005078B0">
        <w:rPr>
          <w:rFonts w:ascii="Noto Sans" w:eastAsiaTheme="minorHAnsi" w:hAnsi="Noto Sans" w:cs="Noto Sans"/>
          <w:b/>
          <w:bCs/>
          <w:sz w:val="22"/>
          <w:lang w:val="nl"/>
        </w:rPr>
        <w:t>De commerciële realiteit voor verpakkingsleveranciers</w:t>
      </w:r>
    </w:p>
    <w:p w14:paraId="2CFF5F95" w14:textId="77777777" w:rsidR="005078B0" w:rsidRPr="005078B0" w:rsidRDefault="005078B0" w:rsidP="005078B0">
      <w:pPr>
        <w:spacing w:after="160" w:line="240" w:lineRule="auto"/>
        <w:jc w:val="both"/>
        <w:rPr>
          <w:rFonts w:ascii="Noto Sans" w:eastAsiaTheme="minorHAnsi" w:hAnsi="Noto Sans" w:cs="Noto Sans"/>
          <w:sz w:val="22"/>
          <w:lang w:val="nl-NL"/>
        </w:rPr>
      </w:pPr>
      <w:r w:rsidRPr="005078B0">
        <w:rPr>
          <w:rFonts w:ascii="Noto Sans" w:eastAsiaTheme="minorHAnsi" w:hAnsi="Noto Sans" w:cs="Noto Sans"/>
          <w:sz w:val="22"/>
          <w:lang w:val="nl"/>
        </w:rPr>
        <w:t xml:space="preserve">Er is een dringende behoefte aan samenwerking binnen de gehele toeleveringsketen om de huidige status quo te doorbreken en merken te voorzien van betrouwbare informatie over verpakkingsproducten. Gezamenlijk testen en valideren vormt de basis voor strategieën in verpakkingsontwerp die niet alleen voldoen aan de wettelijke vereisten, maar ook rekening houden met de mogelijkheden van de huidige recyclingsystemen. </w:t>
      </w:r>
    </w:p>
    <w:p w14:paraId="5C029F6F" w14:textId="77777777" w:rsidR="005078B0" w:rsidRPr="005078B0" w:rsidRDefault="005078B0" w:rsidP="005078B0">
      <w:pPr>
        <w:spacing w:after="160" w:line="240" w:lineRule="auto"/>
        <w:jc w:val="both"/>
        <w:rPr>
          <w:rFonts w:ascii="Noto Sans" w:eastAsiaTheme="minorHAnsi" w:hAnsi="Noto Sans" w:cs="Noto Sans"/>
          <w:sz w:val="22"/>
          <w:lang w:val="nl-NL"/>
        </w:rPr>
      </w:pPr>
      <w:r w:rsidRPr="005078B0">
        <w:rPr>
          <w:rFonts w:ascii="Noto Sans" w:eastAsiaTheme="minorHAnsi" w:hAnsi="Noto Sans" w:cs="Noto Sans"/>
          <w:sz w:val="22"/>
          <w:lang w:val="nl"/>
        </w:rPr>
        <w:t xml:space="preserve">Converters vervullen een duidelijke rol in het faciliteren van de samenwerking tussen leveranciers en helpen merken door deze periode van onzekerheid en verandering te navigeren. Ze kunnen inzicht bieden in de voor- en nadelen van veranderende gerecyclede materialen. Hoogwaardige gerecyclede verpakkingsmaterialen zijn bijvoorbeeld vaak duurder en leveren mogelijk uitdagingen op bij het printen waar het inkthechting en printsnelheid betreft. Dit kan leiden tot meer verspilling en een lagere efficiëntie en productiviteit. </w:t>
      </w:r>
    </w:p>
    <w:p w14:paraId="6BAB4A07" w14:textId="77777777" w:rsidR="005078B0" w:rsidRPr="005078B0" w:rsidRDefault="005078B0" w:rsidP="005078B0">
      <w:pPr>
        <w:spacing w:after="160" w:line="240" w:lineRule="auto"/>
        <w:jc w:val="both"/>
        <w:rPr>
          <w:rFonts w:ascii="Noto Sans" w:eastAsiaTheme="minorHAnsi" w:hAnsi="Noto Sans" w:cs="Noto Sans"/>
          <w:sz w:val="22"/>
          <w:lang w:val="nl-NL"/>
        </w:rPr>
      </w:pPr>
      <w:r w:rsidRPr="005078B0">
        <w:rPr>
          <w:rFonts w:ascii="Noto Sans" w:eastAsiaTheme="minorHAnsi" w:hAnsi="Noto Sans" w:cs="Noto Sans"/>
          <w:sz w:val="22"/>
          <w:lang w:val="nl"/>
        </w:rPr>
        <w:lastRenderedPageBreak/>
        <w:t>Samenwerking met printer, inkt- en materiaalleveranciers, het delen van testresultaten en het uitwisselen van gegevens zijn cruciaal in het opbouwen van vertrouwen. Dit inzicht helpt verpakkingsleveranciers duurzame materialen te identificeren en valideren die goed presteren in productie en een sterke visuele impact bieden voor hun klanten in de merkensector. Daarnaast ondersteunt samenwerking de overstap van algemene claims als "milieuvriendelijk" of "recyclebaar" naar meetbare, verifieerbare claims.</w:t>
      </w:r>
    </w:p>
    <w:p w14:paraId="2543CD2E" w14:textId="77777777" w:rsidR="005078B0" w:rsidRPr="005078B0" w:rsidRDefault="005078B0" w:rsidP="005078B0">
      <w:pPr>
        <w:spacing w:after="160" w:line="240" w:lineRule="auto"/>
        <w:jc w:val="both"/>
        <w:rPr>
          <w:rFonts w:ascii="Noto Sans" w:eastAsiaTheme="minorHAnsi" w:hAnsi="Noto Sans" w:cs="Noto Sans"/>
          <w:b/>
          <w:bCs/>
          <w:sz w:val="22"/>
          <w:lang w:val="nl-NL"/>
        </w:rPr>
      </w:pPr>
      <w:r w:rsidRPr="005078B0">
        <w:rPr>
          <w:rFonts w:ascii="Noto Sans" w:eastAsiaTheme="minorHAnsi" w:hAnsi="Noto Sans" w:cs="Noto Sans"/>
          <w:b/>
          <w:bCs/>
          <w:sz w:val="22"/>
          <w:lang w:val="nl"/>
        </w:rPr>
        <w:t>Hoe digitaal printen deze transitie ondersteunt</w:t>
      </w:r>
    </w:p>
    <w:p w14:paraId="35232113" w14:textId="77777777" w:rsidR="005078B0" w:rsidRPr="005078B0" w:rsidRDefault="005078B0" w:rsidP="005078B0">
      <w:pPr>
        <w:spacing w:after="160" w:line="240" w:lineRule="auto"/>
        <w:jc w:val="both"/>
        <w:rPr>
          <w:rFonts w:ascii="Noto Sans" w:eastAsiaTheme="minorHAnsi" w:hAnsi="Noto Sans" w:cs="Noto Sans"/>
          <w:sz w:val="22"/>
          <w:lang w:val="nl-NL"/>
        </w:rPr>
      </w:pPr>
      <w:r w:rsidRPr="005078B0">
        <w:rPr>
          <w:rFonts w:ascii="Noto Sans" w:eastAsiaTheme="minorHAnsi" w:hAnsi="Noto Sans" w:cs="Noto Sans"/>
          <w:sz w:val="22"/>
          <w:lang w:val="nl"/>
        </w:rPr>
        <w:t>Deze gedeelde, betrouwbare gegevens zijn essentieel om nalevingsrapportage te ondersteunen in een steeds strenger gereguleerde omgeving. Converters spelen een centrale rol bij het consolideren van gegevens uit de gehele waardeketen. Ze voorzien merken van informatie over materialen, aandeel gerecycled materiaal, zorgwekkende stoffen en de prestaties op het gebied van recyclebaarheid, ter ondersteuning van hun conformiteitsverklaringen en EPR-rapportage.</w:t>
      </w:r>
    </w:p>
    <w:p w14:paraId="1FB894B2" w14:textId="1AE03DD8" w:rsidR="005078B0" w:rsidRPr="005078B0" w:rsidRDefault="005078B0" w:rsidP="005078B0">
      <w:pPr>
        <w:spacing w:after="160" w:line="240" w:lineRule="auto"/>
        <w:jc w:val="both"/>
        <w:rPr>
          <w:rFonts w:ascii="Noto Sans" w:eastAsiaTheme="minorHAnsi" w:hAnsi="Noto Sans" w:cs="Noto Sans"/>
          <w:sz w:val="22"/>
          <w:lang w:val="nl-NL"/>
        </w:rPr>
      </w:pPr>
      <w:r w:rsidRPr="005078B0">
        <w:rPr>
          <w:rFonts w:ascii="Noto Sans" w:eastAsiaTheme="minorHAnsi" w:hAnsi="Noto Sans" w:cs="Noto Sans"/>
          <w:sz w:val="22"/>
          <w:lang w:val="nl"/>
        </w:rPr>
        <w:t xml:space="preserve">Digitale inkjetprinttechnologie is een belangrijke troef tijdens deze evolutie. Deze maakt namelijk het gebruik van </w:t>
      </w:r>
      <w:hyperlink r:id="rId11" w:history="1">
        <w:r w:rsidRPr="005078B0">
          <w:rPr>
            <w:rFonts w:ascii="Noto Sans" w:eastAsiaTheme="minorHAnsi" w:hAnsi="Noto Sans" w:cs="Noto Sans"/>
            <w:color w:val="0000FF"/>
            <w:sz w:val="22"/>
            <w:u w:val="single"/>
            <w:lang w:val="nl"/>
          </w:rPr>
          <w:t>QR Codes powered by GS1</w:t>
        </w:r>
      </w:hyperlink>
      <w:r w:rsidRPr="005078B0">
        <w:rPr>
          <w:rFonts w:ascii="Noto Sans" w:eastAsiaTheme="minorHAnsi" w:hAnsi="Noto Sans" w:cs="Noto Sans"/>
          <w:sz w:val="22"/>
          <w:lang w:val="nl"/>
        </w:rPr>
        <w:t xml:space="preserve"> mogelijk. 2D-codes ondersteunen niet alleen traceerbaarheid, realtime levenscyclusbewaking en nalevingsrapportage, 2D-codes en verbonden dataplatforms groeien mee met de veranderende eisen voor product- en verpakkingsinformatie naarmate de uitrol van de PPWR, Sunrise 2027 en initiatieven voor digitale productpaspoorten de komende jaren vorderen.</w:t>
      </w:r>
    </w:p>
    <w:p w14:paraId="072D2C63" w14:textId="77777777" w:rsidR="005078B0" w:rsidRPr="005078B0" w:rsidRDefault="005078B0" w:rsidP="005078B0">
      <w:pPr>
        <w:spacing w:after="160" w:line="240" w:lineRule="auto"/>
        <w:jc w:val="both"/>
        <w:rPr>
          <w:rFonts w:ascii="Noto Sans" w:eastAsiaTheme="minorHAnsi" w:hAnsi="Noto Sans" w:cs="Noto Sans"/>
          <w:sz w:val="22"/>
          <w:lang w:val="nl-NL"/>
        </w:rPr>
      </w:pPr>
      <w:r w:rsidRPr="005078B0">
        <w:rPr>
          <w:rFonts w:ascii="Noto Sans" w:eastAsiaTheme="minorHAnsi" w:hAnsi="Noto Sans" w:cs="Noto Sans"/>
          <w:sz w:val="22"/>
          <w:lang w:val="nl"/>
        </w:rPr>
        <w:t xml:space="preserve">Digitale printtechnologie vormt daarnaast de basis voor de operationele wendbaarheid die merken nodig hebben om aan uiteenlopende verpakkingsbehoeften te voldoen. Het maakt de efficiënte productie van kleinere volumes met wisselende verpakkingsontwerpen mogelijk om gelijke tred te houden met de steeds veranderende eisen voor verpakkingsinformatie, zoals batch- of eenheidsgebaseerde serialisatie. Inkjettechnologie biedt bovendien verbeterde controle over de inktapplicatie. Hierdoor wordt het inktverbruik verminderd en de impact van de print op de recyclebaarheid van verpakkingen beperkt. Al met al biedt een digitale aanpak converters een flexibeler commercieel aanbod. </w:t>
      </w:r>
    </w:p>
    <w:p w14:paraId="6B0C7C86" w14:textId="77777777" w:rsidR="005078B0" w:rsidRPr="005078B0" w:rsidRDefault="005078B0" w:rsidP="005078B0">
      <w:pPr>
        <w:spacing w:after="160" w:line="240" w:lineRule="auto"/>
        <w:jc w:val="both"/>
        <w:rPr>
          <w:rFonts w:ascii="Noto Sans" w:eastAsiaTheme="minorHAnsi" w:hAnsi="Noto Sans" w:cs="Noto Sans"/>
          <w:sz w:val="22"/>
          <w:lang w:val="nl-NL"/>
        </w:rPr>
      </w:pPr>
      <w:r w:rsidRPr="005078B0">
        <w:rPr>
          <w:rFonts w:ascii="Noto Sans" w:eastAsiaTheme="minorHAnsi" w:hAnsi="Noto Sans" w:cs="Noto Sans"/>
          <w:b/>
          <w:bCs/>
          <w:sz w:val="22"/>
          <w:lang w:val="nl"/>
        </w:rPr>
        <w:t>Conclusie</w:t>
      </w:r>
    </w:p>
    <w:p w14:paraId="5912011C" w14:textId="77777777" w:rsidR="005078B0" w:rsidRPr="005078B0" w:rsidRDefault="005078B0" w:rsidP="005078B0">
      <w:pPr>
        <w:spacing w:after="160" w:line="240" w:lineRule="auto"/>
        <w:jc w:val="both"/>
        <w:rPr>
          <w:rFonts w:ascii="Noto Sans" w:eastAsiaTheme="minorHAnsi" w:hAnsi="Noto Sans" w:cs="Noto Sans"/>
          <w:sz w:val="22"/>
          <w:lang w:val="nl-NL"/>
        </w:rPr>
      </w:pPr>
      <w:r w:rsidRPr="005078B0">
        <w:rPr>
          <w:rFonts w:ascii="Noto Sans" w:eastAsiaTheme="minorHAnsi" w:hAnsi="Noto Sans" w:cs="Noto Sans"/>
          <w:sz w:val="22"/>
          <w:lang w:val="nl"/>
        </w:rPr>
        <w:t xml:space="preserve">De voortdurend veranderende regelgeving op het gebied van duurzaamheid zorgt voor aanzienlijke complexiteit in verpakkingsontwerp en -materialen. De sector moet snel overgaan van een gefragmenteerde aanpak naar een methode die is gebaseerd op continue, nauwe samenwerking tussen materiaalleveranciers, </w:t>
      </w:r>
      <w:hyperlink r:id="rId12" w:history="1">
        <w:r w:rsidRPr="005078B0">
          <w:rPr>
            <w:rFonts w:ascii="Noto Sans" w:eastAsiaTheme="minorHAnsi" w:hAnsi="Noto Sans" w:cs="Noto Sans"/>
            <w:color w:val="0000FF"/>
            <w:sz w:val="22"/>
            <w:u w:val="single"/>
            <w:lang w:val="nl-NL"/>
          </w:rPr>
          <w:t>leveranciers van printapparatuur</w:t>
        </w:r>
      </w:hyperlink>
      <w:r w:rsidRPr="005078B0">
        <w:rPr>
          <w:rFonts w:ascii="Noto Sans" w:eastAsiaTheme="minorHAnsi" w:hAnsi="Noto Sans" w:cs="Noto Sans"/>
          <w:sz w:val="22"/>
          <w:lang w:val="nl-NL"/>
        </w:rPr>
        <w:t xml:space="preserve">, </w:t>
      </w:r>
      <w:r w:rsidRPr="005078B0">
        <w:rPr>
          <w:rFonts w:ascii="Noto Sans" w:eastAsiaTheme="minorHAnsi" w:hAnsi="Noto Sans" w:cs="Noto Sans"/>
          <w:sz w:val="22"/>
          <w:lang w:val="nl"/>
        </w:rPr>
        <w:t xml:space="preserve">converters en merken. Stakeholders in de gehele waardeketen moeten samenwerken om zich aan te passen, te testen en te ontwikkelen om niet alleen aan de wettelijke vereisten te voldoen, maar ook aan de realiteit van de huidige recyclinginfrastructuur. Dit biedt converters een uitstekende kans om hun kennis van materiaalcombinaties en recyclebaarheid te verdiepen, nalevingsgegevens te </w:t>
      </w:r>
      <w:r w:rsidRPr="005078B0">
        <w:rPr>
          <w:rFonts w:ascii="Noto Sans" w:eastAsiaTheme="minorHAnsi" w:hAnsi="Noto Sans" w:cs="Noto Sans"/>
          <w:sz w:val="22"/>
          <w:lang w:val="nl"/>
        </w:rPr>
        <w:lastRenderedPageBreak/>
        <w:t>verzamelen en in flexibiliteit door digitale technologieën te investeren. Bedrijven die een voortrekkersrol spelen op het gebied van duurzaamheid, zijn goed gepositioneerd om concurrerend te blijven door hun merkklanten te ondersteunen in de naleving van regelgeving.</w:t>
      </w:r>
    </w:p>
    <w:p w14:paraId="4DC9A367" w14:textId="77777777" w:rsidR="005078B0" w:rsidRDefault="005078B0" w:rsidP="005078B0">
      <w:pPr>
        <w:spacing w:after="160" w:line="240" w:lineRule="auto"/>
        <w:rPr>
          <w:rFonts w:ascii="Noto Sans" w:eastAsiaTheme="minorHAnsi" w:hAnsi="Noto Sans" w:cs="Noto Sans"/>
          <w:sz w:val="22"/>
          <w:lang w:val="nl"/>
        </w:rPr>
      </w:pPr>
      <w:r w:rsidRPr="005078B0">
        <w:rPr>
          <w:rFonts w:ascii="Noto Sans" w:eastAsiaTheme="minorHAnsi" w:hAnsi="Noto Sans" w:cs="Noto Sans"/>
          <w:sz w:val="22"/>
          <w:lang w:val="nl"/>
        </w:rPr>
        <w:t>EINDE</w:t>
      </w:r>
    </w:p>
    <w:p w14:paraId="0BB8E3CB" w14:textId="4B8E72D8" w:rsidR="003A1909" w:rsidRPr="005078B0" w:rsidRDefault="00D66051" w:rsidP="005078B0">
      <w:pPr>
        <w:spacing w:after="160" w:line="240" w:lineRule="auto"/>
        <w:rPr>
          <w:rFonts w:ascii="Noto Sans" w:hAnsi="Noto Sans" w:cs="Noto Sans"/>
          <w:lang w:val="nl"/>
        </w:rPr>
      </w:pPr>
      <w:r w:rsidRPr="005078B0">
        <w:rPr>
          <w:rFonts w:ascii="Noto Sans" w:eastAsia="Gill Sans" w:hAnsi="Noto Sans" w:cs="Noto Sans"/>
          <w:szCs w:val="18"/>
          <w:lang w:val="nl-NL"/>
        </w:rPr>
        <w:br/>
      </w:r>
      <w:r w:rsidR="00B51122" w:rsidRPr="005078B0">
        <w:rPr>
          <w:rFonts w:ascii="Noto Sans" w:eastAsia="Gill Sans" w:hAnsi="Noto Sans" w:cs="Noto Sans"/>
          <w:b/>
          <w:bCs/>
          <w:szCs w:val="18"/>
          <w:lang w:val="nl"/>
        </w:rPr>
        <w:t>Disclaimers</w:t>
      </w:r>
      <w:r w:rsidR="00B51122" w:rsidRPr="005078B0">
        <w:rPr>
          <w:rFonts w:ascii="Noto Sans" w:eastAsia="Gill Sans" w:hAnsi="Noto Sans" w:cs="Noto Sans"/>
          <w:b/>
          <w:szCs w:val="18"/>
          <w:lang w:val="nl"/>
        </w:rPr>
        <w:br/>
      </w:r>
      <w:r w:rsidR="00B51122" w:rsidRPr="005078B0">
        <w:rPr>
          <w:rFonts w:ascii="Noto Sans" w:eastAsia="Gill Sans" w:hAnsi="Noto Sans" w:cs="Noto Sans"/>
          <w:szCs w:val="18"/>
          <w:lang w:val="nl"/>
        </w:rPr>
        <w:br/>
      </w:r>
      <w:r w:rsidR="005078B0" w:rsidRPr="005078B0">
        <w:rPr>
          <w:rFonts w:ascii="Noto Sans" w:hAnsi="Noto Sans" w:cs="Noto Sans"/>
          <w:b/>
          <w:bCs/>
          <w:szCs w:val="18"/>
          <w:lang w:val="nl"/>
        </w:rPr>
        <w:t>Algemeen</w:t>
      </w:r>
      <w:r w:rsidR="005078B0" w:rsidRPr="005078B0">
        <w:rPr>
          <w:rFonts w:ascii="Noto Sans" w:hAnsi="Noto Sans" w:cs="Noto Sans"/>
          <w:szCs w:val="18"/>
          <w:lang w:val="nl"/>
        </w:rPr>
        <w:br/>
        <w:t>De informatie in dit persbericht wordt geacht juist en correct te zijn op de datum van publicatie door Domino. Wijzigingen in de omstandigheden na het tijdstip van publicatie kunnen de nauwkeurigheid van de informatie beïnvloeden. Alle aan prestatie gerelateerde cijfers en uitspraken die in dit document zijn vermeld, zijn verkregen onder specifieke omstandigheden en kunnen alleen onder vergelijkbare omstandigheden worden gerepliceerd. Specifieke productinformatie kunt u altijd verkrijgen van uw Domino Account Manager. Dit document maakt geen deel uit van eventuele algemene voorwaarden tussen u en Domino.</w:t>
      </w:r>
      <w:r w:rsidR="005078B0" w:rsidRPr="005078B0">
        <w:rPr>
          <w:rFonts w:ascii="Noto Sans" w:hAnsi="Noto Sans" w:cs="Noto Sans"/>
          <w:szCs w:val="18"/>
          <w:lang w:val="nl"/>
        </w:rPr>
        <w:br/>
      </w:r>
      <w:r w:rsidR="005078B0" w:rsidRPr="005078B0">
        <w:rPr>
          <w:rFonts w:ascii="Noto Sans" w:hAnsi="Noto Sans" w:cs="Noto Sans"/>
          <w:szCs w:val="18"/>
          <w:lang w:val="nl"/>
        </w:rPr>
        <w:br/>
      </w:r>
      <w:r w:rsidR="00B51122" w:rsidRPr="005078B0">
        <w:rPr>
          <w:rFonts w:ascii="Noto Sans" w:hAnsi="Noto Sans" w:cs="Noto Sans"/>
          <w:b/>
          <w:bCs/>
          <w:szCs w:val="18"/>
          <w:lang w:val="nl"/>
        </w:rPr>
        <w:t>Inkten</w:t>
      </w:r>
      <w:r w:rsidR="00B51122" w:rsidRPr="005078B0">
        <w:rPr>
          <w:rFonts w:ascii="Noto Sans" w:hAnsi="Noto Sans" w:cs="Noto Sans"/>
          <w:szCs w:val="18"/>
          <w:lang w:val="nl"/>
        </w:rPr>
        <w:br/>
        <w:t>De informatie in dit document is niet bedoeld als vervanging voor het uitvoeren van de relevante testen voor uw specifieke gebruik en omstandigheden. Domino UK Limited, Domino Benelux, noch enig ander bedrijf in het Dominoconcern is op enige wijze aansprakelijk voor het vertrouwen dat u stelt in dit document met betrekking tot de geschiktheid van een inkt voor uw specifieke toepassing. Dit document maakt geen deel uit van eventuele algemene voorwaarden tussen u en Domino. De juridische disclaimers v.1.0 van februari 2018 en de algemene verkoopvoorwaarden van Domino en met name de garanties en aansprakelijkheden daarin zijn van toepassing op alle door u gekochte producten.</w:t>
      </w:r>
      <w:r w:rsidR="005078B0" w:rsidRPr="005078B0">
        <w:rPr>
          <w:rFonts w:ascii="Noto Sans" w:hAnsi="Noto Sans" w:cs="Noto Sans"/>
          <w:szCs w:val="18"/>
          <w:lang w:val="nl"/>
        </w:rPr>
        <w:br/>
      </w:r>
      <w:r w:rsidR="005078B0" w:rsidRPr="005078B0">
        <w:rPr>
          <w:rFonts w:ascii="Noto Sans" w:hAnsi="Noto Sans" w:cs="Noto Sans"/>
          <w:szCs w:val="18"/>
          <w:lang w:val="nl"/>
        </w:rPr>
        <w:br/>
      </w:r>
      <w:r w:rsidR="00B51122" w:rsidRPr="005078B0">
        <w:rPr>
          <w:rFonts w:ascii="Noto Sans" w:hAnsi="Noto Sans" w:cs="Noto Sans"/>
          <w:b/>
          <w:bCs/>
          <w:szCs w:val="18"/>
          <w:lang w:val="nl"/>
        </w:rPr>
        <w:t>Afbeeldingen</w:t>
      </w:r>
      <w:r w:rsidR="00B51122" w:rsidRPr="005078B0">
        <w:rPr>
          <w:rFonts w:ascii="Noto Sans" w:hAnsi="Noto Sans" w:cs="Noto Sans"/>
          <w:szCs w:val="18"/>
          <w:lang w:val="nl"/>
        </w:rPr>
        <w:br/>
        <w:t xml:space="preserve">Afbeeldingen kunnen opties en upgrades tonen. De printkwaliteit kan verschillen afhankelijk van de verbruiksproducten, printer, substraten en andere factoren. Afbeeldingen en foto’s maken geen deel uit van eventuele algemene voorwaarden tussen u en Domino. </w:t>
      </w:r>
      <w:r w:rsidR="005078B0" w:rsidRPr="005078B0">
        <w:rPr>
          <w:rFonts w:ascii="Noto Sans" w:hAnsi="Noto Sans" w:cs="Noto Sans"/>
          <w:szCs w:val="18"/>
          <w:lang w:val="nl"/>
        </w:rPr>
        <w:br/>
      </w:r>
      <w:bookmarkStart w:id="0" w:name="_Hlk61949672"/>
      <w:r w:rsidR="00B51122" w:rsidRPr="005078B0">
        <w:rPr>
          <w:rFonts w:ascii="Noto Sans" w:eastAsia="Gill Sans" w:hAnsi="Noto Sans" w:cs="Noto Sans"/>
          <w:b/>
          <w:szCs w:val="18"/>
          <w:lang w:val="nl"/>
        </w:rPr>
        <w:br/>
      </w:r>
      <w:r w:rsidR="00B51122" w:rsidRPr="005078B0">
        <w:rPr>
          <w:rFonts w:ascii="Noto Sans" w:eastAsia="Gill Sans" w:hAnsi="Noto Sans" w:cs="Noto Sans"/>
          <w:b/>
          <w:bCs/>
          <w:szCs w:val="18"/>
          <w:lang w:val="nl"/>
        </w:rPr>
        <w:t>Opmerkingen voor de redactie:</w:t>
      </w:r>
      <w:r w:rsidR="005078B0" w:rsidRPr="005078B0">
        <w:rPr>
          <w:rFonts w:ascii="Noto Sans" w:hAnsi="Noto Sans" w:cs="Noto Sans"/>
          <w:szCs w:val="18"/>
          <w:lang w:val="nl"/>
        </w:rPr>
        <w:br/>
      </w:r>
      <w:r w:rsidR="00B51122" w:rsidRPr="005078B0">
        <w:rPr>
          <w:rFonts w:ascii="Noto Sans" w:eastAsia="Gill Sans" w:hAnsi="Noto Sans" w:cs="Noto Sans"/>
          <w:szCs w:val="18"/>
          <w:lang w:val="nl"/>
        </w:rPr>
        <w:br/>
      </w:r>
      <w:r w:rsidR="00B51122" w:rsidRPr="005078B0">
        <w:rPr>
          <w:rFonts w:ascii="Noto Sans" w:eastAsia="Gill Sans" w:hAnsi="Noto Sans" w:cs="Noto Sans"/>
          <w:b/>
          <w:bCs/>
          <w:szCs w:val="18"/>
          <w:lang w:val="nl"/>
        </w:rPr>
        <w:t>Over Domino</w:t>
      </w:r>
      <w:r w:rsidR="005078B0" w:rsidRPr="005078B0">
        <w:rPr>
          <w:rFonts w:ascii="Noto Sans" w:hAnsi="Noto Sans" w:cs="Noto Sans"/>
          <w:szCs w:val="18"/>
          <w:lang w:val="nl"/>
        </w:rPr>
        <w:br/>
      </w:r>
      <w:r w:rsidR="00B51122" w:rsidRPr="005078B0">
        <w:rPr>
          <w:rFonts w:ascii="Noto Sans" w:eastAsia="Gill Sans" w:hAnsi="Noto Sans" w:cs="Noto Sans"/>
          <w:szCs w:val="18"/>
          <w:lang w:val="nl"/>
        </w:rPr>
        <w:br/>
        <w:t>Digital Printing Solutions is een divisie binnen Domino Printing Sciences. Het bedrijf is opgericht in 1978 en heeft wereldwijd een reputatie opgebouwd voor zowel de ontwikkeling en productie van codeer-, markeer- en printtechnologieën als internationale aftermarketproducten en diensten aan haar klanten.  De divisie levert onder meer digitale inkjetprinters en besturingssystemen aan de grafische sector, met oplossingen voor een complete reeks toepassingen voor het printen van labels en variabele data.</w:t>
      </w:r>
      <w:r w:rsidR="00B51122" w:rsidRPr="005078B0">
        <w:rPr>
          <w:rFonts w:ascii="Noto Sans" w:eastAsia="Gill Sans" w:hAnsi="Noto Sans" w:cs="Noto Sans"/>
          <w:szCs w:val="18"/>
          <w:lang w:val="nl"/>
        </w:rPr>
        <w:br/>
      </w:r>
      <w:r w:rsidR="00B51122" w:rsidRPr="005078B0">
        <w:rPr>
          <w:rFonts w:ascii="Noto Sans" w:eastAsia="Gill Sans" w:hAnsi="Noto Sans" w:cs="Noto Sans"/>
          <w:szCs w:val="18"/>
          <w:lang w:val="nl"/>
        </w:rPr>
        <w:br/>
        <w:t>Alle printers van Domino leveren de hoge snelheid en kwaliteit die in commerciële printomgevingen vereist zijn. Ze zijn uitgerust met nieuwe functionaliteiten voor verschillende toepassingen, zoals etikettering, publicaties en veiligheidsdrukwerk, transacties, verpakkingen, plastic kaarten, tickets, spelkaarten en -formulieren en direct mail en de postsector.</w:t>
      </w:r>
      <w:r w:rsidR="00B51122" w:rsidRPr="005078B0">
        <w:rPr>
          <w:rFonts w:ascii="Noto Sans" w:eastAsia="Gill Sans" w:hAnsi="Noto Sans" w:cs="Noto Sans"/>
          <w:szCs w:val="18"/>
          <w:lang w:val="nl"/>
        </w:rPr>
        <w:br/>
        <w:t xml:space="preserve">Bij Domino werken wereldwijd meer dan 3000 mensen. Wij zijn actief in ruim 120 landen via een wereldwijd netwerk van 29 dochterondernemingen en meer dan 200 distributeurs. De productiefaciliteiten van Domino zijn gevestigd in China, Duitsland, India, Zweden, Zwitserland, het Verenigd Koninkrijk en de </w:t>
      </w:r>
      <w:r w:rsidR="00B51122" w:rsidRPr="005078B0">
        <w:rPr>
          <w:rFonts w:ascii="Noto Sans" w:eastAsia="Gill Sans" w:hAnsi="Noto Sans" w:cs="Noto Sans"/>
          <w:szCs w:val="18"/>
          <w:lang w:val="nl"/>
        </w:rPr>
        <w:lastRenderedPageBreak/>
        <w:t>VS.</w:t>
      </w:r>
      <w:r w:rsidR="00B51122" w:rsidRPr="005078B0">
        <w:rPr>
          <w:rFonts w:ascii="Noto Sans" w:eastAsia="Gill Sans" w:hAnsi="Noto Sans" w:cs="Noto Sans"/>
          <w:szCs w:val="18"/>
          <w:lang w:val="nl"/>
        </w:rPr>
        <w:br/>
      </w:r>
      <w:r w:rsidR="00B51122" w:rsidRPr="005078B0">
        <w:rPr>
          <w:rFonts w:ascii="Noto Sans" w:eastAsia="Gill Sans" w:hAnsi="Noto Sans" w:cs="Noto Sans"/>
          <w:szCs w:val="18"/>
          <w:lang w:val="nl"/>
        </w:rPr>
        <w:br/>
        <w:t xml:space="preserve">Op 11 juni 2015 werd Domino een zelfstandige divisie binnen Brother Industries Ltd. </w:t>
      </w:r>
      <w:r w:rsidR="00B51122" w:rsidRPr="005078B0">
        <w:rPr>
          <w:rFonts w:ascii="Noto Sans" w:eastAsia="Gill Sans" w:hAnsi="Noto Sans" w:cs="Noto Sans"/>
          <w:szCs w:val="18"/>
          <w:lang w:val="nl-NL"/>
        </w:rPr>
        <w:br/>
      </w:r>
      <w:r w:rsidR="00B51122" w:rsidRPr="005078B0">
        <w:rPr>
          <w:rFonts w:ascii="Noto Sans" w:eastAsia="Gill Sans" w:hAnsi="Noto Sans" w:cs="Noto Sans"/>
          <w:szCs w:val="18"/>
          <w:lang w:val="nl-NL"/>
        </w:rPr>
        <w:br/>
      </w:r>
      <w:r w:rsidR="00B51122" w:rsidRPr="005078B0">
        <w:rPr>
          <w:rFonts w:ascii="Noto Sans" w:eastAsia="Gill Sans" w:hAnsi="Noto Sans" w:cs="Noto Sans"/>
          <w:szCs w:val="18"/>
          <w:lang w:val="nl"/>
        </w:rPr>
        <w:t xml:space="preserve">Ga voor meer informatie over Domino naar </w:t>
      </w:r>
      <w:hyperlink r:id="rId13" w:history="1">
        <w:r w:rsidR="00B51122" w:rsidRPr="005078B0">
          <w:rPr>
            <w:rStyle w:val="Hyperlink"/>
            <w:rFonts w:ascii="Noto Sans" w:eastAsia="Gill Sans" w:hAnsi="Noto Sans" w:cs="Noto Sans"/>
            <w:szCs w:val="18"/>
            <w:lang w:val="nl"/>
          </w:rPr>
          <w:t>www.dominobenelux.com</w:t>
        </w:r>
      </w:hyperlink>
      <w:r w:rsidR="00B51122" w:rsidRPr="005078B0">
        <w:rPr>
          <w:rFonts w:ascii="Noto Sans" w:eastAsia="Gill Sans" w:hAnsi="Noto Sans" w:cs="Noto Sans"/>
          <w:szCs w:val="18"/>
          <w:lang w:val="nl"/>
        </w:rPr>
        <w:t xml:space="preserve"> </w:t>
      </w:r>
      <w:r w:rsidR="005078B0" w:rsidRPr="005078B0">
        <w:rPr>
          <w:rFonts w:ascii="Noto Sans" w:hAnsi="Noto Sans" w:cs="Noto Sans"/>
          <w:szCs w:val="18"/>
          <w:lang w:val="nl"/>
        </w:rPr>
        <w:br/>
      </w:r>
      <w:r w:rsidR="00B51122" w:rsidRPr="005078B0">
        <w:rPr>
          <w:rFonts w:ascii="Noto Sans" w:eastAsia="Gill Sans" w:hAnsi="Noto Sans" w:cs="Noto Sans"/>
          <w:szCs w:val="18"/>
          <w:lang w:val="nl-NL"/>
        </w:rPr>
        <w:br/>
      </w:r>
      <w:r w:rsidR="00B51122" w:rsidRPr="005078B0">
        <w:rPr>
          <w:rFonts w:ascii="Noto Sans" w:eastAsia="Gill Sans" w:hAnsi="Noto Sans" w:cs="Noto Sans"/>
          <w:b/>
          <w:bCs/>
          <w:szCs w:val="18"/>
          <w:lang w:val="nl"/>
        </w:rPr>
        <w:t>Voor meer informatie neemt u contact op met:</w:t>
      </w:r>
      <w:bookmarkEnd w:id="0"/>
      <w:r w:rsidR="005078B0" w:rsidRPr="005078B0">
        <w:rPr>
          <w:rFonts w:ascii="Noto Sans" w:hAnsi="Noto Sans" w:cs="Noto Sans"/>
          <w:szCs w:val="18"/>
          <w:lang w:val="nl"/>
        </w:rPr>
        <w:br/>
      </w:r>
      <w:r w:rsidR="00B51122" w:rsidRPr="005078B0">
        <w:rPr>
          <w:rFonts w:ascii="Noto Sans" w:hAnsi="Noto Sans" w:cs="Noto Sans"/>
          <w:szCs w:val="18"/>
          <w:lang w:val="nl"/>
        </w:rPr>
        <w:t>Kathrin Farr</w:t>
      </w:r>
      <w:r w:rsidR="00B51122" w:rsidRPr="005078B0">
        <w:rPr>
          <w:rFonts w:ascii="Noto Sans" w:hAnsi="Noto Sans" w:cs="Noto Sans"/>
          <w:szCs w:val="18"/>
          <w:lang w:val="nl"/>
        </w:rPr>
        <w:br/>
        <w:t xml:space="preserve">Content Executive and Copywriter  </w:t>
      </w:r>
      <w:r w:rsidR="00B51122" w:rsidRPr="005078B0">
        <w:rPr>
          <w:rFonts w:ascii="Noto Sans" w:hAnsi="Noto Sans" w:cs="Noto Sans"/>
          <w:szCs w:val="18"/>
          <w:lang w:val="nl"/>
        </w:rPr>
        <w:br/>
        <w:t>Domino Printing Sciences</w:t>
      </w:r>
      <w:r w:rsidR="00B51122" w:rsidRPr="005078B0">
        <w:rPr>
          <w:rFonts w:ascii="Noto Sans" w:hAnsi="Noto Sans" w:cs="Noto Sans"/>
          <w:szCs w:val="18"/>
          <w:lang w:val="nl"/>
        </w:rPr>
        <w:br/>
        <w:t>Tel: +44 (0) 1954 782551</w:t>
      </w:r>
      <w:r w:rsidR="00B51122" w:rsidRPr="005078B0">
        <w:rPr>
          <w:rFonts w:ascii="Noto Sans" w:hAnsi="Noto Sans" w:cs="Noto Sans"/>
          <w:szCs w:val="18"/>
          <w:lang w:val="nl"/>
        </w:rPr>
        <w:br/>
      </w:r>
      <w:hyperlink r:id="rId14" w:history="1">
        <w:r w:rsidR="00B51122" w:rsidRPr="005078B0">
          <w:rPr>
            <w:rFonts w:ascii="Noto Sans" w:hAnsi="Noto Sans" w:cs="Noto Sans"/>
            <w:color w:val="0000FF"/>
            <w:szCs w:val="18"/>
            <w:u w:val="single"/>
            <w:lang w:val="nl"/>
          </w:rPr>
          <w:t>Kathrin.Farr@domino-uk.com</w:t>
        </w:r>
      </w:hyperlink>
      <w:r w:rsidR="00B51122" w:rsidRPr="005078B0">
        <w:rPr>
          <w:rFonts w:ascii="Noto Sans" w:hAnsi="Noto Sans" w:cs="Noto Sans"/>
          <w:color w:val="0000FF"/>
          <w:szCs w:val="18"/>
          <w:u w:val="single"/>
          <w:lang w:val="nl"/>
        </w:rPr>
        <w:t xml:space="preserve"> </w:t>
      </w:r>
      <w:r w:rsidR="00B51122" w:rsidRPr="005078B0">
        <w:rPr>
          <w:rFonts w:ascii="Noto Sans" w:hAnsi="Noto Sans" w:cs="Noto Sans"/>
          <w:color w:val="0000FF"/>
          <w:szCs w:val="18"/>
          <w:u w:val="single"/>
          <w:lang w:val="nl"/>
        </w:rPr>
        <w:br/>
      </w:r>
      <w:r w:rsidR="00B51122" w:rsidRPr="005078B0">
        <w:rPr>
          <w:rFonts w:ascii="Noto Sans" w:hAnsi="Noto Sans" w:cs="Noto Sans"/>
          <w:szCs w:val="18"/>
          <w:lang w:val="nl"/>
        </w:rPr>
        <w:br/>
      </w:r>
      <w:r w:rsidR="00CD6370" w:rsidRPr="005078B0">
        <w:rPr>
          <w:rFonts w:ascii="Noto Sans" w:hAnsi="Noto Sans" w:cs="Noto Sans"/>
          <w:szCs w:val="18"/>
          <w:lang w:val="nl"/>
        </w:rPr>
        <w:t xml:space="preserve">Jade Taylor-Salazar </w:t>
      </w:r>
      <w:r w:rsidR="00CD6370" w:rsidRPr="005078B0">
        <w:rPr>
          <w:rFonts w:ascii="Noto Sans" w:hAnsi="Noto Sans" w:cs="Noto Sans"/>
          <w:szCs w:val="18"/>
          <w:lang w:val="nl"/>
        </w:rPr>
        <w:br/>
        <w:t xml:space="preserve">PR and Content Manager </w:t>
      </w:r>
      <w:r w:rsidR="00CD6370" w:rsidRPr="005078B0">
        <w:rPr>
          <w:rFonts w:ascii="Noto Sans" w:hAnsi="Noto Sans" w:cs="Noto Sans"/>
          <w:szCs w:val="18"/>
          <w:lang w:val="nl"/>
        </w:rPr>
        <w:br/>
        <w:t xml:space="preserve">Domino Printing Sciences </w:t>
      </w:r>
      <w:r w:rsidR="00CD6370" w:rsidRPr="005078B0">
        <w:rPr>
          <w:rFonts w:ascii="Noto Sans" w:hAnsi="Noto Sans" w:cs="Noto Sans"/>
          <w:szCs w:val="18"/>
          <w:lang w:val="nl"/>
        </w:rPr>
        <w:br/>
        <w:t>Tel: +44 (0) 1954 778780</w:t>
      </w:r>
      <w:r w:rsidR="00CD6370" w:rsidRPr="005078B0">
        <w:rPr>
          <w:rFonts w:ascii="Noto Sans" w:hAnsi="Noto Sans" w:cs="Noto Sans"/>
          <w:szCs w:val="18"/>
          <w:lang w:val="nl"/>
        </w:rPr>
        <w:br/>
      </w:r>
      <w:hyperlink r:id="rId15" w:history="1">
        <w:r w:rsidR="00CD6370" w:rsidRPr="005078B0">
          <w:rPr>
            <w:rStyle w:val="Hyperlink"/>
            <w:rFonts w:ascii="Noto Sans" w:hAnsi="Noto Sans" w:cs="Noto Sans"/>
            <w:szCs w:val="18"/>
            <w:lang w:val="nl"/>
          </w:rPr>
          <w:t>Jade.Taylor-Salazar@domino-uk.com</w:t>
        </w:r>
      </w:hyperlink>
    </w:p>
    <w:sectPr w:rsidR="003A1909" w:rsidRPr="005078B0" w:rsidSect="000F6D00">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1531" w:footer="22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4E7D6" w14:textId="77777777" w:rsidR="006C5E5E" w:rsidRDefault="006C5E5E" w:rsidP="00785717">
      <w:pPr>
        <w:spacing w:line="240" w:lineRule="auto"/>
      </w:pPr>
      <w:r>
        <w:separator/>
      </w:r>
    </w:p>
  </w:endnote>
  <w:endnote w:type="continuationSeparator" w:id="0">
    <w:p w14:paraId="15BF72FA" w14:textId="77777777" w:rsidR="006C5E5E" w:rsidRDefault="006C5E5E" w:rsidP="007857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oto Sans">
    <w:panose1 w:val="020B0502040504020204"/>
    <w:charset w:val="00"/>
    <w:family w:val="swiss"/>
    <w:pitch w:val="variable"/>
    <w:sig w:usb0="E00082FF" w:usb1="4000205F" w:usb2="08000029" w:usb3="00000000" w:csb0="0000019F" w:csb1="00000000"/>
  </w:font>
  <w:font w:name="Gill Sans">
    <w:panose1 w:val="00000000000000000000"/>
    <w:charset w:val="00"/>
    <w:family w:val="swiss"/>
    <w:notTrueType/>
    <w:pitch w:val="variable"/>
    <w:sig w:usb0="A00000AF" w:usb1="5000205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A1E60" w14:textId="77777777" w:rsidR="00EC1C5A" w:rsidRDefault="00EC1C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4645E" w14:textId="77777777" w:rsidR="00785717" w:rsidRDefault="000F6D00" w:rsidP="00785717">
    <w:pPr>
      <w:pStyle w:val="Footer"/>
    </w:pPr>
    <w:r>
      <w:rPr>
        <w:noProof/>
      </w:rPr>
      <w:drawing>
        <wp:anchor distT="0" distB="0" distL="114300" distR="114300" simplePos="0" relativeHeight="251659264" behindDoc="0" locked="0" layoutInCell="1" allowOverlap="1" wp14:anchorId="0DBFD8BB" wp14:editId="13EA269F">
          <wp:simplePos x="0" y="0"/>
          <wp:positionH relativeFrom="column">
            <wp:posOffset>4953000</wp:posOffset>
          </wp:positionH>
          <wp:positionV relativeFrom="paragraph">
            <wp:posOffset>1231440</wp:posOffset>
          </wp:positionV>
          <wp:extent cx="1466850" cy="1393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66850" cy="139350"/>
                  </a:xfrm>
                  <a:prstGeom prst="rect">
                    <a:avLst/>
                  </a:prstGeom>
                </pic:spPr>
              </pic:pic>
            </a:graphicData>
          </a:graphic>
          <wp14:sizeRelH relativeFrom="margin">
            <wp14:pctWidth>0</wp14:pctWidth>
          </wp14:sizeRelH>
          <wp14:sizeRelV relativeFrom="margin">
            <wp14:pctHeight>0</wp14:pctHeight>
          </wp14:sizeRelV>
        </wp:anchor>
      </w:drawing>
    </w:r>
    <w:r w:rsidR="00BC7C15">
      <w:rPr>
        <w:noProof/>
      </w:rPr>
      <w:drawing>
        <wp:anchor distT="0" distB="0" distL="114300" distR="114300" simplePos="0" relativeHeight="251658240" behindDoc="1" locked="0" layoutInCell="1" allowOverlap="1" wp14:anchorId="18D86D71" wp14:editId="41EB4D0F">
          <wp:simplePos x="0" y="0"/>
          <wp:positionH relativeFrom="page">
            <wp:posOffset>47625</wp:posOffset>
          </wp:positionH>
          <wp:positionV relativeFrom="page">
            <wp:posOffset>9247505</wp:posOffset>
          </wp:positionV>
          <wp:extent cx="7448550" cy="1259840"/>
          <wp:effectExtent l="0" t="0" r="0" b="0"/>
          <wp:wrapNone/>
          <wp:docPr id="1" name="Picture 1"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knif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448550" cy="125984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6791B" w14:textId="77777777" w:rsidR="00EC1C5A" w:rsidRDefault="00EC1C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4A226" w14:textId="77777777" w:rsidR="006C5E5E" w:rsidRDefault="006C5E5E" w:rsidP="00785717">
      <w:pPr>
        <w:spacing w:line="240" w:lineRule="auto"/>
      </w:pPr>
      <w:r>
        <w:separator/>
      </w:r>
    </w:p>
  </w:footnote>
  <w:footnote w:type="continuationSeparator" w:id="0">
    <w:p w14:paraId="5904CA86" w14:textId="77777777" w:rsidR="006C5E5E" w:rsidRDefault="006C5E5E" w:rsidP="007857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4ADB6" w14:textId="77777777" w:rsidR="00EC1C5A" w:rsidRDefault="00EC1C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9F7C1" w14:textId="77777777" w:rsidR="000F6D00" w:rsidRDefault="002766D9">
    <w:pPr>
      <w:pStyle w:val="Header"/>
    </w:pPr>
    <w:r>
      <w:rPr>
        <w:noProof/>
      </w:rPr>
      <w:drawing>
        <wp:anchor distT="0" distB="0" distL="114300" distR="114300" simplePos="0" relativeHeight="251661312" behindDoc="0" locked="0" layoutInCell="1" allowOverlap="1" wp14:anchorId="762B58A7" wp14:editId="77F504A3">
          <wp:simplePos x="0" y="0"/>
          <wp:positionH relativeFrom="page">
            <wp:posOffset>228600</wp:posOffset>
          </wp:positionH>
          <wp:positionV relativeFrom="paragraph">
            <wp:posOffset>-972185</wp:posOffset>
          </wp:positionV>
          <wp:extent cx="2781300" cy="1096645"/>
          <wp:effectExtent l="0" t="0" r="0" b="0"/>
          <wp:wrapSquare wrapText="bothSides"/>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rotWithShape="1">
                  <a:blip r:embed="rId1">
                    <a:clrChange>
                      <a:clrFrom>
                        <a:srgbClr val="FFFEFD"/>
                      </a:clrFrom>
                      <a:clrTo>
                        <a:srgbClr val="FFFEFD">
                          <a:alpha val="0"/>
                        </a:srgbClr>
                      </a:clrTo>
                    </a:clrChange>
                    <a:extLst>
                      <a:ext uri="{28A0092B-C50C-407E-A947-70E740481C1C}">
                        <a14:useLocalDpi xmlns:a14="http://schemas.microsoft.com/office/drawing/2010/main" val="0"/>
                      </a:ext>
                    </a:extLst>
                  </a:blip>
                  <a:srcRect b="11420"/>
                  <a:stretch/>
                </pic:blipFill>
                <pic:spPr bwMode="auto">
                  <a:xfrm>
                    <a:off x="0" y="0"/>
                    <a:ext cx="2781300" cy="1096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9D033" w14:textId="77777777" w:rsidR="00EC1C5A" w:rsidRDefault="00EC1C5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8E5"/>
    <w:rsid w:val="0002201E"/>
    <w:rsid w:val="000F6D00"/>
    <w:rsid w:val="001D743C"/>
    <w:rsid w:val="002202E3"/>
    <w:rsid w:val="00240801"/>
    <w:rsid w:val="002766D9"/>
    <w:rsid w:val="003038E5"/>
    <w:rsid w:val="00372E92"/>
    <w:rsid w:val="003A1909"/>
    <w:rsid w:val="004B5296"/>
    <w:rsid w:val="005078B0"/>
    <w:rsid w:val="005272B1"/>
    <w:rsid w:val="005524DB"/>
    <w:rsid w:val="005741C7"/>
    <w:rsid w:val="005E6C45"/>
    <w:rsid w:val="00647055"/>
    <w:rsid w:val="00660F46"/>
    <w:rsid w:val="006C5E5E"/>
    <w:rsid w:val="00785717"/>
    <w:rsid w:val="00791A4F"/>
    <w:rsid w:val="007C0541"/>
    <w:rsid w:val="008220B7"/>
    <w:rsid w:val="00823B77"/>
    <w:rsid w:val="00837862"/>
    <w:rsid w:val="008916A8"/>
    <w:rsid w:val="008B6461"/>
    <w:rsid w:val="008E5E0C"/>
    <w:rsid w:val="008F3E38"/>
    <w:rsid w:val="00931996"/>
    <w:rsid w:val="00940BF7"/>
    <w:rsid w:val="009A1716"/>
    <w:rsid w:val="009A1DEC"/>
    <w:rsid w:val="009D6280"/>
    <w:rsid w:val="00A34918"/>
    <w:rsid w:val="00AB11DA"/>
    <w:rsid w:val="00B23C3C"/>
    <w:rsid w:val="00B51122"/>
    <w:rsid w:val="00B546C5"/>
    <w:rsid w:val="00B7088D"/>
    <w:rsid w:val="00B85689"/>
    <w:rsid w:val="00B900E8"/>
    <w:rsid w:val="00BC7C15"/>
    <w:rsid w:val="00C063FE"/>
    <w:rsid w:val="00C44603"/>
    <w:rsid w:val="00C541FE"/>
    <w:rsid w:val="00CD6370"/>
    <w:rsid w:val="00CF1AD5"/>
    <w:rsid w:val="00D66051"/>
    <w:rsid w:val="00E03029"/>
    <w:rsid w:val="00E12D5F"/>
    <w:rsid w:val="00EC1C5A"/>
    <w:rsid w:val="00F658D1"/>
    <w:rsid w:val="00F82F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8EBF4A"/>
  <w15:chartTrackingRefBased/>
  <w15:docId w15:val="{526B0AF2-DBB4-4866-ADAD-04F55302E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43C"/>
    <w:pPr>
      <w:spacing w:after="0" w:line="360" w:lineRule="auto"/>
    </w:pPr>
    <w:rPr>
      <w:rFonts w:ascii="Verdana" w:eastAsia="Calibri" w:hAnsi="Verdana" w:cs="Times New Roman"/>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HeaderChar">
    <w:name w:val="Header Char"/>
    <w:basedOn w:val="DefaultParagraphFont"/>
    <w:link w:val="Header"/>
    <w:uiPriority w:val="99"/>
    <w:rsid w:val="00785717"/>
  </w:style>
  <w:style w:type="paragraph" w:styleId="Footer">
    <w:name w:val="footer"/>
    <w:basedOn w:val="Normal"/>
    <w:link w:val="Foot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FooterChar">
    <w:name w:val="Footer Char"/>
    <w:basedOn w:val="DefaultParagraphFont"/>
    <w:link w:val="Footer"/>
    <w:uiPriority w:val="99"/>
    <w:rsid w:val="00785717"/>
  </w:style>
  <w:style w:type="character" w:styleId="Hyperlink">
    <w:name w:val="Hyperlink"/>
    <w:basedOn w:val="DefaultParagraphFont"/>
    <w:uiPriority w:val="99"/>
    <w:rsid w:val="001D743C"/>
    <w:rPr>
      <w:color w:val="0000FF"/>
      <w:u w:val="single"/>
    </w:rPr>
  </w:style>
  <w:style w:type="paragraph" w:styleId="NoSpacing">
    <w:name w:val="No Spacing"/>
    <w:uiPriority w:val="1"/>
    <w:qFormat/>
    <w:rsid w:val="001D743C"/>
    <w:pPr>
      <w:spacing w:after="0" w:line="240" w:lineRule="auto"/>
    </w:pPr>
    <w:rPr>
      <w:rFonts w:ascii="Verdana" w:eastAsia="Calibri" w:hAnsi="Verdana" w:cs="Times New Roman"/>
      <w:sz w:val="18"/>
    </w:rPr>
  </w:style>
  <w:style w:type="character" w:styleId="UnresolvedMention">
    <w:name w:val="Unresolved Mention"/>
    <w:basedOn w:val="DefaultParagraphFont"/>
    <w:uiPriority w:val="99"/>
    <w:semiHidden/>
    <w:unhideWhenUsed/>
    <w:rsid w:val="009319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roupe-bel.com/en/newsroom/press-releases/bel-announces-global-rollout-of-babybels-paper-packaging/" TargetMode="External"/><Relationship Id="rId13" Type="http://schemas.openxmlformats.org/officeDocument/2006/relationships/hyperlink" Target="http://www.dominobenelux.com" TargetMode="External"/><Relationship Id="rId18"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footer" Target="footer3.xml"/><Relationship Id="rId7" Type="http://schemas.openxmlformats.org/officeDocument/2006/relationships/hyperlink" Target="https://www.packaging-gateway.com/news/eu-ppwr-regulation-schedule/" TargetMode="External"/><Relationship Id="rId12" Type="http://schemas.openxmlformats.org/officeDocument/2006/relationships/hyperlink" Target="https://www.domino-printing.com/nl-nl/home.aspx?utm_medium=non-paid&amp;utm_source=onlinepublication&amp;utm_content=pr-dp-ppwr-check&amp;utm_campaign=2026-int-nl-Global-PR-DP-FY26-Q2" TargetMode="External"/><Relationship Id="rId17"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styles" Target="styles.xml"/><Relationship Id="rId6" Type="http://schemas.openxmlformats.org/officeDocument/2006/relationships/hyperlink" Target="https://www.packaginginsights.com/news/coca-cola-mcdonalds-ppwr-delay.html" TargetMode="External"/><Relationship Id="rId11" Type="http://schemas.openxmlformats.org/officeDocument/2006/relationships/hyperlink" Target="https://www.domino-printing.com/nl-nl/blog/2026/dp-printen-qr-codes-op-gs1-etiketten?utm_medium=non-paid&amp;utm_source=onlinepublication&amp;utm_content=pr-dp-ppwr-check&amp;utm_campaign=2026-int-nl-Global-PR-DP-FY26-Q2" TargetMode="External"/><Relationship Id="rId5" Type="http://schemas.openxmlformats.org/officeDocument/2006/relationships/endnotes" Target="endnotes.xml"/><Relationship Id="rId15" Type="http://schemas.openxmlformats.org/officeDocument/2006/relationships/hyperlink" Target="mailto:Jade.Taylor-Salazar@domino-uk.com" TargetMode="External"/><Relationship Id="rId23" Type="http://schemas.openxmlformats.org/officeDocument/2006/relationships/theme" Target="theme/theme1.xml"/><Relationship Id="rId10" Type="http://schemas.openxmlformats.org/officeDocument/2006/relationships/hyperlink" Target="https://www.packagingnews.co.uk/news/environment/data-shows-many-packaging-producers-still-struggling-with-recyclability-13-07-2026" TargetMode="External"/><Relationship Id="rId19"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yperlink" Target="https://thepackhub.com/innovation-news/leclerc-replaces-cardboard-with-compact-plastic-film-in-biscuit-packaging/" TargetMode="External"/><Relationship Id="rId14" Type="http://schemas.openxmlformats.org/officeDocument/2006/relationships/hyperlink" Target="mailto:Kathrin.Farr@domino-uk.com"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1999</Words>
  <Characters>11396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Kathrin Farr</dc:creator>
  <cp:keywords/>
  <dc:description/>
  <cp:lastModifiedBy>Kathrin Farr</cp:lastModifiedBy>
  <cp:revision>3</cp:revision>
  <dcterms:created xsi:type="dcterms:W3CDTF">2026-08-06T11:46:00Z</dcterms:created>
  <dcterms:modified xsi:type="dcterms:W3CDTF">2026-08-06T11:49:00Z</dcterms:modified>
</cp:coreProperties>
</file>