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BEF87" w14:textId="77777777" w:rsidR="002C49F3" w:rsidRPr="002C49F3" w:rsidRDefault="002C49F3" w:rsidP="002C49F3">
      <w:pPr>
        <w:spacing w:after="160" w:line="240" w:lineRule="auto"/>
        <w:jc w:val="both"/>
        <w:rPr>
          <w:rFonts w:ascii="Noto Sans" w:hAnsi="Noto Sans" w:cs="Noto Sans"/>
          <w:b/>
          <w:bCs/>
          <w:color w:val="1C1C1C"/>
          <w:sz w:val="28"/>
          <w:szCs w:val="28"/>
          <w:shd w:val="clear" w:color="auto" w:fill="FFFFFF"/>
          <w:lang w:val="fr-FR"/>
        </w:rPr>
      </w:pPr>
      <w:r w:rsidRPr="002C49F3">
        <w:rPr>
          <w:rFonts w:ascii="Noto Sans" w:hAnsi="Noto Sans" w:cs="Noto Sans"/>
          <w:b/>
          <w:bCs/>
          <w:color w:val="1C1C1C"/>
          <w:sz w:val="28"/>
          <w:szCs w:val="28"/>
          <w:shd w:val="clear" w:color="auto" w:fill="FFFFFF"/>
          <w:lang w:val="fr-FR"/>
        </w:rPr>
        <w:t>PPWR, impression des emballages et recyclabilité : un état des lieux réaliste</w:t>
      </w:r>
    </w:p>
    <w:p w14:paraId="7FA102A1" w14:textId="77777777" w:rsidR="002C49F3" w:rsidRPr="002C49F3" w:rsidRDefault="002C49F3" w:rsidP="002C49F3">
      <w:pPr>
        <w:spacing w:after="160" w:line="240" w:lineRule="auto"/>
        <w:jc w:val="both"/>
        <w:rPr>
          <w:rFonts w:ascii="Noto Sans" w:hAnsi="Noto Sans" w:cs="Noto Sans"/>
          <w:i/>
          <w:iCs/>
          <w:sz w:val="22"/>
          <w:lang w:val="fr-FR"/>
        </w:rPr>
      </w:pPr>
      <w:r w:rsidRPr="002C49F3">
        <w:rPr>
          <w:rFonts w:ascii="Noto Sans" w:hAnsi="Noto Sans" w:cs="Noto Sans"/>
          <w:i/>
          <w:iCs/>
          <w:sz w:val="22"/>
          <w:lang w:val="fr-FR"/>
        </w:rPr>
        <w:t>Le règlement sur les emballages et les déchets d'emballages (</w:t>
      </w:r>
      <w:hyperlink r:id="rId6" w:history="1">
        <w:r w:rsidRPr="002C49F3">
          <w:rPr>
            <w:rFonts w:ascii="Noto Sans" w:hAnsi="Noto Sans" w:cs="Noto Sans"/>
            <w:i/>
            <w:iCs/>
            <w:color w:val="0000FF"/>
            <w:sz w:val="22"/>
            <w:u w:val="single"/>
            <w:lang w:val="fr-FR"/>
          </w:rPr>
          <w:t>PPWR</w:t>
        </w:r>
      </w:hyperlink>
      <w:r w:rsidRPr="002C49F3">
        <w:rPr>
          <w:rFonts w:ascii="Noto Sans" w:hAnsi="Noto Sans" w:cs="Noto Sans"/>
          <w:i/>
          <w:iCs/>
          <w:sz w:val="22"/>
          <w:lang w:val="fr-FR"/>
        </w:rPr>
        <w:t>) est appelé à redéfinir les exigences en matière d'emballage, en imposant une réduction des emballages, ainsi que la réutilisation et le recyclage à grande échelle. À ce jour, de nombreuses marques ont concentré leurs efforts de conformité au PPWR sur le respect des exigences de base pour l'échéance d'août 2026 : réduire les emballages, réduire les substances dangereuses, ajouter des numéros de lot ou de série traçables et établir des déclarations de conformité pour chaque type d'emballage.</w:t>
      </w:r>
    </w:p>
    <w:p w14:paraId="5EEECC9A" w14:textId="77777777" w:rsidR="002C49F3" w:rsidRPr="002C49F3" w:rsidRDefault="002C49F3" w:rsidP="002C49F3">
      <w:pPr>
        <w:spacing w:after="160" w:line="240" w:lineRule="auto"/>
        <w:jc w:val="both"/>
        <w:rPr>
          <w:rFonts w:ascii="Noto Sans" w:hAnsi="Noto Sans" w:cs="Noto Sans"/>
          <w:i/>
          <w:iCs/>
          <w:sz w:val="22"/>
          <w:lang w:val="fr-FR"/>
        </w:rPr>
      </w:pPr>
      <w:r w:rsidRPr="002C49F3">
        <w:rPr>
          <w:rFonts w:ascii="Noto Sans" w:hAnsi="Noto Sans" w:cs="Noto Sans"/>
          <w:i/>
          <w:iCs/>
          <w:sz w:val="22"/>
          <w:lang w:val="fr-FR"/>
        </w:rPr>
        <w:t xml:space="preserve">À l'horizon 2030, les exigences vont plus loin, l'accent étant mis sur les matériaux d'emballage, avec la suppression des composants susceptibles de perturber les filières de recyclage afin de maximiser la recyclabilité des emballages. Cependant, de nombreux aspects du PPWR restent indéfinis, et l'infrastructure de recyclage nécessaire n'est pas encore en place. Malgré les appels à un </w:t>
      </w:r>
      <w:hyperlink r:id="rId7" w:history="1">
        <w:r w:rsidRPr="002C49F3">
          <w:rPr>
            <w:rFonts w:ascii="Noto Sans" w:hAnsi="Noto Sans" w:cs="Noto Sans"/>
            <w:i/>
            <w:iCs/>
            <w:color w:val="0000FF"/>
            <w:sz w:val="22"/>
            <w:u w:val="single"/>
            <w:lang w:val="fr-FR"/>
          </w:rPr>
          <w:t>report de la date limite</w:t>
        </w:r>
      </w:hyperlink>
      <w:r w:rsidRPr="002C49F3">
        <w:rPr>
          <w:rFonts w:ascii="Noto Sans" w:hAnsi="Noto Sans" w:cs="Noto Sans"/>
          <w:i/>
          <w:iCs/>
          <w:sz w:val="22"/>
          <w:lang w:val="fr-FR"/>
        </w:rPr>
        <w:t xml:space="preserve"> et les demandes de </w:t>
      </w:r>
      <w:hyperlink r:id="rId8" w:history="1">
        <w:r w:rsidRPr="002C49F3">
          <w:rPr>
            <w:rFonts w:ascii="Noto Sans" w:hAnsi="Noto Sans" w:cs="Noto Sans"/>
            <w:i/>
            <w:iCs/>
            <w:color w:val="0000FF"/>
            <w:sz w:val="22"/>
            <w:u w:val="single"/>
            <w:lang w:val="fr-FR"/>
          </w:rPr>
          <w:t>législation secondaire</w:t>
        </w:r>
      </w:hyperlink>
      <w:r w:rsidRPr="002C49F3">
        <w:rPr>
          <w:rFonts w:ascii="Noto Sans" w:hAnsi="Noto Sans" w:cs="Noto Sans"/>
          <w:i/>
          <w:iCs/>
          <w:sz w:val="22"/>
          <w:lang w:val="fr-FR"/>
        </w:rPr>
        <w:t>, qui reflètent les préoccupations du secteur, les marques doivent commencer à planifier dès maintenant.</w:t>
      </w:r>
    </w:p>
    <w:p w14:paraId="0A2C225D" w14:textId="77777777" w:rsidR="002C49F3" w:rsidRPr="002C49F3" w:rsidRDefault="002C49F3" w:rsidP="002C49F3">
      <w:pPr>
        <w:tabs>
          <w:tab w:val="num" w:pos="720"/>
        </w:tabs>
        <w:spacing w:after="160" w:line="240" w:lineRule="auto"/>
        <w:jc w:val="both"/>
        <w:rPr>
          <w:rFonts w:ascii="Noto Sans" w:hAnsi="Noto Sans" w:cs="Noto Sans"/>
          <w:i/>
          <w:iCs/>
          <w:sz w:val="22"/>
          <w:lang w:val="fr-FR"/>
        </w:rPr>
      </w:pPr>
      <w:r w:rsidRPr="002C49F3">
        <w:rPr>
          <w:rFonts w:ascii="Noto Sans" w:hAnsi="Noto Sans" w:cs="Noto Sans"/>
          <w:i/>
          <w:iCs/>
          <w:sz w:val="22"/>
          <w:lang w:val="fr-FR"/>
        </w:rPr>
        <w:t xml:space="preserve">Natasha Jeremic, Head of </w:t>
      </w:r>
      <w:proofErr w:type="spellStart"/>
      <w:r w:rsidRPr="002C49F3">
        <w:rPr>
          <w:rFonts w:ascii="Noto Sans" w:hAnsi="Noto Sans" w:cs="Noto Sans"/>
          <w:i/>
          <w:iCs/>
          <w:sz w:val="22"/>
          <w:lang w:val="fr-FR"/>
        </w:rPr>
        <w:t>Piezo</w:t>
      </w:r>
      <w:proofErr w:type="spellEnd"/>
      <w:r w:rsidRPr="002C49F3">
        <w:rPr>
          <w:rFonts w:ascii="Noto Sans" w:hAnsi="Noto Sans" w:cs="Noto Sans"/>
          <w:i/>
          <w:iCs/>
          <w:sz w:val="22"/>
          <w:lang w:val="fr-FR"/>
        </w:rPr>
        <w:t xml:space="preserve"> Inks chez Domino Printing Sciences, examine la réalité commerciale des fournisseurs d'emballages et le rôle essentiel que jouent les transformateurs dans la collaboration axée sur le développement durable.</w:t>
      </w:r>
    </w:p>
    <w:p w14:paraId="5A2F0B45" w14:textId="77777777" w:rsidR="002C49F3" w:rsidRPr="002C49F3" w:rsidRDefault="002C49F3" w:rsidP="002C49F3">
      <w:pPr>
        <w:spacing w:after="160" w:line="240" w:lineRule="auto"/>
        <w:jc w:val="both"/>
        <w:rPr>
          <w:rFonts w:ascii="Noto Sans" w:hAnsi="Noto Sans" w:cs="Noto Sans"/>
          <w:b/>
          <w:bCs/>
          <w:sz w:val="22"/>
          <w:lang w:val="fr-FR"/>
        </w:rPr>
      </w:pPr>
      <w:r w:rsidRPr="002C49F3">
        <w:rPr>
          <w:rFonts w:ascii="Noto Sans" w:hAnsi="Noto Sans" w:cs="Noto Sans"/>
          <w:b/>
          <w:bCs/>
          <w:sz w:val="22"/>
          <w:lang w:val="fr-FR"/>
        </w:rPr>
        <w:t>Réglementation versus état de préparation</w:t>
      </w:r>
    </w:p>
    <w:p w14:paraId="59D04CD4" w14:textId="77777777" w:rsidR="002C49F3" w:rsidRPr="002C49F3" w:rsidRDefault="002C49F3" w:rsidP="002C49F3">
      <w:pPr>
        <w:spacing w:after="160" w:line="240" w:lineRule="auto"/>
        <w:jc w:val="both"/>
        <w:rPr>
          <w:rFonts w:ascii="Noto Sans" w:hAnsi="Noto Sans" w:cs="Noto Sans"/>
          <w:sz w:val="22"/>
          <w:lang w:val="fr-FR"/>
        </w:rPr>
      </w:pPr>
      <w:r w:rsidRPr="002C49F3">
        <w:rPr>
          <w:rFonts w:ascii="Noto Sans" w:hAnsi="Noto Sans" w:cs="Noto Sans"/>
          <w:sz w:val="22"/>
          <w:lang w:val="fr-FR"/>
        </w:rPr>
        <w:t>Malgré un intérêt déclinant des consommateurs pour l'</w:t>
      </w:r>
      <w:hyperlink r:id="rId9" w:history="1">
        <w:r w:rsidRPr="002C49F3">
          <w:rPr>
            <w:rFonts w:ascii="Noto Sans" w:hAnsi="Noto Sans" w:cs="Noto Sans"/>
            <w:color w:val="0000FF"/>
            <w:sz w:val="22"/>
            <w:u w:val="single"/>
            <w:lang w:val="fr-FR"/>
          </w:rPr>
          <w:t>impact environnemental des emballages</w:t>
        </w:r>
      </w:hyperlink>
      <w:r w:rsidRPr="002C49F3">
        <w:rPr>
          <w:rFonts w:ascii="Noto Sans" w:hAnsi="Noto Sans" w:cs="Noto Sans"/>
          <w:sz w:val="22"/>
          <w:lang w:val="fr-FR"/>
        </w:rPr>
        <w:t>, les exigences réglementaires poussent les marques à s'éloigner des approches traditionnelles de développement et de production des emballages et étiquettes. Les priorités de longue date que sont les volumes de commande, la qualité d'impression et le coût doivent désormais être conciliées avec les exigences du PPWR en matière de recyclabilité des emballages et de teneur minimale en matières recyclées.</w:t>
      </w:r>
    </w:p>
    <w:p w14:paraId="27203709" w14:textId="77777777" w:rsidR="002C49F3" w:rsidRPr="002C49F3" w:rsidRDefault="002C49F3" w:rsidP="002C49F3">
      <w:pPr>
        <w:spacing w:after="160" w:line="240" w:lineRule="auto"/>
        <w:jc w:val="both"/>
        <w:rPr>
          <w:rFonts w:ascii="Noto Sans" w:hAnsi="Noto Sans" w:cs="Noto Sans"/>
          <w:sz w:val="22"/>
          <w:lang w:val="fr-FR"/>
        </w:rPr>
      </w:pPr>
      <w:r w:rsidRPr="002C49F3">
        <w:rPr>
          <w:rFonts w:ascii="Noto Sans" w:hAnsi="Noto Sans" w:cs="Noto Sans"/>
          <w:sz w:val="22"/>
          <w:lang w:val="fr-FR"/>
        </w:rPr>
        <w:t xml:space="preserve">Cependant, bien que des objectifs progressifs du PPWR aient été fixés pour 2030 et au-delà, le secteur s'inquiète de l'absence de cadre de soutien. Les définitions clés de la recyclabilité, des catégories de matières recyclées et des méthodologies de test associées restent floues ou incomplètes. Le manque de clarté persiste également quant à la manière dont la conformité sera évaluée à long terme. </w:t>
      </w:r>
    </w:p>
    <w:p w14:paraId="19EC1BD4" w14:textId="77777777" w:rsidR="002C49F3" w:rsidRPr="002C49F3" w:rsidRDefault="002C49F3" w:rsidP="002C49F3">
      <w:pPr>
        <w:spacing w:after="160" w:line="240" w:lineRule="auto"/>
        <w:jc w:val="both"/>
        <w:rPr>
          <w:rFonts w:ascii="Noto Sans" w:hAnsi="Noto Sans" w:cs="Noto Sans"/>
          <w:sz w:val="22"/>
          <w:lang w:val="fr-FR"/>
        </w:rPr>
      </w:pPr>
      <w:r w:rsidRPr="002C49F3">
        <w:rPr>
          <w:rFonts w:ascii="Noto Sans" w:hAnsi="Noto Sans" w:cs="Noto Sans"/>
          <w:sz w:val="22"/>
          <w:lang w:val="fr-FR"/>
        </w:rPr>
        <w:t xml:space="preserve">Il en résulte non seulement une perception fragmentée de la durabilité des emballages, mais aussi une approche cloisonnée du développement de produits durables. Les fournisseurs d'encre, d'adhésifs et de matériaux évaluent leurs propres gammes de produits de manière isolée, sans tenir compte de l'impact sur l'emballage dans son ensemble. Par conséquent, bien que des composants individuels puissent être jugés conformes au PPWR et techniquement recyclables, l'emballage combiné peut tout de même échouer aux évaluations de recyclabilité s'il n'est pas recyclable à grande échelle. </w:t>
      </w:r>
    </w:p>
    <w:p w14:paraId="11F45967" w14:textId="77777777" w:rsidR="002C49F3" w:rsidRPr="002C49F3" w:rsidRDefault="002C49F3" w:rsidP="002C49F3">
      <w:pPr>
        <w:spacing w:after="160" w:line="240" w:lineRule="auto"/>
        <w:jc w:val="both"/>
        <w:rPr>
          <w:rFonts w:ascii="Noto Sans" w:hAnsi="Noto Sans" w:cs="Noto Sans"/>
          <w:b/>
          <w:bCs/>
          <w:sz w:val="22"/>
          <w:lang w:val="fr-FR"/>
        </w:rPr>
      </w:pPr>
      <w:r w:rsidRPr="002C49F3">
        <w:rPr>
          <w:rFonts w:ascii="Noto Sans" w:hAnsi="Noto Sans" w:cs="Noto Sans"/>
          <w:b/>
          <w:bCs/>
          <w:sz w:val="22"/>
          <w:lang w:val="fr-FR"/>
        </w:rPr>
        <w:lastRenderedPageBreak/>
        <w:t>Respect de l'environnement versus impact sur l'ensemble du cycle de vie</w:t>
      </w:r>
    </w:p>
    <w:p w14:paraId="66167F89" w14:textId="77777777" w:rsidR="002C49F3" w:rsidRPr="002C49F3" w:rsidRDefault="002C49F3" w:rsidP="002C49F3">
      <w:pPr>
        <w:spacing w:after="160" w:line="240" w:lineRule="auto"/>
        <w:jc w:val="both"/>
        <w:rPr>
          <w:rFonts w:ascii="Noto Sans" w:hAnsi="Noto Sans" w:cs="Noto Sans"/>
          <w:sz w:val="22"/>
          <w:lang w:val="fr-FR"/>
        </w:rPr>
      </w:pPr>
      <w:r w:rsidRPr="002C49F3">
        <w:rPr>
          <w:rFonts w:ascii="Noto Sans" w:hAnsi="Noto Sans" w:cs="Noto Sans"/>
          <w:sz w:val="22"/>
          <w:lang w:val="fr-FR"/>
        </w:rPr>
        <w:t xml:space="preserve">Les marques ont, bien sûr, déjà opéré des changements significatifs dans leur stratégie d'emballage pour respecter l'échéance du PPWR d'août 2026. Les emballages ont été réduits, les substances dangereuses éliminées, et la traçabilité ajoutée. Cependant, l'accent fort mis par les exigences du PPWR pour 2030 sur la recyclabilité des emballages soulève des questions quant aux perceptions du respect de l'environnement offertes par les capacités de recyclage actuelles, plutôt que de comprendre l'impact environnemental sur l'ensemble du cycle de vie. </w:t>
      </w:r>
    </w:p>
    <w:p w14:paraId="0D125C29" w14:textId="67F25D36" w:rsidR="00FB542B" w:rsidRDefault="00FB542B" w:rsidP="002C49F3">
      <w:pPr>
        <w:spacing w:after="160" w:line="240" w:lineRule="auto"/>
        <w:jc w:val="both"/>
        <w:rPr>
          <w:rFonts w:ascii="Noto Sans" w:hAnsi="Noto Sans" w:cs="Noto Sans"/>
          <w:sz w:val="22"/>
          <w:lang w:val="fr-FR"/>
        </w:rPr>
      </w:pPr>
      <w:r w:rsidRPr="00FB542B">
        <w:rPr>
          <w:rFonts w:ascii="Noto Sans" w:hAnsi="Noto Sans" w:cs="Noto Sans"/>
          <w:sz w:val="22"/>
          <w:lang w:val="fr-FR"/>
        </w:rPr>
        <w:t xml:space="preserve">Cette ambiguïté pousse les marques à adopter des approches différentes en matière de conception d'emballage et de choix de matériaux. </w:t>
      </w:r>
      <w:hyperlink r:id="rId10" w:history="1">
        <w:r w:rsidRPr="00FB542B">
          <w:rPr>
            <w:rStyle w:val="Hyperlink"/>
            <w:rFonts w:ascii="Noto Sans" w:hAnsi="Noto Sans" w:cs="Noto Sans"/>
            <w:sz w:val="22"/>
            <w:lang w:val="fr-FR"/>
          </w:rPr>
          <w:t>Babybel</w:t>
        </w:r>
      </w:hyperlink>
      <w:r w:rsidRPr="00FB542B">
        <w:rPr>
          <w:rFonts w:ascii="Noto Sans" w:hAnsi="Noto Sans" w:cs="Noto Sans"/>
          <w:sz w:val="22"/>
          <w:lang w:val="fr-FR"/>
        </w:rPr>
        <w:t xml:space="preserve">, par exemple, est passé à des emballages à base de papier lorsque cela est possible – une solution simple en termes de recyclabilité. Elle est considérée par les consommateurs comme un choix plus durable et permet d'éviter les règles plus complexes et évolutives imposées aux emballages plastiques. En revanche, le fabricant canadien de biscuits </w:t>
      </w:r>
      <w:hyperlink r:id="rId11" w:history="1">
        <w:r w:rsidRPr="00FB542B">
          <w:rPr>
            <w:rStyle w:val="Hyperlink"/>
            <w:rFonts w:ascii="Noto Sans" w:hAnsi="Noto Sans" w:cs="Noto Sans"/>
            <w:sz w:val="22"/>
            <w:lang w:val="fr-FR"/>
          </w:rPr>
          <w:t>Leclerc</w:t>
        </w:r>
      </w:hyperlink>
      <w:r w:rsidRPr="00FB542B">
        <w:rPr>
          <w:rFonts w:ascii="Noto Sans" w:hAnsi="Noto Sans" w:cs="Noto Sans"/>
          <w:sz w:val="22"/>
          <w:lang w:val="fr-FR"/>
        </w:rPr>
        <w:t xml:space="preserve"> est passé du carton à un film plastique léger, sur la base d'une analyse du cycle de vie montrant une réduction des émissions liées au transport et de l'utilisation globale de matériaux.</w:t>
      </w:r>
    </w:p>
    <w:p w14:paraId="70E5F185" w14:textId="7B6C840A" w:rsidR="002C49F3" w:rsidRPr="002C49F3" w:rsidRDefault="00FB542B" w:rsidP="002C49F3">
      <w:pPr>
        <w:spacing w:after="160" w:line="240" w:lineRule="auto"/>
        <w:jc w:val="both"/>
        <w:rPr>
          <w:rFonts w:ascii="Noto Sans" w:hAnsi="Noto Sans" w:cs="Noto Sans"/>
          <w:sz w:val="22"/>
          <w:lang w:val="fr-FR"/>
        </w:rPr>
      </w:pPr>
      <w:r>
        <w:rPr>
          <w:rFonts w:ascii="Noto Sans" w:hAnsi="Noto Sans" w:cs="Noto Sans"/>
          <w:sz w:val="22"/>
          <w:lang w:val="fr-FR"/>
        </w:rPr>
        <w:t>L</w:t>
      </w:r>
      <w:r w:rsidR="002C49F3" w:rsidRPr="002C49F3">
        <w:rPr>
          <w:rFonts w:ascii="Noto Sans" w:hAnsi="Noto Sans" w:cs="Noto Sans"/>
          <w:sz w:val="22"/>
          <w:lang w:val="fr-FR"/>
        </w:rPr>
        <w:t>es marques doivent également tenir compte des variations nationales des frais liés à la Responsabilité élargie du producteur (EPR) lorsqu'elles prennent des décisions en matière d'emballage. Une récente enquête du ministère britannique de l'Environnement, de l'Alimentation et des Affaires rurales (</w:t>
      </w:r>
      <w:proofErr w:type="spellStart"/>
      <w:r w:rsidR="002C49F3" w:rsidRPr="002C49F3">
        <w:rPr>
          <w:rFonts w:ascii="Noto Sans" w:hAnsi="Noto Sans" w:cs="Noto Sans"/>
          <w:sz w:val="22"/>
          <w:lang w:val="fr-FR"/>
        </w:rPr>
        <w:t>Defra</w:t>
      </w:r>
      <w:proofErr w:type="spellEnd"/>
      <w:r w:rsidR="002C49F3" w:rsidRPr="002C49F3">
        <w:rPr>
          <w:rFonts w:ascii="Noto Sans" w:hAnsi="Noto Sans" w:cs="Noto Sans"/>
          <w:sz w:val="22"/>
          <w:lang w:val="fr-FR"/>
        </w:rPr>
        <w:t xml:space="preserve">) met en évidence des différences majeures entre les fournisseurs : seuls </w:t>
      </w:r>
      <w:hyperlink r:id="rId12" w:history="1">
        <w:r w:rsidR="002C49F3" w:rsidRPr="002C49F3">
          <w:rPr>
            <w:rFonts w:ascii="Noto Sans" w:hAnsi="Noto Sans" w:cs="Noto Sans"/>
            <w:color w:val="0000FF"/>
            <w:sz w:val="22"/>
            <w:u w:val="single"/>
            <w:lang w:val="fr-FR"/>
          </w:rPr>
          <w:t>10 % des producteurs d'emballages britanniques</w:t>
        </w:r>
      </w:hyperlink>
      <w:r w:rsidR="002C49F3" w:rsidRPr="002C49F3">
        <w:rPr>
          <w:rFonts w:ascii="Noto Sans" w:hAnsi="Noto Sans" w:cs="Noto Sans"/>
          <w:sz w:val="22"/>
          <w:lang w:val="fr-FR"/>
        </w:rPr>
        <w:t xml:space="preserve"> sont entièrement passés à des emballages largement recyclables, tandis que 14 % ne fournissent encore que des emballages posant de sérieux défis en matière de recyclage.  </w:t>
      </w:r>
    </w:p>
    <w:p w14:paraId="406F6FC1" w14:textId="77777777" w:rsidR="002C49F3" w:rsidRPr="002C49F3" w:rsidRDefault="002C49F3" w:rsidP="002C49F3">
      <w:pPr>
        <w:spacing w:after="160" w:line="240" w:lineRule="auto"/>
        <w:jc w:val="both"/>
        <w:rPr>
          <w:rFonts w:ascii="Noto Sans" w:hAnsi="Noto Sans" w:cs="Noto Sans"/>
          <w:b/>
          <w:bCs/>
          <w:sz w:val="22"/>
          <w:lang w:val="fr-FR"/>
        </w:rPr>
      </w:pPr>
      <w:r w:rsidRPr="002C49F3">
        <w:rPr>
          <w:rFonts w:ascii="Noto Sans" w:hAnsi="Noto Sans" w:cs="Noto Sans"/>
          <w:b/>
          <w:bCs/>
          <w:sz w:val="22"/>
          <w:lang w:val="fr-FR"/>
        </w:rPr>
        <w:t>La réalité commerciale pour les fournisseurs d'emballages</w:t>
      </w:r>
    </w:p>
    <w:p w14:paraId="0E1F2372" w14:textId="77777777" w:rsidR="002C49F3" w:rsidRPr="002C49F3" w:rsidRDefault="002C49F3" w:rsidP="002C49F3">
      <w:pPr>
        <w:spacing w:after="160" w:line="240" w:lineRule="auto"/>
        <w:jc w:val="both"/>
        <w:rPr>
          <w:rFonts w:ascii="Noto Sans" w:hAnsi="Noto Sans" w:cs="Noto Sans"/>
          <w:sz w:val="22"/>
          <w:lang w:val="fr-FR"/>
        </w:rPr>
      </w:pPr>
      <w:r w:rsidRPr="002C49F3">
        <w:rPr>
          <w:rFonts w:ascii="Noto Sans" w:hAnsi="Noto Sans" w:cs="Noto Sans"/>
          <w:sz w:val="22"/>
          <w:lang w:val="fr-FR"/>
        </w:rPr>
        <w:t xml:space="preserve">Il existe un besoin urgent de collaboration tout au long de la chaîne logistique pour répondre à ce statu quo et fournir aux marques des informations fiables sur les produits d'emballage. Les tests et validations partagés constitueront le fondement des stratégies de conception d'emballage qui reflètent non seulement les exigences réglementaires, mais aussi les capacités des systèmes de recyclage actuels. </w:t>
      </w:r>
    </w:p>
    <w:p w14:paraId="5B9F8835" w14:textId="77777777" w:rsidR="002C49F3" w:rsidRPr="002C49F3" w:rsidRDefault="002C49F3" w:rsidP="002C49F3">
      <w:pPr>
        <w:spacing w:after="160" w:line="240" w:lineRule="auto"/>
        <w:jc w:val="both"/>
        <w:rPr>
          <w:rFonts w:ascii="Noto Sans" w:hAnsi="Noto Sans" w:cs="Noto Sans"/>
          <w:sz w:val="22"/>
          <w:lang w:val="fr-FR"/>
        </w:rPr>
      </w:pPr>
      <w:r w:rsidRPr="002C49F3">
        <w:rPr>
          <w:rFonts w:ascii="Noto Sans" w:hAnsi="Noto Sans" w:cs="Noto Sans"/>
          <w:sz w:val="22"/>
          <w:lang w:val="fr-FR"/>
        </w:rPr>
        <w:t xml:space="preserve">Les transformateurs ont un rôle clair à jouer pour favoriser la collaboration entre fournisseurs et aider les marques à traverser cette période d'incertitude et de changement. Ils peuvent clarifier les avantages et inconvénients de l'évolution des matériaux recyclés : par exemple, les matériaux d'emballage recyclés de haute qualité sont souvent plus coûteux et peuvent poser des difficultés d'impression en termes d'adhérence de l'encre et de vitesse d'impression, augmentant potentiellement la gâche et réduisant l'efficacité et la productivité. </w:t>
      </w:r>
    </w:p>
    <w:p w14:paraId="12393126" w14:textId="77777777" w:rsidR="002C49F3" w:rsidRPr="002C49F3" w:rsidRDefault="002C49F3" w:rsidP="002C49F3">
      <w:pPr>
        <w:spacing w:after="160" w:line="240" w:lineRule="auto"/>
        <w:jc w:val="both"/>
        <w:rPr>
          <w:rFonts w:ascii="Noto Sans" w:hAnsi="Noto Sans" w:cs="Noto Sans"/>
          <w:sz w:val="22"/>
          <w:lang w:val="fr-FR"/>
        </w:rPr>
      </w:pPr>
      <w:r w:rsidRPr="002C49F3">
        <w:rPr>
          <w:rFonts w:ascii="Noto Sans" w:hAnsi="Noto Sans" w:cs="Noto Sans"/>
          <w:sz w:val="22"/>
          <w:lang w:val="fr-FR"/>
        </w:rPr>
        <w:lastRenderedPageBreak/>
        <w:t>La collaboration avec les fournisseurs de presses, d'encre et de matériaux, le partage des tests, et l'échange de données seront essentiels pour instaurer la confiance. Ces informations permettront aux fournisseurs d'emballages d'identifier et de valider des matériaux durables offrant de bonnes performances de production et un fort impact visuel pour les marques qu'ils accompagnent. La collaboration favorisera également le passage d'allégations génériques "écologiques" ou "recyclables" à des allégations mesurables et vérifiables.</w:t>
      </w:r>
    </w:p>
    <w:p w14:paraId="371F34C1" w14:textId="77777777" w:rsidR="002C49F3" w:rsidRPr="002C49F3" w:rsidRDefault="002C49F3" w:rsidP="002C49F3">
      <w:pPr>
        <w:spacing w:after="160" w:line="240" w:lineRule="auto"/>
        <w:jc w:val="both"/>
        <w:rPr>
          <w:rFonts w:ascii="Noto Sans" w:hAnsi="Noto Sans" w:cs="Noto Sans"/>
          <w:b/>
          <w:bCs/>
          <w:sz w:val="22"/>
          <w:lang w:val="fr-FR"/>
        </w:rPr>
      </w:pPr>
      <w:r w:rsidRPr="002C49F3">
        <w:rPr>
          <w:rFonts w:ascii="Noto Sans" w:hAnsi="Noto Sans" w:cs="Noto Sans"/>
          <w:b/>
          <w:bCs/>
          <w:sz w:val="22"/>
          <w:lang w:val="fr-FR"/>
        </w:rPr>
        <w:t>Les avantages de l'impression numérique pour accompagner la transition</w:t>
      </w:r>
    </w:p>
    <w:p w14:paraId="4337A18F" w14:textId="77777777" w:rsidR="002C49F3" w:rsidRPr="002C49F3" w:rsidRDefault="002C49F3" w:rsidP="002C49F3">
      <w:pPr>
        <w:spacing w:after="160" w:line="240" w:lineRule="auto"/>
        <w:jc w:val="both"/>
        <w:rPr>
          <w:rFonts w:ascii="Noto Sans" w:hAnsi="Noto Sans" w:cs="Noto Sans"/>
          <w:sz w:val="22"/>
          <w:lang w:val="fr-FR"/>
        </w:rPr>
      </w:pPr>
      <w:r w:rsidRPr="002C49F3">
        <w:rPr>
          <w:rFonts w:ascii="Noto Sans" w:hAnsi="Noto Sans" w:cs="Noto Sans"/>
          <w:sz w:val="22"/>
          <w:lang w:val="fr-FR"/>
        </w:rPr>
        <w:t xml:space="preserve">Ces données partagées et fiables seront essentielles pour soutenir la génération de rapports de conformité dans un environnement de plus en plus réglementé. Les transformateurs jouent un rôle central dans la consolidation des données issues de l'ensemble de la chaîne de valeur, en fournissant aux marques des informations sur les matériaux, la teneur en matières recyclées, les substances préoccupantes et les performances de recyclabilité, afin d'étayer leurs déclarations de conformité et leur </w:t>
      </w:r>
      <w:proofErr w:type="spellStart"/>
      <w:r w:rsidRPr="002C49F3">
        <w:rPr>
          <w:rFonts w:ascii="Noto Sans" w:hAnsi="Noto Sans" w:cs="Noto Sans"/>
          <w:sz w:val="22"/>
          <w:lang w:val="fr-FR"/>
        </w:rPr>
        <w:t>reporting</w:t>
      </w:r>
      <w:proofErr w:type="spellEnd"/>
      <w:r w:rsidRPr="002C49F3">
        <w:rPr>
          <w:rFonts w:ascii="Noto Sans" w:hAnsi="Noto Sans" w:cs="Noto Sans"/>
          <w:sz w:val="22"/>
          <w:lang w:val="fr-FR"/>
        </w:rPr>
        <w:t xml:space="preserve"> EPR.</w:t>
      </w:r>
    </w:p>
    <w:p w14:paraId="483DD5CC" w14:textId="77777777" w:rsidR="002C49F3" w:rsidRPr="002C49F3" w:rsidRDefault="002C49F3" w:rsidP="002C49F3">
      <w:pPr>
        <w:spacing w:after="160" w:line="240" w:lineRule="auto"/>
        <w:jc w:val="both"/>
        <w:rPr>
          <w:rFonts w:ascii="Noto Sans" w:hAnsi="Noto Sans" w:cs="Noto Sans"/>
          <w:sz w:val="22"/>
          <w:lang w:val="fr-FR"/>
        </w:rPr>
      </w:pPr>
      <w:r w:rsidRPr="002C49F3">
        <w:rPr>
          <w:rFonts w:ascii="Noto Sans" w:hAnsi="Noto Sans" w:cs="Noto Sans"/>
          <w:sz w:val="22"/>
          <w:lang w:val="fr-FR"/>
        </w:rPr>
        <w:t xml:space="preserve">La technologie d'impression numérique jet d'encre peut constituer un atout majeur dans cette évolution, en permettant l'utilisation de </w:t>
      </w:r>
      <w:hyperlink r:id="rId13" w:history="1">
        <w:r w:rsidRPr="002C49F3">
          <w:rPr>
            <w:rFonts w:ascii="Noto Sans" w:hAnsi="Noto Sans" w:cs="Noto Sans"/>
            <w:color w:val="0000FF"/>
            <w:sz w:val="22"/>
            <w:u w:val="single"/>
            <w:lang w:val="fr-FR"/>
          </w:rPr>
          <w:t>codes 2D variables augmentés GS1</w:t>
        </w:r>
      </w:hyperlink>
      <w:r w:rsidRPr="002C49F3">
        <w:rPr>
          <w:rFonts w:ascii="Noto Sans" w:hAnsi="Noto Sans" w:cs="Noto Sans"/>
          <w:sz w:val="22"/>
          <w:lang w:val="fr-FR"/>
        </w:rPr>
        <w:t>. En plus de favoriser la traçabilité, le contrôle en temps réel du cycle de vie et la génération de rapports de conformité, les codes 2D et les plateformes de données connectées peuvent évoluer avec les exigences en matière d'informations sur les produits et les emballages, à mesure que le déploiement du PPWR, le Sunrise 2027 et les initiatives de passeport numérique produit progressent au cours des prochaines années.</w:t>
      </w:r>
    </w:p>
    <w:p w14:paraId="073FCDB4" w14:textId="77777777" w:rsidR="002C49F3" w:rsidRPr="002C49F3" w:rsidRDefault="002C49F3" w:rsidP="002C49F3">
      <w:pPr>
        <w:spacing w:after="160" w:line="240" w:lineRule="auto"/>
        <w:jc w:val="both"/>
        <w:rPr>
          <w:rFonts w:ascii="Noto Sans" w:hAnsi="Noto Sans" w:cs="Noto Sans"/>
          <w:sz w:val="22"/>
          <w:lang w:val="fr-FR"/>
        </w:rPr>
      </w:pPr>
      <w:r w:rsidRPr="002C49F3">
        <w:rPr>
          <w:rFonts w:ascii="Noto Sans" w:hAnsi="Noto Sans" w:cs="Noto Sans"/>
          <w:sz w:val="22"/>
          <w:lang w:val="fr-FR"/>
        </w:rPr>
        <w:t xml:space="preserve">En outre, la technologie d'impression numérique soutient l'agilité opérationnelle requise par les marques qui gèrent des demandes d'emballage diversifiées. Elle permet de produire efficacement de petits volumes de variantes de design d'emballage, afin de suivre le rythme des exigences évolutives en matière d'informations imprimées sur les emballages, telles que la sérialisation par lot ou par unité. La technologie jet d'encre offre également un contrôle amélioré de l'application de l'encre, réduisant sa consommation, et peut atténuer l'impact de l'impression sur la recyclabilité des emballages. Dans l'ensemble, une approche numérique offre aux transformateurs une offre commerciale plus flexible. </w:t>
      </w:r>
    </w:p>
    <w:p w14:paraId="35C316A8" w14:textId="77777777" w:rsidR="002C49F3" w:rsidRPr="002C49F3" w:rsidRDefault="002C49F3" w:rsidP="002C49F3">
      <w:pPr>
        <w:spacing w:after="160" w:line="240" w:lineRule="auto"/>
        <w:jc w:val="both"/>
        <w:rPr>
          <w:rFonts w:ascii="Noto Sans" w:hAnsi="Noto Sans" w:cs="Noto Sans"/>
          <w:sz w:val="22"/>
          <w:lang w:val="fr-FR"/>
        </w:rPr>
      </w:pPr>
      <w:r w:rsidRPr="002C49F3">
        <w:rPr>
          <w:rFonts w:ascii="Noto Sans" w:hAnsi="Noto Sans" w:cs="Noto Sans"/>
          <w:b/>
          <w:bCs/>
          <w:sz w:val="22"/>
          <w:lang w:val="fr-FR"/>
        </w:rPr>
        <w:t>Conclusion</w:t>
      </w:r>
    </w:p>
    <w:p w14:paraId="18490194" w14:textId="77777777" w:rsidR="002C49F3" w:rsidRPr="002C49F3" w:rsidRDefault="002C49F3" w:rsidP="002C49F3">
      <w:pPr>
        <w:spacing w:after="160" w:line="240" w:lineRule="auto"/>
        <w:jc w:val="both"/>
        <w:rPr>
          <w:rFonts w:ascii="Noto Sans" w:hAnsi="Noto Sans" w:cs="Noto Sans"/>
          <w:sz w:val="22"/>
          <w:lang w:val="fr-FR"/>
        </w:rPr>
      </w:pPr>
      <w:r w:rsidRPr="002C49F3">
        <w:rPr>
          <w:rFonts w:ascii="Noto Sans" w:hAnsi="Noto Sans" w:cs="Noto Sans"/>
          <w:sz w:val="22"/>
          <w:lang w:val="fr-FR"/>
        </w:rPr>
        <w:t xml:space="preserve">L'évolution de la réglementation en matière de durabilité ajoute une complexité importante à la conception et aux matériaux des emballages. Le secteur doit rapidement passer d'une approche cloisonnée à une approche fondée sur une collaboration continue et étroite entre </w:t>
      </w:r>
      <w:hyperlink r:id="rId14" w:history="1">
        <w:r w:rsidRPr="002C49F3">
          <w:rPr>
            <w:rFonts w:ascii="Noto Sans" w:hAnsi="Noto Sans" w:cs="Noto Sans"/>
            <w:color w:val="0000FF"/>
            <w:sz w:val="22"/>
            <w:u w:val="single"/>
            <w:lang w:val="fr-FR"/>
          </w:rPr>
          <w:t>fournisseurs de presses</w:t>
        </w:r>
      </w:hyperlink>
      <w:r w:rsidRPr="002C49F3">
        <w:rPr>
          <w:rFonts w:ascii="Noto Sans" w:hAnsi="Noto Sans" w:cs="Noto Sans"/>
          <w:sz w:val="22"/>
          <w:lang w:val="fr-FR"/>
        </w:rPr>
        <w:t xml:space="preserve"> et matériaux, transformateurs et marques. Les parties prenantes de l'ensemble de la chaîne de valeur doivent travailler </w:t>
      </w:r>
      <w:r w:rsidRPr="002C49F3">
        <w:rPr>
          <w:rFonts w:ascii="Noto Sans" w:hAnsi="Noto Sans" w:cs="Noto Sans"/>
          <w:sz w:val="22"/>
          <w:lang w:val="fr-FR"/>
        </w:rPr>
        <w:lastRenderedPageBreak/>
        <w:t>ensemble pour s'adapter, tester et évoluer, afin de répondre non seulement aux exigences réglementaires, mais aussi à la réalité de l'infrastructure de recyclage actuelle.</w:t>
      </w:r>
    </w:p>
    <w:p w14:paraId="43CE3660" w14:textId="77777777" w:rsidR="002C49F3" w:rsidRPr="002C49F3" w:rsidRDefault="002C49F3" w:rsidP="002C49F3">
      <w:pPr>
        <w:spacing w:after="160" w:line="240" w:lineRule="auto"/>
        <w:jc w:val="both"/>
        <w:rPr>
          <w:rFonts w:ascii="Noto Sans" w:hAnsi="Noto Sans" w:cs="Noto Sans"/>
          <w:sz w:val="22"/>
          <w:lang w:val="fr-FR"/>
        </w:rPr>
      </w:pPr>
      <w:r w:rsidRPr="002C49F3">
        <w:rPr>
          <w:rFonts w:ascii="Noto Sans" w:hAnsi="Noto Sans" w:cs="Noto Sans"/>
          <w:sz w:val="22"/>
          <w:lang w:val="fr-FR"/>
        </w:rPr>
        <w:t>Il s'agit là d'une opportunité de taille pour les transformateurs d'approfondir leur connaissance des combinaisons de matériaux et de la recyclabilité, de rassembler des données de conformité, et d'investir dans la flexibilité offerte par les technologies numériques. Les entreprises qui prendront les devants en matière de durabilité seront bien placées pour rester compétitives en accompagnant leurs clients de marque dans leur parcours de conformité.</w:t>
      </w:r>
    </w:p>
    <w:p w14:paraId="5908CFC6" w14:textId="77777777" w:rsidR="002C49F3" w:rsidRPr="002C49F3" w:rsidRDefault="002C49F3" w:rsidP="002C49F3">
      <w:pPr>
        <w:spacing w:after="160" w:line="240" w:lineRule="auto"/>
        <w:jc w:val="both"/>
        <w:rPr>
          <w:rFonts w:ascii="Noto Sans" w:hAnsi="Noto Sans" w:cs="Noto Sans"/>
          <w:sz w:val="22"/>
          <w:lang w:val="fr-FR"/>
        </w:rPr>
      </w:pPr>
      <w:r w:rsidRPr="002C49F3">
        <w:rPr>
          <w:rFonts w:ascii="Noto Sans" w:hAnsi="Noto Sans" w:cs="Noto Sans"/>
          <w:sz w:val="22"/>
          <w:lang w:val="fr-FR"/>
        </w:rPr>
        <w:t>FIN</w:t>
      </w:r>
    </w:p>
    <w:p w14:paraId="42FFDE4F" w14:textId="75DB7C3C" w:rsidR="003A1909" w:rsidRPr="00860ECF" w:rsidRDefault="003A1909" w:rsidP="003A1909">
      <w:pPr>
        <w:pStyle w:val="NoSpacing"/>
        <w:rPr>
          <w:rFonts w:ascii="Noto Sans" w:hAnsi="Noto Sans" w:cs="Noto Sans"/>
          <w:lang w:val="fr-FR"/>
        </w:rPr>
      </w:pPr>
      <w:bookmarkStart w:id="0" w:name="_Hlk46133219"/>
      <w:r w:rsidRPr="002C49F3">
        <w:rPr>
          <w:rFonts w:ascii="Noto Sans" w:eastAsia="Gill Sans" w:hAnsi="Noto Sans" w:cs="Noto Sans"/>
          <w:b/>
          <w:bCs/>
          <w:szCs w:val="18"/>
          <w:lang w:val="fr-FR"/>
        </w:rPr>
        <w:t>Avis de non-responsabilité</w:t>
      </w:r>
      <w:r w:rsidRPr="002C49F3">
        <w:rPr>
          <w:rFonts w:ascii="Noto Sans" w:eastAsia="Gill Sans" w:hAnsi="Noto Sans" w:cs="Noto Sans"/>
          <w:b/>
          <w:szCs w:val="18"/>
          <w:lang w:val="fr-FR"/>
        </w:rPr>
        <w:br/>
      </w:r>
      <w:r w:rsidRPr="002C49F3">
        <w:rPr>
          <w:rFonts w:ascii="Noto Sans" w:eastAsia="Gill Sans" w:hAnsi="Noto Sans" w:cs="Noto Sans"/>
          <w:szCs w:val="18"/>
          <w:lang w:val="fr-FR"/>
        </w:rPr>
        <w:br/>
      </w:r>
      <w:r w:rsidR="009F0D5A" w:rsidRPr="002C49F3">
        <w:rPr>
          <w:rFonts w:ascii="Noto Sans" w:hAnsi="Noto Sans" w:cs="Noto Sans"/>
          <w:b/>
          <w:bCs/>
          <w:szCs w:val="18"/>
          <w:lang w:val="fr-FR"/>
        </w:rPr>
        <w:t>Généralités</w:t>
      </w:r>
      <w:r w:rsidR="009F0D5A" w:rsidRPr="002C49F3">
        <w:rPr>
          <w:rFonts w:ascii="Noto Sans" w:hAnsi="Noto Sans" w:cs="Noto Sans"/>
          <w:szCs w:val="18"/>
          <w:lang w:val="fr-FR"/>
        </w:rPr>
        <w:br/>
        <w:t>Les informations contenues dans ce communiqué de presse sont considérées comme vraies et exactes à la date de publication par Domino. Des changements de circonstances après la date de publication peuvent avoir un impact sur l'exactitude des informations. Tous les chiffres et déclarations en matière de résultats indiqués dans les présentes ont été obtenus dans des conditions particulières et ne peuvent être reproduits que dans des circonstances similaires. Pour toutes informations sur un produit particulier, contactez votre Représentant Domino local.  Ce document n’est pas intégré aux conditions générales de vente entre vous-même et Domino.</w:t>
      </w:r>
      <w:r w:rsidR="009F0D5A">
        <w:rPr>
          <w:rFonts w:ascii="Noto Sans" w:hAnsi="Noto Sans" w:cs="Noto Sans"/>
          <w:szCs w:val="18"/>
          <w:lang w:val="fr-FR"/>
        </w:rPr>
        <w:br/>
      </w:r>
      <w:r w:rsidR="009F0D5A" w:rsidRPr="002C49F3">
        <w:rPr>
          <w:rFonts w:ascii="Noto Sans" w:hAnsi="Noto Sans" w:cs="Noto Sans"/>
          <w:szCs w:val="18"/>
          <w:lang w:val="fr-FR"/>
        </w:rPr>
        <w:br/>
      </w:r>
      <w:r w:rsidRPr="002C49F3">
        <w:rPr>
          <w:rFonts w:ascii="Noto Sans" w:hAnsi="Noto Sans" w:cs="Noto Sans"/>
          <w:b/>
          <w:bCs/>
          <w:szCs w:val="18"/>
          <w:lang w:val="fr-FR"/>
        </w:rPr>
        <w:t>Encres</w:t>
      </w:r>
      <w:r w:rsidRPr="002C49F3">
        <w:rPr>
          <w:rFonts w:ascii="Noto Sans" w:hAnsi="Noto Sans" w:cs="Noto Sans"/>
          <w:szCs w:val="18"/>
          <w:lang w:val="fr-FR"/>
        </w:rPr>
        <w:br/>
        <w:t xml:space="preserve">Les informations figurant aux présentes ne se substituent pas à la réalisation des essais nécessaires pour vérifier la bonne adéquation à votre utilisation et à vos circonstances particulières. Ni Domino UK Limited ni aucune autre société du groupe Domino ne sauraient être responsables dans le cas où vous vous êtes fiés aux informations du présent document quant à la convenance d’une encre à vos besoins particuliers. Le présent document ne fait pas partie des conditions générales entre vous-même et Domino. Les mentions légales v.1.0 de février 2018 et les conditions générales de vente de Domino, et plus particulièrement les garanties et responsabilités qui en relèvent, s’appliquent à tout achat de produit que vous réalisez. </w:t>
      </w:r>
      <w:r w:rsidRPr="002C49F3">
        <w:rPr>
          <w:rFonts w:ascii="Noto Sans" w:hAnsi="Noto Sans" w:cs="Noto Sans"/>
          <w:szCs w:val="18"/>
          <w:lang w:val="fr-FR"/>
        </w:rPr>
        <w:br/>
      </w:r>
      <w:r w:rsidRPr="002C49F3">
        <w:rPr>
          <w:rFonts w:ascii="Noto Sans" w:hAnsi="Noto Sans" w:cs="Noto Sans"/>
          <w:szCs w:val="18"/>
          <w:lang w:val="fr-FR"/>
        </w:rPr>
        <w:br/>
      </w:r>
      <w:r w:rsidRPr="002C49F3">
        <w:rPr>
          <w:rFonts w:ascii="Noto Sans" w:hAnsi="Noto Sans" w:cs="Noto Sans"/>
          <w:b/>
          <w:bCs/>
          <w:szCs w:val="18"/>
          <w:lang w:val="fr-FR"/>
        </w:rPr>
        <w:t>Images</w:t>
      </w:r>
      <w:r w:rsidRPr="002C49F3">
        <w:rPr>
          <w:rFonts w:ascii="Noto Sans" w:hAnsi="Noto Sans" w:cs="Noto Sans"/>
          <w:szCs w:val="18"/>
          <w:lang w:val="fr-FR"/>
        </w:rPr>
        <w:br/>
        <w:t xml:space="preserve">Les images peuvent inclure des éléments supplémentaires ou des mises à niveaux. La qualité d'impression peut varier en fonction des consommables, de l'imprimante, des substrats et d'autres facteurs. Les images et photographies ne font pas partie des conditions générales de vente entre vous-même et Domino. </w:t>
      </w:r>
      <w:r w:rsidRPr="002C49F3">
        <w:rPr>
          <w:rFonts w:ascii="Noto Sans" w:hAnsi="Noto Sans" w:cs="Noto Sans"/>
          <w:szCs w:val="18"/>
          <w:lang w:val="fr-FR"/>
        </w:rPr>
        <w:br/>
      </w:r>
      <w:r w:rsidRPr="002C49F3">
        <w:rPr>
          <w:rFonts w:ascii="Noto Sans" w:hAnsi="Noto Sans" w:cs="Noto Sans"/>
          <w:szCs w:val="18"/>
          <w:lang w:val="fr-FR"/>
        </w:rPr>
        <w:br/>
      </w:r>
      <w:bookmarkStart w:id="1" w:name="_Hlk61949672"/>
      <w:r w:rsidRPr="002C49F3">
        <w:rPr>
          <w:rFonts w:ascii="Noto Sans" w:eastAsia="Gill Sans" w:hAnsi="Noto Sans" w:cs="Noto Sans"/>
          <w:b/>
          <w:bCs/>
          <w:szCs w:val="18"/>
          <w:lang w:val="fr-FR"/>
        </w:rPr>
        <w:t>Notes à l'attention des rédacteurs :</w:t>
      </w:r>
      <w:r w:rsidRPr="002C49F3">
        <w:rPr>
          <w:rFonts w:ascii="Noto Sans" w:eastAsia="Gill Sans" w:hAnsi="Noto Sans" w:cs="Noto Sans"/>
          <w:b/>
          <w:szCs w:val="18"/>
          <w:lang w:val="fr-FR"/>
        </w:rPr>
        <w:br/>
      </w:r>
      <w:r w:rsidRPr="002C49F3">
        <w:rPr>
          <w:rFonts w:ascii="Noto Sans" w:eastAsia="Gill Sans" w:hAnsi="Noto Sans" w:cs="Noto Sans"/>
          <w:szCs w:val="18"/>
          <w:lang w:val="fr-FR"/>
        </w:rPr>
        <w:br/>
      </w:r>
      <w:r w:rsidRPr="002C49F3">
        <w:rPr>
          <w:rFonts w:ascii="Noto Sans" w:eastAsia="Gill Sans" w:hAnsi="Noto Sans" w:cs="Noto Sans"/>
          <w:b/>
          <w:bCs/>
          <w:szCs w:val="18"/>
          <w:lang w:val="fr-FR"/>
        </w:rPr>
        <w:t>À propos de Domino</w:t>
      </w:r>
      <w:r w:rsidRPr="002C49F3">
        <w:rPr>
          <w:rFonts w:ascii="Noto Sans" w:eastAsia="Gill Sans" w:hAnsi="Noto Sans" w:cs="Noto Sans"/>
          <w:b/>
          <w:szCs w:val="18"/>
          <w:lang w:val="fr-FR"/>
        </w:rPr>
        <w:br/>
      </w:r>
      <w:r w:rsidRPr="002C49F3">
        <w:rPr>
          <w:rFonts w:ascii="Noto Sans" w:eastAsia="Gill Sans" w:hAnsi="Noto Sans" w:cs="Noto Sans"/>
          <w:szCs w:val="18"/>
          <w:lang w:val="fr-FR"/>
        </w:rPr>
        <w:br/>
        <w:t>Digital Printing Solutions est une division de Domino Printing Sciences. Domino, fondée en 1978, s’est forgée une réputation internationale dans le développement et la fabrication de technologies d’i</w:t>
      </w:r>
      <w:r w:rsidRPr="00860ECF">
        <w:rPr>
          <w:rFonts w:ascii="Noto Sans" w:eastAsia="Gill Sans" w:hAnsi="Noto Sans" w:cs="Noto Sans"/>
          <w:szCs w:val="18"/>
          <w:lang w:val="fr-FR"/>
        </w:rPr>
        <w:t>mpression jet d’encre numérique, ainsi que dans les produits complémentaires et le service à la clientèle. Ses services, destinés au secteur de l’impression commerciale, incluent des solutions d’impression jet d’encre numériques et des systèmes de contrôle conçus pour une gamme complète d’applications d’étiquetage et d’impression de données variables.</w:t>
      </w:r>
      <w:r w:rsidRPr="00860ECF">
        <w:rPr>
          <w:rFonts w:ascii="Noto Sans" w:eastAsia="Gill Sans" w:hAnsi="Noto Sans" w:cs="Noto Sans"/>
          <w:szCs w:val="18"/>
          <w:lang w:val="fr-FR"/>
        </w:rPr>
        <w:br/>
      </w:r>
      <w:r w:rsidRPr="00860ECF">
        <w:rPr>
          <w:rFonts w:ascii="Noto Sans" w:eastAsia="Gill Sans" w:hAnsi="Noto Sans" w:cs="Noto Sans"/>
          <w:szCs w:val="18"/>
          <w:lang w:val="fr-FR"/>
        </w:rPr>
        <w:br/>
        <w:t xml:space="preserve">Toutes les imprimantes Domino sont conçues pour répondre aux exigences de rapidité extrême et de </w:t>
      </w:r>
      <w:r w:rsidRPr="00860ECF">
        <w:rPr>
          <w:rFonts w:ascii="Noto Sans" w:eastAsia="Gill Sans" w:hAnsi="Noto Sans" w:cs="Noto Sans"/>
          <w:szCs w:val="18"/>
          <w:lang w:val="fr-FR"/>
        </w:rPr>
        <w:lastRenderedPageBreak/>
        <w:t>haute qualité des environnements d’impression commerciale. Elles offrent de nouvelles fonctionnalités aux secteurs tels que l’étiquetage, les publications et l’impression de sécurité, l’impression transactionnelle, la transformation d’emballages, les cartes plastiques, les tickets, les cartes de jeux et les formulaires, ainsi que les secteurs du publipostage et de la distribution de courrier.</w:t>
      </w:r>
      <w:r w:rsidRPr="00860ECF">
        <w:rPr>
          <w:rFonts w:ascii="Noto Sans" w:eastAsia="Gill Sans" w:hAnsi="Noto Sans" w:cs="Noto Sans"/>
          <w:szCs w:val="18"/>
          <w:lang w:val="fr-FR"/>
        </w:rPr>
        <w:br/>
      </w:r>
      <w:r w:rsidRPr="00860ECF">
        <w:rPr>
          <w:rFonts w:ascii="Noto Sans" w:eastAsia="Gill Sans" w:hAnsi="Noto Sans" w:cs="Noto Sans"/>
          <w:szCs w:val="18"/>
          <w:lang w:val="fr-FR"/>
        </w:rPr>
        <w:br/>
        <w:t>Domino emploie plus de 3 000 personnes à travers le monde et ses produits sont vendus dans plus de 120 pays grâce à un réseau mondial de 29 filiales et de plus de 200 distributeurs. Domino possède des sites de production en Allemagne, en Chine, aux États-Unis, en Inde, au Royaume-Uni, en Suède et en Suisse.</w:t>
      </w:r>
      <w:r w:rsidRPr="00860ECF">
        <w:rPr>
          <w:rFonts w:ascii="Noto Sans" w:eastAsia="Gill Sans" w:hAnsi="Noto Sans" w:cs="Noto Sans"/>
          <w:szCs w:val="18"/>
          <w:lang w:val="fr-FR"/>
        </w:rPr>
        <w:br/>
      </w:r>
      <w:r w:rsidRPr="00860ECF">
        <w:rPr>
          <w:rFonts w:ascii="Noto Sans" w:eastAsia="Gill Sans" w:hAnsi="Noto Sans" w:cs="Noto Sans"/>
          <w:szCs w:val="18"/>
          <w:lang w:val="fr-FR"/>
        </w:rPr>
        <w:br/>
        <w:t xml:space="preserve">Depuis le 11 juin 2015, Domino est une division autonome de Brother Industries Ltd. </w:t>
      </w:r>
      <w:r w:rsidRPr="00860ECF">
        <w:rPr>
          <w:rFonts w:ascii="Noto Sans" w:eastAsia="Gill Sans" w:hAnsi="Noto Sans" w:cs="Noto Sans"/>
          <w:szCs w:val="18"/>
          <w:lang w:val="fr-FR"/>
        </w:rPr>
        <w:br/>
      </w:r>
      <w:r w:rsidRPr="00860ECF">
        <w:rPr>
          <w:rFonts w:ascii="Noto Sans" w:eastAsia="Gill Sans" w:hAnsi="Noto Sans" w:cs="Noto Sans"/>
          <w:szCs w:val="18"/>
          <w:lang w:val="fr-FR"/>
        </w:rPr>
        <w:br/>
        <w:t xml:space="preserve">Pour plus d'informations sur Domino, veuillez consulter </w:t>
      </w:r>
      <w:hyperlink r:id="rId15" w:history="1">
        <w:r w:rsidRPr="00860ECF">
          <w:rPr>
            <w:rStyle w:val="Hyperlink"/>
            <w:rFonts w:ascii="Noto Sans" w:eastAsia="Gill Sans" w:hAnsi="Noto Sans" w:cs="Noto Sans"/>
            <w:szCs w:val="18"/>
            <w:lang w:val="fr-FR"/>
          </w:rPr>
          <w:t>www.domino-printing.com</w:t>
        </w:r>
      </w:hyperlink>
      <w:r w:rsidRPr="00860ECF">
        <w:rPr>
          <w:rFonts w:ascii="Noto Sans" w:eastAsia="Gill Sans" w:hAnsi="Noto Sans" w:cs="Noto Sans"/>
          <w:szCs w:val="18"/>
          <w:lang w:val="fr-FR"/>
        </w:rPr>
        <w:t xml:space="preserve"> </w:t>
      </w:r>
      <w:r w:rsidRPr="00860ECF">
        <w:rPr>
          <w:rFonts w:ascii="Noto Sans" w:eastAsia="Gill Sans" w:hAnsi="Noto Sans" w:cs="Noto Sans"/>
          <w:szCs w:val="18"/>
          <w:lang w:val="fr-FR"/>
        </w:rPr>
        <w:br/>
      </w:r>
      <w:r w:rsidRPr="00860ECF">
        <w:rPr>
          <w:rFonts w:ascii="Noto Sans" w:eastAsia="Gill Sans" w:hAnsi="Noto Sans" w:cs="Noto Sans"/>
          <w:szCs w:val="18"/>
          <w:lang w:val="fr-FR"/>
        </w:rPr>
        <w:br/>
      </w:r>
      <w:r w:rsidRPr="00860ECF">
        <w:rPr>
          <w:rFonts w:ascii="Noto Sans" w:eastAsia="Gill Sans" w:hAnsi="Noto Sans" w:cs="Noto Sans"/>
          <w:b/>
          <w:bCs/>
          <w:szCs w:val="18"/>
          <w:lang w:val="fr-FR"/>
        </w:rPr>
        <w:t>Pour de plus amples renseignements, veuillez contacter :</w:t>
      </w:r>
      <w:r w:rsidRPr="00860ECF">
        <w:rPr>
          <w:rFonts w:ascii="Noto Sans" w:eastAsia="Gill Sans" w:hAnsi="Noto Sans" w:cs="Noto Sans"/>
          <w:b/>
          <w:szCs w:val="18"/>
          <w:lang w:val="fr-FR"/>
        </w:rPr>
        <w:br/>
      </w:r>
      <w:r w:rsidRPr="00860ECF">
        <w:rPr>
          <w:rFonts w:ascii="Noto Sans" w:eastAsia="Gill Sans" w:hAnsi="Noto Sans" w:cs="Noto Sans"/>
          <w:b/>
          <w:szCs w:val="18"/>
          <w:lang w:val="fr-FR"/>
        </w:rPr>
        <w:br/>
      </w:r>
      <w:bookmarkEnd w:id="0"/>
      <w:bookmarkEnd w:id="1"/>
      <w:r w:rsidRPr="00860ECF">
        <w:rPr>
          <w:rFonts w:ascii="Noto Sans" w:hAnsi="Noto Sans" w:cs="Noto Sans"/>
          <w:szCs w:val="18"/>
          <w:lang w:val="fr-FR"/>
        </w:rPr>
        <w:t>Kathrin Farr</w:t>
      </w:r>
      <w:r w:rsidRPr="00860ECF">
        <w:rPr>
          <w:rFonts w:ascii="Noto Sans" w:hAnsi="Noto Sans" w:cs="Noto Sans"/>
          <w:szCs w:val="18"/>
          <w:lang w:val="fr-FR"/>
        </w:rPr>
        <w:br/>
        <w:t>Responsable du contenu et rédacteur d'impression numérique</w:t>
      </w:r>
      <w:r w:rsidRPr="00860ECF">
        <w:rPr>
          <w:rFonts w:ascii="Noto Sans" w:hAnsi="Noto Sans" w:cs="Noto Sans"/>
          <w:szCs w:val="18"/>
          <w:lang w:val="fr-FR"/>
        </w:rPr>
        <w:br/>
        <w:t xml:space="preserve">Domino Printing Sciences </w:t>
      </w:r>
      <w:r w:rsidRPr="00860ECF">
        <w:rPr>
          <w:rFonts w:ascii="Noto Sans" w:hAnsi="Noto Sans" w:cs="Noto Sans"/>
          <w:szCs w:val="18"/>
          <w:lang w:val="fr-FR"/>
        </w:rPr>
        <w:br/>
        <w:t xml:space="preserve">Tél. : +44 (0) </w:t>
      </w:r>
      <w:hyperlink r:id="rId16" w:history="1">
        <w:r w:rsidRPr="00860ECF">
          <w:rPr>
            <w:rFonts w:ascii="Noto Sans" w:hAnsi="Noto Sans" w:cs="Noto Sans"/>
            <w:szCs w:val="18"/>
            <w:lang w:val="fr-FR"/>
          </w:rPr>
          <w:t>1954 782 551</w:t>
        </w:r>
      </w:hyperlink>
      <w:r w:rsidRPr="00860ECF">
        <w:rPr>
          <w:rFonts w:ascii="Noto Sans" w:hAnsi="Noto Sans" w:cs="Noto Sans"/>
          <w:szCs w:val="18"/>
          <w:lang w:val="fr-FR"/>
        </w:rPr>
        <w:br/>
      </w:r>
      <w:hyperlink r:id="rId17" w:history="1">
        <w:r w:rsidRPr="00860ECF">
          <w:rPr>
            <w:rStyle w:val="Hyperlink"/>
            <w:rFonts w:ascii="Noto Sans" w:hAnsi="Noto Sans" w:cs="Noto Sans"/>
            <w:szCs w:val="18"/>
            <w:lang w:val="fr-FR"/>
          </w:rPr>
          <w:t>Kathrin.Farr@domino-uk.com</w:t>
        </w:r>
      </w:hyperlink>
      <w:r w:rsidRPr="00860ECF">
        <w:rPr>
          <w:rFonts w:ascii="Noto Sans" w:hAnsi="Noto Sans" w:cs="Noto Sans"/>
          <w:szCs w:val="18"/>
          <w:lang w:val="fr-FR"/>
        </w:rPr>
        <w:t xml:space="preserve"> </w:t>
      </w:r>
      <w:r w:rsidRPr="00860ECF">
        <w:rPr>
          <w:rFonts w:ascii="Noto Sans" w:hAnsi="Noto Sans" w:cs="Noto Sans"/>
          <w:szCs w:val="18"/>
          <w:lang w:val="fr-FR"/>
        </w:rPr>
        <w:br/>
      </w:r>
      <w:r w:rsidRPr="00860ECF">
        <w:rPr>
          <w:rFonts w:ascii="Noto Sans" w:hAnsi="Noto Sans" w:cs="Noto Sans"/>
          <w:szCs w:val="18"/>
          <w:lang w:val="fr-FR"/>
        </w:rPr>
        <w:br/>
      </w:r>
      <w:r w:rsidR="00CB6991" w:rsidRPr="00CB6991">
        <w:rPr>
          <w:rFonts w:ascii="Noto Sans" w:hAnsi="Noto Sans" w:cs="Noto Sans"/>
          <w:szCs w:val="18"/>
          <w:lang w:val="fr-FR"/>
        </w:rPr>
        <w:t xml:space="preserve">Jade Taylor-Salazar </w:t>
      </w:r>
      <w:r w:rsidRPr="00860ECF">
        <w:rPr>
          <w:rFonts w:ascii="Noto Sans" w:hAnsi="Noto Sans" w:cs="Noto Sans"/>
          <w:szCs w:val="18"/>
          <w:lang w:val="fr-FR"/>
        </w:rPr>
        <w:br/>
        <w:t xml:space="preserve">Responsable des relations publiques </w:t>
      </w:r>
      <w:r w:rsidRPr="00860ECF">
        <w:rPr>
          <w:rFonts w:ascii="Noto Sans" w:hAnsi="Noto Sans" w:cs="Noto Sans"/>
          <w:szCs w:val="18"/>
          <w:lang w:val="fr-FR"/>
        </w:rPr>
        <w:br/>
      </w:r>
      <w:r w:rsidR="00CB6991" w:rsidRPr="00CB6991">
        <w:rPr>
          <w:rFonts w:ascii="Noto Sans" w:hAnsi="Noto Sans" w:cs="Noto Sans"/>
          <w:szCs w:val="18"/>
          <w:lang w:val="fr-FR"/>
        </w:rPr>
        <w:t xml:space="preserve">Domino Printing Sciences </w:t>
      </w:r>
      <w:r w:rsidR="00CB6991" w:rsidRPr="00CB6991">
        <w:rPr>
          <w:rFonts w:ascii="Noto Sans" w:hAnsi="Noto Sans" w:cs="Noto Sans"/>
          <w:szCs w:val="18"/>
          <w:lang w:val="fr-FR"/>
        </w:rPr>
        <w:br/>
      </w:r>
      <w:r w:rsidR="00CB6991" w:rsidRPr="00860ECF">
        <w:rPr>
          <w:rFonts w:ascii="Noto Sans" w:hAnsi="Noto Sans" w:cs="Noto Sans"/>
          <w:szCs w:val="18"/>
          <w:lang w:val="fr-FR"/>
        </w:rPr>
        <w:t>Tél</w:t>
      </w:r>
      <w:r w:rsidR="00CB6991">
        <w:rPr>
          <w:rFonts w:ascii="Noto Sans" w:hAnsi="Noto Sans" w:cs="Noto Sans"/>
          <w:szCs w:val="18"/>
          <w:lang w:val="fr-FR"/>
        </w:rPr>
        <w:t xml:space="preserve">. </w:t>
      </w:r>
      <w:r w:rsidR="00CB6991" w:rsidRPr="00CB6991">
        <w:rPr>
          <w:rFonts w:ascii="Noto Sans" w:hAnsi="Noto Sans" w:cs="Noto Sans"/>
          <w:szCs w:val="18"/>
          <w:lang w:val="fr-FR"/>
        </w:rPr>
        <w:t>: +44 (0) 1954 778780</w:t>
      </w:r>
      <w:r w:rsidR="00CB6991" w:rsidRPr="00CB6991">
        <w:rPr>
          <w:rFonts w:ascii="Noto Sans" w:hAnsi="Noto Sans" w:cs="Noto Sans"/>
          <w:szCs w:val="18"/>
          <w:lang w:val="fr-FR"/>
        </w:rPr>
        <w:br/>
      </w:r>
      <w:hyperlink r:id="rId18" w:history="1">
        <w:r w:rsidR="00CB6991" w:rsidRPr="00CB6991">
          <w:rPr>
            <w:rStyle w:val="Hyperlink"/>
            <w:rFonts w:ascii="Noto Sans" w:hAnsi="Noto Sans" w:cs="Noto Sans"/>
            <w:szCs w:val="18"/>
            <w:lang w:val="fr-FR"/>
          </w:rPr>
          <w:t>Jade.Taylor-Salazar@domino-uk.com</w:t>
        </w:r>
      </w:hyperlink>
    </w:p>
    <w:sectPr w:rsidR="003A1909" w:rsidRPr="00860ECF" w:rsidSect="000F6D00">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035B1" w14:textId="77777777" w:rsidR="000C72A3" w:rsidRDefault="000C72A3" w:rsidP="00785717">
      <w:pPr>
        <w:spacing w:line="240" w:lineRule="auto"/>
      </w:pPr>
      <w:r>
        <w:separator/>
      </w:r>
    </w:p>
  </w:endnote>
  <w:endnote w:type="continuationSeparator" w:id="0">
    <w:p w14:paraId="093DCFB0" w14:textId="77777777" w:rsidR="000C72A3" w:rsidRDefault="000C72A3"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Nirmala UI"/>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64E9"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58455" w14:textId="77777777" w:rsidR="00785717" w:rsidRDefault="000F6D00" w:rsidP="00785717">
    <w:pPr>
      <w:pStyle w:val="Footer"/>
    </w:pPr>
    <w:r>
      <w:rPr>
        <w:noProof/>
      </w:rPr>
      <w:drawing>
        <wp:anchor distT="0" distB="0" distL="114300" distR="114300" simplePos="0" relativeHeight="251659264" behindDoc="0" locked="0" layoutInCell="1" allowOverlap="1" wp14:anchorId="16E66F78" wp14:editId="214F1CBF">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730E902B" wp14:editId="10BDB816">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0B02"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7E134" w14:textId="77777777" w:rsidR="000C72A3" w:rsidRDefault="000C72A3" w:rsidP="00785717">
      <w:pPr>
        <w:spacing w:line="240" w:lineRule="auto"/>
      </w:pPr>
      <w:r>
        <w:separator/>
      </w:r>
    </w:p>
  </w:footnote>
  <w:footnote w:type="continuationSeparator" w:id="0">
    <w:p w14:paraId="6784C19C" w14:textId="77777777" w:rsidR="000C72A3" w:rsidRDefault="000C72A3"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D9DD"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3B99" w14:textId="77777777" w:rsidR="000F6D00" w:rsidRDefault="002766D9">
    <w:pPr>
      <w:pStyle w:val="Header"/>
    </w:pPr>
    <w:r>
      <w:rPr>
        <w:noProof/>
      </w:rPr>
      <w:drawing>
        <wp:anchor distT="0" distB="0" distL="114300" distR="114300" simplePos="0" relativeHeight="251661312" behindDoc="0" locked="0" layoutInCell="1" allowOverlap="1" wp14:anchorId="5164AC61" wp14:editId="1E35F436">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33F34"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F96"/>
    <w:rsid w:val="0002201E"/>
    <w:rsid w:val="000754FF"/>
    <w:rsid w:val="000C72A3"/>
    <w:rsid w:val="000E3080"/>
    <w:rsid w:val="000F6D00"/>
    <w:rsid w:val="001D743C"/>
    <w:rsid w:val="002202E3"/>
    <w:rsid w:val="00240801"/>
    <w:rsid w:val="002766D9"/>
    <w:rsid w:val="002C49F3"/>
    <w:rsid w:val="00357D2C"/>
    <w:rsid w:val="00372E92"/>
    <w:rsid w:val="003A1909"/>
    <w:rsid w:val="003E5E49"/>
    <w:rsid w:val="004F2A40"/>
    <w:rsid w:val="005272B1"/>
    <w:rsid w:val="005524DB"/>
    <w:rsid w:val="005741C7"/>
    <w:rsid w:val="005E6C45"/>
    <w:rsid w:val="00647055"/>
    <w:rsid w:val="00660F46"/>
    <w:rsid w:val="00785717"/>
    <w:rsid w:val="00791A4F"/>
    <w:rsid w:val="008220B7"/>
    <w:rsid w:val="00823B77"/>
    <w:rsid w:val="00866525"/>
    <w:rsid w:val="008916A8"/>
    <w:rsid w:val="008B6461"/>
    <w:rsid w:val="008E5E0C"/>
    <w:rsid w:val="008F3E38"/>
    <w:rsid w:val="00931996"/>
    <w:rsid w:val="009A1716"/>
    <w:rsid w:val="009A1DEC"/>
    <w:rsid w:val="009B3F01"/>
    <w:rsid w:val="009D6280"/>
    <w:rsid w:val="009F0D5A"/>
    <w:rsid w:val="00A34918"/>
    <w:rsid w:val="00A5713B"/>
    <w:rsid w:val="00AB11DA"/>
    <w:rsid w:val="00B23C3C"/>
    <w:rsid w:val="00B546C5"/>
    <w:rsid w:val="00B7088D"/>
    <w:rsid w:val="00BA55AD"/>
    <w:rsid w:val="00BC7C15"/>
    <w:rsid w:val="00BD57F7"/>
    <w:rsid w:val="00C063FE"/>
    <w:rsid w:val="00C44603"/>
    <w:rsid w:val="00C541FE"/>
    <w:rsid w:val="00CB6991"/>
    <w:rsid w:val="00CD2F96"/>
    <w:rsid w:val="00CF1AD5"/>
    <w:rsid w:val="00D66051"/>
    <w:rsid w:val="00D71CD4"/>
    <w:rsid w:val="00E03029"/>
    <w:rsid w:val="00EC1C5A"/>
    <w:rsid w:val="00F82F7D"/>
    <w:rsid w:val="00FB5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89CA0"/>
  <w15:chartTrackingRefBased/>
  <w15:docId w15:val="{8497E254-9FBC-4B92-8702-902AF65A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ckaging-gateway.com/news/eu-ppwr-regulation-schedule/" TargetMode="External"/><Relationship Id="rId13" Type="http://schemas.openxmlformats.org/officeDocument/2006/relationships/hyperlink" Target="https://www.domino-printing.com/fr-fr/blog/2026/dp-impression-de-codes-qr-gs1?utm_medium=non-paid&amp;utm_source=onlinepublication&amp;utm_content=pr-dp-ppwr-check&amp;utm_campaign=2026-int-fr-Global-PR-DP-FY26-Q2" TargetMode="External"/><Relationship Id="rId18" Type="http://schemas.openxmlformats.org/officeDocument/2006/relationships/hyperlink" Target="mailto:Jade.Taylor-Salazar@domino-uk.com"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www.packaginginsights.com/news/coca-cola-mcdonalds-ppwr-delay.html" TargetMode="External"/><Relationship Id="rId12" Type="http://schemas.openxmlformats.org/officeDocument/2006/relationships/hyperlink" Target="https://www.packagingnews.co.uk/news/environment/data-shows-many-packaging-producers-still-struggling-with-recyclability-13-07-2026" TargetMode="External"/><Relationship Id="rId17" Type="http://schemas.openxmlformats.org/officeDocument/2006/relationships/hyperlink" Target="mailto:Kathrin.Farr@domino-uk.com"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tel:+44%20(0)1954%20782%20551"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environment.ec.europa.eu/topics/waste-and-recycling/packaging-waste/packaging-packaging-waste-regulation_en" TargetMode="External"/><Relationship Id="rId11" Type="http://schemas.openxmlformats.org/officeDocument/2006/relationships/hyperlink" Target="https://thepackhub.com/innovation-news/leclerc-replaces-cardboard-with-compact-plastic-film-in-biscuit-packaging/" TargetMode="External"/><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www.domino-printing.com" TargetMode="External"/><Relationship Id="rId23" Type="http://schemas.openxmlformats.org/officeDocument/2006/relationships/header" Target="header3.xml"/><Relationship Id="rId10" Type="http://schemas.openxmlformats.org/officeDocument/2006/relationships/hyperlink" Target="https://www.groupe-bel.com/en/newsroom/press-releases/bel-announces-global-rollout-of-babybels-paper-packaging/"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mckinsey.com/industries/packaging-and-paper/our-insights/sustainability-in-packaging-2025-inside-the-minds-of-global-consumers" TargetMode="External"/><Relationship Id="rId14" Type="http://schemas.openxmlformats.org/officeDocument/2006/relationships/hyperlink" Target="https://www.domino-printing.com/fr-fr/home.aspx?utm_medium=non-paid&amp;utm_source=onlinepublication&amp;utm_content=pr-dp-ppwr-check&amp;utm_campaign=2026-int-fr-Global-PR-DP-FY26-Q2"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2164</Words>
  <Characters>12340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5</cp:revision>
  <dcterms:created xsi:type="dcterms:W3CDTF">2026-08-06T10:02:00Z</dcterms:created>
  <dcterms:modified xsi:type="dcterms:W3CDTF">2026-08-06T11:16:00Z</dcterms:modified>
</cp:coreProperties>
</file>