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16948D" w14:textId="77777777" w:rsidR="003C574C" w:rsidRPr="003C574C" w:rsidRDefault="003C574C" w:rsidP="003C574C">
      <w:pPr>
        <w:spacing w:after="160" w:line="240" w:lineRule="auto"/>
        <w:jc w:val="both"/>
        <w:rPr>
          <w:rFonts w:ascii="Noto Sans" w:hAnsi="Noto Sans" w:cs="Noto Sans"/>
          <w:b/>
          <w:bCs/>
          <w:color w:val="1C1C1C"/>
          <w:sz w:val="28"/>
          <w:szCs w:val="28"/>
          <w:shd w:val="clear" w:color="auto" w:fill="FFFFFF"/>
          <w:lang w:val="es-ES"/>
        </w:rPr>
      </w:pPr>
      <w:r w:rsidRPr="003C574C">
        <w:rPr>
          <w:rFonts w:ascii="Noto Sans" w:hAnsi="Noto Sans" w:cs="Noto Sans"/>
          <w:b/>
          <w:bCs/>
          <w:color w:val="1C1C1C"/>
          <w:sz w:val="28"/>
          <w:szCs w:val="28"/>
          <w:shd w:val="clear" w:color="auto" w:fill="FFFFFF"/>
          <w:lang w:val="es-ES"/>
        </w:rPr>
        <w:t>PPWR, impresión de envases y reciclabilidad: un análisis objetivo</w:t>
      </w:r>
    </w:p>
    <w:p w14:paraId="7C4D95D9" w14:textId="77777777" w:rsidR="003C574C" w:rsidRPr="003C574C" w:rsidRDefault="003C574C" w:rsidP="003C574C">
      <w:pPr>
        <w:spacing w:after="160" w:line="240" w:lineRule="auto"/>
        <w:jc w:val="both"/>
        <w:rPr>
          <w:rFonts w:ascii="Noto Sans" w:hAnsi="Noto Sans" w:cs="Noto Sans"/>
          <w:i/>
          <w:iCs/>
          <w:sz w:val="22"/>
          <w:lang w:val="es-ES"/>
        </w:rPr>
      </w:pPr>
      <w:r w:rsidRPr="003C574C">
        <w:rPr>
          <w:rFonts w:ascii="Noto Sans" w:hAnsi="Noto Sans" w:cs="Noto Sans"/>
          <w:i/>
          <w:iCs/>
          <w:sz w:val="22"/>
          <w:lang w:val="es-ES"/>
        </w:rPr>
        <w:t>El Reglamento de Envases y Residuos de Envases (</w:t>
      </w:r>
      <w:hyperlink r:id="rId6" w:history="1">
        <w:r w:rsidRPr="003C574C">
          <w:rPr>
            <w:rFonts w:ascii="Noto Sans" w:hAnsi="Noto Sans" w:cs="Noto Sans"/>
            <w:i/>
            <w:iCs/>
            <w:color w:val="0000FF"/>
            <w:sz w:val="22"/>
            <w:u w:val="single"/>
            <w:lang w:val="es-ES"/>
          </w:rPr>
          <w:t>PPWR</w:t>
        </w:r>
      </w:hyperlink>
      <w:r w:rsidRPr="003C574C">
        <w:rPr>
          <w:rFonts w:ascii="Noto Sans" w:hAnsi="Noto Sans" w:cs="Noto Sans"/>
          <w:i/>
          <w:iCs/>
          <w:sz w:val="22"/>
          <w:lang w:val="es-ES"/>
        </w:rPr>
        <w:t>) de UE va a transformar los requisitos en materia de envases, exigiendo su minimización, así como su reutilización y reciclaje a gran escala. Hasta ahora, muchas marcas han centrado sus esfuerzos de cumplimiento del PPWR en satisfacer los requisitos básicos para el plazo de agosto de 2026: minimizar los envases, reducir las sustancias peligrosas, añadir números de lote o de serie rastreables y crear declaraciones de conformidad para cada tipo de envase.</w:t>
      </w:r>
    </w:p>
    <w:p w14:paraId="477AA19D" w14:textId="77777777" w:rsidR="003C574C" w:rsidRPr="003C574C" w:rsidRDefault="003C574C" w:rsidP="003C574C">
      <w:pPr>
        <w:spacing w:after="160" w:line="240" w:lineRule="auto"/>
        <w:jc w:val="both"/>
        <w:rPr>
          <w:rFonts w:ascii="Noto Sans" w:hAnsi="Noto Sans" w:cs="Noto Sans"/>
          <w:i/>
          <w:iCs/>
          <w:sz w:val="22"/>
          <w:lang w:val="es-ES"/>
        </w:rPr>
      </w:pPr>
      <w:r w:rsidRPr="003C574C">
        <w:rPr>
          <w:rFonts w:ascii="Noto Sans" w:hAnsi="Noto Sans" w:cs="Noto Sans"/>
          <w:i/>
          <w:iCs/>
          <w:sz w:val="22"/>
          <w:lang w:val="es-ES"/>
        </w:rPr>
        <w:t xml:space="preserve">De cara a 2030, los requisitos se amplían aún más, y el foco pasa a centrarse en los materiales de envasado, eliminando aquellos componentes que puedan interferir en los procesos de reciclaje, con el fin de maximizar la reciclabilidad de los envases. Sin embargo, muchos aspectos del PPWR aún no están definidos, y todavía no se ha implementado la infraestructura de reciclaje necesaria. A pesar de las peticiones para </w:t>
      </w:r>
      <w:hyperlink r:id="rId7" w:history="1">
        <w:r w:rsidRPr="003C574C">
          <w:rPr>
            <w:rFonts w:ascii="Noto Sans" w:hAnsi="Noto Sans" w:cs="Noto Sans"/>
            <w:i/>
            <w:iCs/>
            <w:color w:val="0000FF"/>
            <w:sz w:val="22"/>
            <w:u w:val="single"/>
            <w:lang w:val="es-ES"/>
          </w:rPr>
          <w:t>retrasar el plazo</w:t>
        </w:r>
      </w:hyperlink>
      <w:r w:rsidRPr="003C574C">
        <w:rPr>
          <w:rFonts w:ascii="Noto Sans" w:hAnsi="Noto Sans" w:cs="Noto Sans"/>
          <w:i/>
          <w:iCs/>
          <w:sz w:val="22"/>
          <w:lang w:val="es-ES"/>
        </w:rPr>
        <w:t xml:space="preserve"> y de las demandas de </w:t>
      </w:r>
      <w:hyperlink r:id="rId8" w:history="1">
        <w:r w:rsidRPr="003C574C">
          <w:rPr>
            <w:rFonts w:ascii="Noto Sans" w:hAnsi="Noto Sans" w:cs="Noto Sans"/>
            <w:i/>
            <w:iCs/>
            <w:color w:val="0000FF"/>
            <w:sz w:val="22"/>
            <w:u w:val="single"/>
            <w:lang w:val="es-ES"/>
          </w:rPr>
          <w:t>legislación secundaria</w:t>
        </w:r>
      </w:hyperlink>
      <w:r w:rsidRPr="003C574C">
        <w:rPr>
          <w:rFonts w:ascii="Noto Sans" w:hAnsi="Noto Sans" w:cs="Noto Sans"/>
          <w:i/>
          <w:iCs/>
          <w:sz w:val="22"/>
          <w:lang w:val="es-ES"/>
        </w:rPr>
        <w:t xml:space="preserve"> que reflejan las inquietudes del sector, las marcas deben empezar a planificar desde ya.</w:t>
      </w:r>
    </w:p>
    <w:p w14:paraId="4696E092" w14:textId="77777777" w:rsidR="003C574C" w:rsidRPr="003C574C" w:rsidRDefault="003C574C" w:rsidP="003C574C">
      <w:pPr>
        <w:tabs>
          <w:tab w:val="num" w:pos="720"/>
        </w:tabs>
        <w:spacing w:after="160" w:line="240" w:lineRule="auto"/>
        <w:jc w:val="both"/>
        <w:rPr>
          <w:rFonts w:ascii="Noto Sans" w:hAnsi="Noto Sans" w:cs="Noto Sans"/>
          <w:i/>
          <w:iCs/>
          <w:sz w:val="22"/>
          <w:lang w:val="es-ES"/>
        </w:rPr>
      </w:pPr>
      <w:r w:rsidRPr="003C574C">
        <w:rPr>
          <w:rFonts w:ascii="Noto Sans" w:hAnsi="Noto Sans" w:cs="Noto Sans"/>
          <w:i/>
          <w:iCs/>
          <w:sz w:val="22"/>
          <w:lang w:val="es-ES"/>
        </w:rPr>
        <w:t xml:space="preserve">Natasha Jeremic, Head </w:t>
      </w:r>
      <w:proofErr w:type="spellStart"/>
      <w:r w:rsidRPr="003C574C">
        <w:rPr>
          <w:rFonts w:ascii="Noto Sans" w:hAnsi="Noto Sans" w:cs="Noto Sans"/>
          <w:i/>
          <w:iCs/>
          <w:sz w:val="22"/>
          <w:lang w:val="es-ES"/>
        </w:rPr>
        <w:t>of</w:t>
      </w:r>
      <w:proofErr w:type="spellEnd"/>
      <w:r w:rsidRPr="003C574C">
        <w:rPr>
          <w:rFonts w:ascii="Noto Sans" w:hAnsi="Noto Sans" w:cs="Noto Sans"/>
          <w:i/>
          <w:iCs/>
          <w:sz w:val="22"/>
          <w:lang w:val="es-ES"/>
        </w:rPr>
        <w:t xml:space="preserve"> </w:t>
      </w:r>
      <w:proofErr w:type="spellStart"/>
      <w:r w:rsidRPr="003C574C">
        <w:rPr>
          <w:rFonts w:ascii="Noto Sans" w:hAnsi="Noto Sans" w:cs="Noto Sans"/>
          <w:i/>
          <w:iCs/>
          <w:sz w:val="22"/>
          <w:lang w:val="es-ES"/>
        </w:rPr>
        <w:t>Piezo</w:t>
      </w:r>
      <w:proofErr w:type="spellEnd"/>
      <w:r w:rsidRPr="003C574C">
        <w:rPr>
          <w:rFonts w:ascii="Noto Sans" w:hAnsi="Noto Sans" w:cs="Noto Sans"/>
          <w:i/>
          <w:iCs/>
          <w:sz w:val="22"/>
          <w:lang w:val="es-ES"/>
        </w:rPr>
        <w:t xml:space="preserve"> Inks en Domino Printing </w:t>
      </w:r>
      <w:proofErr w:type="spellStart"/>
      <w:r w:rsidRPr="003C574C">
        <w:rPr>
          <w:rFonts w:ascii="Noto Sans" w:hAnsi="Noto Sans" w:cs="Noto Sans"/>
          <w:i/>
          <w:iCs/>
          <w:sz w:val="22"/>
          <w:lang w:val="es-ES"/>
        </w:rPr>
        <w:t>Sciences</w:t>
      </w:r>
      <w:proofErr w:type="spellEnd"/>
      <w:r w:rsidRPr="003C574C">
        <w:rPr>
          <w:rFonts w:ascii="Noto Sans" w:hAnsi="Noto Sans" w:cs="Noto Sans"/>
          <w:i/>
          <w:iCs/>
          <w:sz w:val="22"/>
          <w:lang w:val="es-ES"/>
        </w:rPr>
        <w:t>, analiza la realidad comercial que afrontan los proveedores de envases y el papel fundamental que desempeñan los convertidores a la hora de impulsar una colaboración centrada en la sostenibilidad.</w:t>
      </w:r>
    </w:p>
    <w:p w14:paraId="25322765" w14:textId="77777777" w:rsidR="003C574C" w:rsidRPr="003C574C" w:rsidRDefault="003C574C" w:rsidP="003C574C">
      <w:pPr>
        <w:spacing w:after="160" w:line="240" w:lineRule="auto"/>
        <w:jc w:val="both"/>
        <w:rPr>
          <w:rFonts w:ascii="Noto Sans" w:hAnsi="Noto Sans" w:cs="Noto Sans"/>
          <w:b/>
          <w:bCs/>
          <w:sz w:val="22"/>
          <w:lang w:val="es-ES"/>
        </w:rPr>
      </w:pPr>
      <w:r w:rsidRPr="003C574C">
        <w:rPr>
          <w:rFonts w:ascii="Noto Sans" w:hAnsi="Noto Sans" w:cs="Noto Sans"/>
          <w:b/>
          <w:bCs/>
          <w:sz w:val="22"/>
          <w:lang w:val="es-ES"/>
        </w:rPr>
        <w:t>Regulación frente a preparación</w:t>
      </w:r>
    </w:p>
    <w:p w14:paraId="101E05D1"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 xml:space="preserve">Aunque el interés de los consumidores por el </w:t>
      </w:r>
      <w:hyperlink r:id="rId9" w:history="1">
        <w:r w:rsidRPr="003C574C">
          <w:rPr>
            <w:rFonts w:ascii="Noto Sans" w:hAnsi="Noto Sans" w:cs="Noto Sans"/>
            <w:color w:val="0000FF"/>
            <w:sz w:val="22"/>
            <w:u w:val="single"/>
            <w:lang w:val="es-ES"/>
          </w:rPr>
          <w:t>impacto medioambiental de los envases</w:t>
        </w:r>
      </w:hyperlink>
      <w:r w:rsidRPr="003C574C">
        <w:rPr>
          <w:rFonts w:ascii="Noto Sans" w:hAnsi="Noto Sans" w:cs="Noto Sans"/>
          <w:sz w:val="22"/>
          <w:lang w:val="es-ES"/>
        </w:rPr>
        <w:t xml:space="preserve"> está disminuyendo, las exigencias normativas están obligando a las marcas a alejarse de los enfoques tradicionales en el desarrollo y la producción de envases y etiquetas. Las prioridades de siempre, como los volúmenes de pedidos, la calidad de impresión y el coste, ahora deben equilibrarse con los requisitos del PPWR relativos tanto a la reciclabilidad de los envases como al contenido mínimo de material reciclado.</w:t>
      </w:r>
    </w:p>
    <w:p w14:paraId="6AD1D846"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 xml:space="preserve">Sin embargo, aunque se han establecido objetivos progresivos del PPWR para 2030 y años posteriores, el sector tiene dudas sobre la falta de un marco de apoyo. Las definiciones clave sobre reciclabilidad, los grados de material reciclado y las metodologías de prueba relacionadas siguen sin estar claras o completas. También hay falta de claridad sobre cómo se evaluará el cumplimiento a largo plazo. </w:t>
      </w:r>
    </w:p>
    <w:p w14:paraId="0F62DBDC"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 xml:space="preserve">El resultado no es solo una percepción fragmentada de la sostenibilidad de los envases, sino también un enfoque aislado en el desarrollo de productos sostenibles. Los proveedores de tinta, adhesivos y materiales están evaluando sus propias carteras de productos de forma aislada, sin tener en cuenta el impacto en el conjunto del packaging. Como resultado, aunque los componentes individuales puedan considerarse conformes con el PPWR y técnicamente reciclables, el packaging combinado podría seguir sin superar las evaluaciones de reciclabilidad si no es reciclable a gran escala. </w:t>
      </w:r>
    </w:p>
    <w:p w14:paraId="5E994616" w14:textId="77777777" w:rsidR="003C574C" w:rsidRPr="003C574C" w:rsidRDefault="003C574C" w:rsidP="003C574C">
      <w:pPr>
        <w:spacing w:after="160" w:line="240" w:lineRule="auto"/>
        <w:jc w:val="both"/>
        <w:rPr>
          <w:rFonts w:ascii="Noto Sans" w:hAnsi="Noto Sans" w:cs="Noto Sans"/>
          <w:b/>
          <w:bCs/>
          <w:sz w:val="22"/>
          <w:lang w:val="es-ES"/>
        </w:rPr>
      </w:pPr>
      <w:r w:rsidRPr="003C574C">
        <w:rPr>
          <w:rFonts w:ascii="Noto Sans" w:hAnsi="Noto Sans" w:cs="Noto Sans"/>
          <w:b/>
          <w:bCs/>
          <w:sz w:val="22"/>
          <w:lang w:val="es-ES"/>
        </w:rPr>
        <w:t>Sostenibilidad medioambiental frente a impacto en el ciclo de vida completo</w:t>
      </w:r>
    </w:p>
    <w:p w14:paraId="3922988D"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lastRenderedPageBreak/>
        <w:t xml:space="preserve">Como es lógico, las marcas ya han realizado cambios importantes en su estrategia de packaging para cumplir con el plazo del PPWR de agosto de 2026. La cantidad de envases se ha minimizado, se han eliminado las sustancias peligrosas y se ha añadido trazabilidad. Sin embargo, el fuerte énfasis que ponen los requisitos del PPWR de 2030 en la reciclabilidad de los envases plantea dudas sobre si la percepción de sostenibilidad medioambiental se basa realmente en las capacidades actuales de reciclaje, en lugar de tener en cuenta el impacto medioambiental del ciclo de vida completo. </w:t>
      </w:r>
    </w:p>
    <w:p w14:paraId="7F433BE6"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 xml:space="preserve">La ambigüedad está llevando a las marcas a adoptar diferentes enfoques en el diseño de packaging y la elección de materiales. </w:t>
      </w:r>
      <w:hyperlink r:id="rId10" w:history="1">
        <w:proofErr w:type="spellStart"/>
        <w:r w:rsidRPr="003C574C">
          <w:rPr>
            <w:rFonts w:ascii="Noto Sans" w:hAnsi="Noto Sans" w:cs="Noto Sans"/>
            <w:color w:val="0000FF"/>
            <w:sz w:val="22"/>
            <w:u w:val="single"/>
            <w:lang w:val="es-ES"/>
          </w:rPr>
          <w:t>Babybel</w:t>
        </w:r>
        <w:proofErr w:type="spellEnd"/>
      </w:hyperlink>
      <w:r w:rsidRPr="003C574C">
        <w:rPr>
          <w:rFonts w:ascii="Noto Sans" w:hAnsi="Noto Sans" w:cs="Noto Sans"/>
          <w:sz w:val="22"/>
          <w:lang w:val="es-ES"/>
        </w:rPr>
        <w:t xml:space="preserve">, por ejemplo, ha cambiado a envases de papel siempre que es posible, una solución sencilla en términos de reciclabilidad. Los consumidores lo consideran una opción más sostenible y evita las normas más complejas y cambiantes que se imponen a los envases de plástico. En cambio, el fabricante canadiense de galletas </w:t>
      </w:r>
      <w:hyperlink r:id="rId11" w:history="1">
        <w:r w:rsidRPr="003C574C">
          <w:rPr>
            <w:rFonts w:ascii="Noto Sans" w:hAnsi="Noto Sans" w:cs="Noto Sans"/>
            <w:color w:val="0000FF"/>
            <w:sz w:val="22"/>
            <w:u w:val="single"/>
            <w:lang w:val="es-ES"/>
          </w:rPr>
          <w:t>Leclerc</w:t>
        </w:r>
      </w:hyperlink>
      <w:r w:rsidRPr="003C574C">
        <w:rPr>
          <w:rFonts w:ascii="Noto Sans" w:hAnsi="Noto Sans" w:cs="Noto Sans"/>
          <w:sz w:val="22"/>
          <w:lang w:val="es-ES"/>
        </w:rPr>
        <w:t xml:space="preserve"> cambió del cartón a un </w:t>
      </w:r>
      <w:proofErr w:type="gramStart"/>
      <w:r w:rsidRPr="003C574C">
        <w:rPr>
          <w:rFonts w:ascii="Noto Sans" w:hAnsi="Noto Sans" w:cs="Noto Sans"/>
          <w:sz w:val="22"/>
          <w:lang w:val="es-ES"/>
        </w:rPr>
        <w:t>film</w:t>
      </w:r>
      <w:proofErr w:type="gramEnd"/>
      <w:r w:rsidRPr="003C574C">
        <w:rPr>
          <w:rFonts w:ascii="Noto Sans" w:hAnsi="Noto Sans" w:cs="Noto Sans"/>
          <w:sz w:val="22"/>
          <w:lang w:val="es-ES"/>
        </w:rPr>
        <w:t xml:space="preserve"> de plástico ligero, basándose en un análisis del ciclo de vida que mostraba reducciones en las emisiones de transporte y en el uso general de materiales.</w:t>
      </w:r>
    </w:p>
    <w:p w14:paraId="515DEF39"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Las marcas también deben tener en cuenta las variaciones nacionales en las tarifas de la Responsabilidad Extendida del Productor (EPR) a la hora de tomar decisiones sobre los envases. Una encuesta reciente del Departamento de Medio Ambiente, Alimentación y Asuntos Rurales del Reino Unido (</w:t>
      </w:r>
      <w:proofErr w:type="spellStart"/>
      <w:r w:rsidRPr="003C574C">
        <w:rPr>
          <w:rFonts w:ascii="Noto Sans" w:hAnsi="Noto Sans" w:cs="Noto Sans"/>
          <w:sz w:val="22"/>
          <w:lang w:val="es-ES"/>
        </w:rPr>
        <w:t>Defra</w:t>
      </w:r>
      <w:proofErr w:type="spellEnd"/>
      <w:r w:rsidRPr="003C574C">
        <w:rPr>
          <w:rFonts w:ascii="Noto Sans" w:hAnsi="Noto Sans" w:cs="Noto Sans"/>
          <w:sz w:val="22"/>
          <w:lang w:val="es-ES"/>
        </w:rPr>
        <w:t xml:space="preserve">) pone de relieve grandes diferencias entre proveedores: solo el </w:t>
      </w:r>
      <w:hyperlink r:id="rId12" w:history="1">
        <w:r w:rsidRPr="003C574C">
          <w:rPr>
            <w:rFonts w:ascii="Noto Sans" w:hAnsi="Noto Sans" w:cs="Noto Sans"/>
            <w:color w:val="0000FF"/>
            <w:sz w:val="22"/>
            <w:u w:val="single"/>
            <w:lang w:val="es-ES"/>
          </w:rPr>
          <w:t>10% de los productores de envases del Reino Unido</w:t>
        </w:r>
      </w:hyperlink>
      <w:r w:rsidRPr="003C574C">
        <w:rPr>
          <w:rFonts w:ascii="Noto Sans" w:hAnsi="Noto Sans" w:cs="Noto Sans"/>
          <w:sz w:val="22"/>
          <w:lang w:val="es-ES"/>
        </w:rPr>
        <w:t xml:space="preserve"> ha realizado una transición completa hacia envases ampliamente reciclables, mientras que el 14% todavía suministra exclusivamente envases que presentan grandes dificultades de reciclaje. </w:t>
      </w:r>
    </w:p>
    <w:p w14:paraId="1BAF438A" w14:textId="77777777" w:rsidR="003C574C" w:rsidRPr="003C574C" w:rsidRDefault="003C574C" w:rsidP="003C574C">
      <w:pPr>
        <w:spacing w:after="160" w:line="240" w:lineRule="auto"/>
        <w:jc w:val="both"/>
        <w:rPr>
          <w:rFonts w:ascii="Noto Sans" w:hAnsi="Noto Sans" w:cs="Noto Sans"/>
          <w:b/>
          <w:bCs/>
          <w:sz w:val="22"/>
          <w:lang w:val="es-ES"/>
        </w:rPr>
      </w:pPr>
      <w:r w:rsidRPr="003C574C">
        <w:rPr>
          <w:rFonts w:ascii="Noto Sans" w:hAnsi="Noto Sans" w:cs="Noto Sans"/>
          <w:b/>
          <w:bCs/>
          <w:sz w:val="22"/>
          <w:lang w:val="es-ES"/>
        </w:rPr>
        <w:t>La realidad comercial para los proveedores de envases</w:t>
      </w:r>
    </w:p>
    <w:p w14:paraId="2DBEB2D7"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 xml:space="preserve">Existe una necesidad urgente de colaboración a lo largo de toda la cadena de suministro para abordar esta situación y ofrecer a las marcas información fiable sobre los envases. Las pruebas y la validación compartidas serán la base de las estrategias de diseño de envases que reflejen no solo los requisitos normativos, sino también las capacidades de los sistemas de reciclaje actuales. </w:t>
      </w:r>
    </w:p>
    <w:p w14:paraId="07DFB44E"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 xml:space="preserve">Los convertidores tienen un papel claro a la hora de facilitar la colaboración entre proveedores y ayudar a las marcas a afrontar este periodo de incertidumbre y cambio. Pueden aclarar los pros y los contras de los materiales reciclados en evolución. Por ejemplo, los materiales de envasado reciclados de alta calidad suelen ser más caros y pueden presentar desafíos de impresión en términos de adhesión de la tinta y velocidad de impresión, lo que puede aumentar los residuos y reducir la eficiencia y la productividad. </w:t>
      </w:r>
    </w:p>
    <w:p w14:paraId="2C14D1C7"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 xml:space="preserve">La colaboración con los proveedores de impresoras, tintas y materiales, así como compartir pruebas e intercambiar datos, será fundamental para generar confianza. Esta </w:t>
      </w:r>
      <w:r w:rsidRPr="003C574C">
        <w:rPr>
          <w:rFonts w:ascii="Noto Sans" w:hAnsi="Noto Sans" w:cs="Noto Sans"/>
          <w:sz w:val="22"/>
          <w:lang w:val="es-ES"/>
        </w:rPr>
        <w:lastRenderedPageBreak/>
        <w:t>información permitirá a los proveedores de envases identificar y validar materiales sostenibles que ofrezcan un buen rendimiento de producción e impacto visual para sus clientes de marca. La colaboración también favorecerá el paso de afirmaciones genéricas como "ecológico" o "reciclable" a otras medibles y verificables.</w:t>
      </w:r>
    </w:p>
    <w:p w14:paraId="35C09709" w14:textId="77777777" w:rsidR="003C574C" w:rsidRPr="003C574C" w:rsidRDefault="003C574C" w:rsidP="003C574C">
      <w:pPr>
        <w:spacing w:after="160" w:line="240" w:lineRule="auto"/>
        <w:jc w:val="both"/>
        <w:rPr>
          <w:rFonts w:ascii="Noto Sans" w:hAnsi="Noto Sans" w:cs="Noto Sans"/>
          <w:b/>
          <w:bCs/>
          <w:sz w:val="22"/>
          <w:lang w:val="es-ES"/>
        </w:rPr>
      </w:pPr>
      <w:r w:rsidRPr="003C574C">
        <w:rPr>
          <w:rFonts w:ascii="Noto Sans" w:hAnsi="Noto Sans" w:cs="Noto Sans"/>
          <w:b/>
          <w:bCs/>
          <w:sz w:val="22"/>
          <w:lang w:val="es-ES"/>
        </w:rPr>
        <w:t>Las ventajas de la impresión digital para facilitar esta transición</w:t>
      </w:r>
    </w:p>
    <w:p w14:paraId="386F02A5"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Estos datos compartidos y fiables serán esenciales para respaldar los informes de cumplimiento en un entorno cada vez más regulado. Los convertidores desempeñan un papel fundamental en la consolidación de datos de toda la cadena de valor, proporcionando a las marcas información sobre materiales, contenido reciclado, sustancias preocupantes y rendimiento de reciclabilidad, para respaldar sus declaraciones de conformidad y los informes de EPR.</w:t>
      </w:r>
    </w:p>
    <w:p w14:paraId="15C54DA2"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 xml:space="preserve">La tecnología de impresión digital por </w:t>
      </w:r>
      <w:proofErr w:type="spellStart"/>
      <w:r w:rsidRPr="003C574C">
        <w:rPr>
          <w:rFonts w:ascii="Noto Sans" w:hAnsi="Noto Sans" w:cs="Noto Sans"/>
          <w:sz w:val="22"/>
          <w:lang w:val="es-ES"/>
        </w:rPr>
        <w:t>inkjet</w:t>
      </w:r>
      <w:proofErr w:type="spellEnd"/>
      <w:r w:rsidRPr="003C574C">
        <w:rPr>
          <w:rFonts w:ascii="Noto Sans" w:hAnsi="Noto Sans" w:cs="Noto Sans"/>
          <w:sz w:val="22"/>
          <w:lang w:val="es-ES"/>
        </w:rPr>
        <w:t xml:space="preserve"> puede ser un recurso importante durante esta evolución, ya que permite el uso de </w:t>
      </w:r>
      <w:hyperlink r:id="rId13" w:history="1">
        <w:r w:rsidRPr="003C574C">
          <w:rPr>
            <w:rFonts w:ascii="Noto Sans" w:hAnsi="Noto Sans" w:cs="Noto Sans"/>
            <w:color w:val="0000FF"/>
            <w:sz w:val="22"/>
            <w:u w:val="single"/>
            <w:lang w:val="es-ES"/>
          </w:rPr>
          <w:t>códigos 2D variables impulsados por GS1</w:t>
        </w:r>
      </w:hyperlink>
      <w:r w:rsidRPr="003C574C">
        <w:rPr>
          <w:rFonts w:ascii="Noto Sans" w:hAnsi="Noto Sans" w:cs="Noto Sans"/>
          <w:sz w:val="22"/>
          <w:lang w:val="es-ES"/>
        </w:rPr>
        <w:t>. Además de respaldar la trazabilidad, la monitorización del ciclo de vida en tiempo real y los informes de cumplimiento, los códigos 2D y las plataformas de datos conectadas pueden evolucionar junto con los requisitos de información sobre productos y envases a medida que avancen, en los próximos años, la implementación del PPWR, Sunrise 2027 y las iniciativas del Pasaporte Digital de Producto.</w:t>
      </w:r>
    </w:p>
    <w:p w14:paraId="4D400396"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 xml:space="preserve">Además, la tecnología de impresión digital respalda la agilidad operativa que necesitan las marcas para gestionar diversas exigencias en materia de envases. Esto permite producir de forma eficiente volúmenes más bajos de diseños de envases cambiantes, para mantener el ritmo de los requisitos en constante evolución en materia de información en el envase, como la serialización por lote o por unidad. La tecnología </w:t>
      </w:r>
      <w:proofErr w:type="spellStart"/>
      <w:r w:rsidRPr="003C574C">
        <w:rPr>
          <w:rFonts w:ascii="Noto Sans" w:hAnsi="Noto Sans" w:cs="Noto Sans"/>
          <w:sz w:val="22"/>
          <w:lang w:val="es-ES"/>
        </w:rPr>
        <w:t>inkjet</w:t>
      </w:r>
      <w:proofErr w:type="spellEnd"/>
      <w:r w:rsidRPr="003C574C">
        <w:rPr>
          <w:rFonts w:ascii="Noto Sans" w:hAnsi="Noto Sans" w:cs="Noto Sans"/>
          <w:sz w:val="22"/>
          <w:lang w:val="es-ES"/>
        </w:rPr>
        <w:t xml:space="preserve"> también ofrece un mayor control sobre la aplicación de la tinta, lo que reduce su consumo, y puede disminuir el impacto de la impresión en la reciclabilidad de los envases. Con todo, un enfoque digital ofrece a los convertidores una oferta comercial más flexible. </w:t>
      </w:r>
    </w:p>
    <w:p w14:paraId="2BD67320"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b/>
          <w:bCs/>
          <w:sz w:val="22"/>
          <w:lang w:val="es-ES"/>
        </w:rPr>
        <w:t>Conclusión</w:t>
      </w:r>
    </w:p>
    <w:p w14:paraId="5D0B6019"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 xml:space="preserve">La evolución de la normativa en materia de sostenibilidad está añadiendo una complejidad significativa al diseño de envases y a los materiales utilizados. El sector necesita pasar rápidamente de un enfoque fragmentado a uno basado en una colaboración continua y estrecha entre </w:t>
      </w:r>
      <w:hyperlink r:id="rId14" w:history="1">
        <w:r w:rsidRPr="003C574C">
          <w:rPr>
            <w:rFonts w:ascii="Noto Sans" w:hAnsi="Noto Sans" w:cs="Noto Sans"/>
            <w:color w:val="0000FF"/>
            <w:sz w:val="22"/>
            <w:u w:val="single"/>
            <w:lang w:val="es-ES"/>
          </w:rPr>
          <w:t>proveedores de impresoras</w:t>
        </w:r>
      </w:hyperlink>
      <w:r w:rsidRPr="003C574C">
        <w:rPr>
          <w:rFonts w:ascii="Noto Sans" w:hAnsi="Noto Sans" w:cs="Noto Sans"/>
          <w:sz w:val="22"/>
          <w:lang w:val="es-ES"/>
        </w:rPr>
        <w:t>, materiales, convertidores y marcas. Los responsables de toda la cadena de valor deben colaborar para adaptarse, hacer pruebas y evolucionar, con el fin de cumplir no solo con los requisitos normativos, sino también con la realidad de la infraestructura de reciclaje actual.</w:t>
      </w:r>
    </w:p>
    <w:p w14:paraId="1872983E"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lastRenderedPageBreak/>
        <w:t>Esto representa una oportunidad ideal para que los convertidores profundicen en su conocimiento sobre las combinaciones de materiales y la reciclabilidad, recopilen datos de cumplimiento e inviertan en flexibilidad a través de tecnologías digitales. Las empresas que tomen la delantera en materia de sostenibilidad estarán bien posicionadas para mantenerse competitivas, ya que podrán apoyar a sus clientes de marca en su proceso de cumplimiento normativo.</w:t>
      </w:r>
    </w:p>
    <w:p w14:paraId="7F475158" w14:textId="77777777" w:rsidR="003C574C" w:rsidRPr="003C574C" w:rsidRDefault="003C574C" w:rsidP="003C574C">
      <w:pPr>
        <w:spacing w:after="160" w:line="240" w:lineRule="auto"/>
        <w:jc w:val="both"/>
        <w:rPr>
          <w:rFonts w:ascii="Noto Sans" w:hAnsi="Noto Sans" w:cs="Noto Sans"/>
          <w:sz w:val="22"/>
          <w:lang w:val="es-ES"/>
        </w:rPr>
      </w:pPr>
      <w:r w:rsidRPr="003C574C">
        <w:rPr>
          <w:rFonts w:ascii="Noto Sans" w:hAnsi="Noto Sans" w:cs="Noto Sans"/>
          <w:sz w:val="22"/>
          <w:lang w:val="es-ES"/>
        </w:rPr>
        <w:t>FIN</w:t>
      </w:r>
    </w:p>
    <w:p w14:paraId="17D5B465" w14:textId="04D6C445" w:rsidR="003A1909" w:rsidRPr="00613257" w:rsidRDefault="00D66051" w:rsidP="00613257">
      <w:pPr>
        <w:spacing w:line="240" w:lineRule="auto"/>
        <w:rPr>
          <w:rFonts w:ascii="Noto Sans" w:hAnsi="Noto Sans" w:cs="Noto Sans"/>
          <w:lang w:val="es-ES"/>
        </w:rPr>
      </w:pPr>
      <w:r w:rsidRPr="00613257">
        <w:rPr>
          <w:rFonts w:ascii="Noto Sans" w:eastAsia="Gill Sans" w:hAnsi="Noto Sans" w:cs="Noto Sans"/>
          <w:szCs w:val="18"/>
          <w:lang w:val="es-ES"/>
        </w:rPr>
        <w:br/>
      </w:r>
      <w:bookmarkStart w:id="0" w:name="_Hlk531088985"/>
      <w:r w:rsidR="00613257" w:rsidRPr="005708CC">
        <w:rPr>
          <w:rFonts w:ascii="Noto Sans" w:hAnsi="Noto Sans" w:cs="Noto Sans"/>
          <w:b/>
          <w:bCs/>
          <w:szCs w:val="18"/>
          <w:lang w:val="es"/>
        </w:rPr>
        <w:t>Política de responsabilidad</w:t>
      </w:r>
      <w:r w:rsidR="00613257">
        <w:rPr>
          <w:rFonts w:ascii="Noto Sans" w:hAnsi="Noto Sans" w:cs="Noto Sans"/>
          <w:b/>
          <w:szCs w:val="18"/>
          <w:lang w:val="es-ES"/>
        </w:rPr>
        <w:br/>
      </w:r>
      <w:r w:rsidR="0075177C">
        <w:rPr>
          <w:rFonts w:ascii="Noto Sans" w:hAnsi="Noto Sans" w:cs="Noto Sans"/>
          <w:b/>
          <w:bCs/>
          <w:szCs w:val="18"/>
          <w:lang w:val="es-ES"/>
        </w:rPr>
        <w:br/>
      </w:r>
      <w:r w:rsidR="00613257" w:rsidRPr="00160027">
        <w:rPr>
          <w:rFonts w:ascii="Noto Sans" w:hAnsi="Noto Sans" w:cs="Noto Sans"/>
          <w:b/>
          <w:bCs/>
          <w:szCs w:val="18"/>
          <w:lang w:val="es-ES"/>
        </w:rPr>
        <w:t>Tintas</w:t>
      </w:r>
      <w:r w:rsidR="0075177C">
        <w:rPr>
          <w:rFonts w:ascii="Noto Sans" w:hAnsi="Noto Sans" w:cs="Noto Sans"/>
          <w:b/>
          <w:bCs/>
          <w:szCs w:val="18"/>
          <w:lang w:val="es-ES"/>
        </w:rPr>
        <w:br/>
      </w:r>
      <w:r w:rsidR="00613257" w:rsidRPr="00160027">
        <w:rPr>
          <w:rFonts w:ascii="Noto Sans" w:hAnsi="Noto Sans" w:cs="Noto Sans"/>
          <w:szCs w:val="18"/>
          <w:lang w:val="es-ES"/>
        </w:rPr>
        <w:t xml:space="preserve">La información contenida en este documento no pretende sustituir a la realización de pruebas adecuadas a su uso y sus circunstancias particulares. Domino UK </w:t>
      </w:r>
      <w:proofErr w:type="spellStart"/>
      <w:r w:rsidR="00613257" w:rsidRPr="00160027">
        <w:rPr>
          <w:rFonts w:ascii="Noto Sans" w:hAnsi="Noto Sans" w:cs="Noto Sans"/>
          <w:szCs w:val="18"/>
          <w:lang w:val="es-ES"/>
        </w:rPr>
        <w:t>Limited</w:t>
      </w:r>
      <w:proofErr w:type="spellEnd"/>
      <w:r w:rsidR="00613257" w:rsidRPr="00160027">
        <w:rPr>
          <w:rFonts w:ascii="Noto Sans" w:hAnsi="Noto Sans" w:cs="Noto Sans"/>
          <w:szCs w:val="18"/>
          <w:lang w:val="es-ES"/>
        </w:rPr>
        <w:t xml:space="preserve">, así como las empresas del Grupo Domino, no se hacen responsables en ningún caso de la idoneidad de cualquier tinta utilizada en este documento para su aplicación particular. Este documento no forma parte de ningún tipo de contrato de términos y condiciones entre Domino y sus clientes; los avisos legales de limitación de responsabilidad v.1.0 de febrero de 2018 y los términos y condiciones generales de venta de Domino, y en concreto las garantías y responsabilidades que en ellos se recogen, se aplicarán a cualquier compra de producto por parte de los clientes. </w:t>
      </w:r>
      <w:r w:rsidR="0075177C">
        <w:rPr>
          <w:rFonts w:ascii="Noto Sans" w:hAnsi="Noto Sans" w:cs="Noto Sans"/>
          <w:b/>
          <w:bCs/>
          <w:szCs w:val="18"/>
          <w:lang w:val="es-ES"/>
        </w:rPr>
        <w:br/>
      </w:r>
      <w:r w:rsidR="0075177C">
        <w:rPr>
          <w:rFonts w:ascii="Noto Sans" w:hAnsi="Noto Sans" w:cs="Noto Sans"/>
          <w:b/>
          <w:bCs/>
          <w:szCs w:val="18"/>
          <w:lang w:val="es-ES"/>
        </w:rPr>
        <w:br/>
      </w:r>
      <w:r w:rsidR="00613257" w:rsidRPr="00160027">
        <w:rPr>
          <w:rFonts w:ascii="Noto Sans" w:hAnsi="Noto Sans" w:cs="Noto Sans"/>
          <w:b/>
          <w:bCs/>
          <w:szCs w:val="18"/>
          <w:lang w:val="es-ES"/>
        </w:rPr>
        <w:t>Información general</w:t>
      </w:r>
      <w:r w:rsidR="0075177C">
        <w:rPr>
          <w:rFonts w:ascii="Noto Sans" w:hAnsi="Noto Sans" w:cs="Noto Sans"/>
          <w:b/>
          <w:bCs/>
          <w:szCs w:val="18"/>
          <w:lang w:val="es-ES"/>
        </w:rPr>
        <w:br/>
      </w:r>
      <w:r w:rsidR="00B9208C" w:rsidRPr="00160027">
        <w:rPr>
          <w:rFonts w:ascii="Noto Sans" w:hAnsi="Noto Sans" w:cs="Noto Sans"/>
          <w:szCs w:val="18"/>
          <w:lang w:val="es-ES"/>
        </w:rPr>
        <w:t xml:space="preserve">La información contenida en este comunicado de prensa se considera verdadera y correcta en la fecha de publicación de Domino; los cambios en las circunstancias tras el momento de publicación pueden afectar a la precisión de </w:t>
      </w:r>
      <w:proofErr w:type="gramStart"/>
      <w:r w:rsidR="00B9208C" w:rsidRPr="00160027">
        <w:rPr>
          <w:rFonts w:ascii="Noto Sans" w:hAnsi="Noto Sans" w:cs="Noto Sans"/>
          <w:szCs w:val="18"/>
          <w:lang w:val="es-ES"/>
        </w:rPr>
        <w:t>la misma</w:t>
      </w:r>
      <w:proofErr w:type="gramEnd"/>
      <w:r w:rsidR="00B9208C" w:rsidRPr="00160027">
        <w:rPr>
          <w:rFonts w:ascii="Noto Sans" w:hAnsi="Noto Sans" w:cs="Noto Sans"/>
          <w:szCs w:val="18"/>
          <w:lang w:val="es-ES"/>
        </w:rPr>
        <w:t xml:space="preserve">. </w:t>
      </w:r>
      <w:r w:rsidR="00613257" w:rsidRPr="00160027">
        <w:rPr>
          <w:rFonts w:ascii="Noto Sans" w:hAnsi="Noto Sans" w:cs="Noto Sans"/>
          <w:szCs w:val="18"/>
          <w:lang w:val="es-ES"/>
        </w:rPr>
        <w:t xml:space="preserve">Todas las cifras y declaraciones de rendimiento que constan en este documento han sido obtenidas en condiciones específicas y solo pueden ser reproducidas en circunstancias similares. Deberá ponerse en contacto con su comercial de Domino para más información sobre productos concretos. Este documento no forma parte de ningún contrato de términos y condiciones entre usted y Domino. </w:t>
      </w:r>
      <w:r w:rsidR="0075177C">
        <w:rPr>
          <w:rFonts w:ascii="Noto Sans" w:hAnsi="Noto Sans" w:cs="Noto Sans"/>
          <w:b/>
          <w:bCs/>
          <w:szCs w:val="18"/>
          <w:lang w:val="es-ES"/>
        </w:rPr>
        <w:br/>
      </w:r>
      <w:r w:rsidR="0075177C">
        <w:rPr>
          <w:rFonts w:ascii="Noto Sans" w:hAnsi="Noto Sans" w:cs="Noto Sans"/>
          <w:b/>
          <w:bCs/>
          <w:szCs w:val="18"/>
          <w:lang w:val="es-ES"/>
        </w:rPr>
        <w:br/>
      </w:r>
      <w:r w:rsidR="00613257" w:rsidRPr="00160027">
        <w:rPr>
          <w:rFonts w:ascii="Noto Sans" w:hAnsi="Noto Sans" w:cs="Noto Sans"/>
          <w:b/>
          <w:bCs/>
          <w:szCs w:val="18"/>
          <w:lang w:val="es-ES"/>
        </w:rPr>
        <w:t>Imágenes</w:t>
      </w:r>
      <w:r w:rsidR="0075177C">
        <w:rPr>
          <w:rFonts w:ascii="Noto Sans" w:hAnsi="Noto Sans" w:cs="Noto Sans"/>
          <w:b/>
          <w:bCs/>
          <w:szCs w:val="18"/>
          <w:lang w:val="es-ES"/>
        </w:rPr>
        <w:br/>
      </w:r>
      <w:r w:rsidR="00613257" w:rsidRPr="00160027">
        <w:rPr>
          <w:rFonts w:ascii="Noto Sans" w:hAnsi="Noto Sans" w:cs="Noto Sans"/>
          <w:szCs w:val="18"/>
          <w:lang w:val="es-ES"/>
        </w:rPr>
        <w:t xml:space="preserve">Las imágenes pueden incluir extras opcionales o actualizaciones. La calidad de impresión puede variar en función de los consumibles, la impresora, los sustratos y otros factores. Las imágenes y las fotografías no forman parte de ningún contrato de términos y condiciones entre usted y Domino. </w:t>
      </w:r>
      <w:r w:rsidR="0075177C">
        <w:rPr>
          <w:rFonts w:ascii="Noto Sans" w:hAnsi="Noto Sans" w:cs="Noto Sans"/>
          <w:b/>
          <w:bCs/>
          <w:szCs w:val="18"/>
          <w:lang w:val="es-ES"/>
        </w:rPr>
        <w:br/>
      </w:r>
      <w:r w:rsidR="0075177C">
        <w:rPr>
          <w:rFonts w:ascii="Noto Sans" w:hAnsi="Noto Sans" w:cs="Noto Sans"/>
          <w:b/>
          <w:bCs/>
          <w:szCs w:val="18"/>
          <w:lang w:val="es-ES"/>
        </w:rPr>
        <w:br/>
      </w:r>
      <w:r w:rsidR="00613257" w:rsidRPr="00160027">
        <w:rPr>
          <w:rFonts w:ascii="Noto Sans" w:hAnsi="Noto Sans" w:cs="Noto Sans"/>
          <w:b/>
          <w:bCs/>
          <w:szCs w:val="18"/>
          <w:lang w:val="es-ES"/>
        </w:rPr>
        <w:t>Vídeos</w:t>
      </w:r>
      <w:r w:rsidR="0075177C">
        <w:rPr>
          <w:rFonts w:ascii="Noto Sans" w:hAnsi="Noto Sans" w:cs="Noto Sans"/>
          <w:b/>
          <w:bCs/>
          <w:szCs w:val="18"/>
          <w:lang w:val="es-ES"/>
        </w:rPr>
        <w:br/>
      </w:r>
      <w:r w:rsidR="00613257" w:rsidRPr="00160027">
        <w:rPr>
          <w:rFonts w:ascii="Noto Sans" w:hAnsi="Noto Sans" w:cs="Noto Sans"/>
          <w:szCs w:val="18"/>
          <w:lang w:val="es-ES"/>
        </w:rPr>
        <w:t>Este vídeo se facilita únicamente con fines ilustrativos y puede incluir extras opcionales. Las cifras de rendimiento se han obtenido en condiciones específicas; el rendimiento sobre el terreno puede variar. Algunos errores y tiempo de inactividad en las líneas de producción pueden ser inevitables. No hay nada en este vídeo que forme parte de ningún contrato entre usted y Domino.</w:t>
      </w:r>
      <w:r w:rsidR="0075177C" w:rsidRPr="0075177C">
        <w:rPr>
          <w:rFonts w:ascii="Noto Sans" w:hAnsi="Noto Sans" w:cs="Noto Sans"/>
          <w:b/>
          <w:bCs/>
          <w:szCs w:val="18"/>
          <w:lang w:val="es-ES"/>
        </w:rPr>
        <w:t xml:space="preserve"> </w:t>
      </w:r>
      <w:r w:rsidR="0075177C">
        <w:rPr>
          <w:rFonts w:ascii="Noto Sans" w:hAnsi="Noto Sans" w:cs="Noto Sans"/>
          <w:b/>
          <w:bCs/>
          <w:szCs w:val="18"/>
          <w:lang w:val="es-ES"/>
        </w:rPr>
        <w:br/>
      </w:r>
      <w:r w:rsidR="00613257">
        <w:rPr>
          <w:rFonts w:ascii="Noto Sans" w:hAnsi="Noto Sans" w:cs="Noto Sans"/>
          <w:b/>
          <w:bCs/>
          <w:szCs w:val="18"/>
          <w:lang w:val="es-ES"/>
        </w:rPr>
        <w:br/>
      </w:r>
      <w:bookmarkEnd w:id="0"/>
      <w:r w:rsidR="00613257" w:rsidRPr="005708CC">
        <w:rPr>
          <w:rFonts w:ascii="Noto Sans" w:eastAsia="Gill Sans" w:hAnsi="Noto Sans" w:cs="Noto Sans"/>
          <w:b/>
          <w:bCs/>
          <w:szCs w:val="18"/>
          <w:lang w:val="es"/>
        </w:rPr>
        <w:t>Notas para los editores:</w:t>
      </w:r>
      <w:r w:rsidR="00613257">
        <w:rPr>
          <w:rFonts w:ascii="Noto Sans" w:eastAsia="Gill Sans" w:hAnsi="Noto Sans" w:cs="Noto Sans"/>
          <w:b/>
          <w:szCs w:val="18"/>
          <w:lang w:val="es-ES"/>
        </w:rPr>
        <w:br/>
      </w:r>
      <w:r w:rsidR="00613257">
        <w:rPr>
          <w:rFonts w:ascii="Noto Sans" w:eastAsia="Gill Sans" w:hAnsi="Noto Sans" w:cs="Noto Sans"/>
          <w:szCs w:val="18"/>
          <w:lang w:val="es-ES"/>
        </w:rPr>
        <w:br/>
      </w:r>
      <w:r w:rsidR="00613257" w:rsidRPr="005708CC">
        <w:rPr>
          <w:rFonts w:ascii="Noto Sans" w:eastAsia="Gill Sans" w:hAnsi="Noto Sans" w:cs="Noto Sans"/>
          <w:b/>
          <w:bCs/>
          <w:szCs w:val="18"/>
          <w:lang w:val="es"/>
        </w:rPr>
        <w:t>Acerca de Domino</w:t>
      </w:r>
      <w:r w:rsidR="00613257">
        <w:rPr>
          <w:rFonts w:ascii="Noto Sans" w:eastAsia="Gill Sans" w:hAnsi="Noto Sans" w:cs="Noto Sans"/>
          <w:b/>
          <w:szCs w:val="18"/>
          <w:lang w:val="es-ES"/>
        </w:rPr>
        <w:br/>
      </w:r>
      <w:r w:rsidR="00613257">
        <w:rPr>
          <w:rFonts w:ascii="Noto Sans" w:eastAsia="Gill Sans" w:hAnsi="Noto Sans" w:cs="Noto Sans"/>
          <w:szCs w:val="18"/>
          <w:lang w:val="es-ES"/>
        </w:rPr>
        <w:br/>
      </w:r>
      <w:r w:rsidR="00613257" w:rsidRPr="005708CC">
        <w:rPr>
          <w:rFonts w:ascii="Noto Sans" w:eastAsia="Gill Sans" w:hAnsi="Noto Sans" w:cs="Noto Sans"/>
          <w:szCs w:val="18"/>
          <w:lang w:val="es-ES"/>
        </w:rPr>
        <w:t xml:space="preserve">Digital Printing </w:t>
      </w:r>
      <w:proofErr w:type="spellStart"/>
      <w:r w:rsidR="00613257" w:rsidRPr="005708CC">
        <w:rPr>
          <w:rFonts w:ascii="Noto Sans" w:eastAsia="Gill Sans" w:hAnsi="Noto Sans" w:cs="Noto Sans"/>
          <w:szCs w:val="18"/>
          <w:lang w:val="es-ES"/>
        </w:rPr>
        <w:t>Solutions</w:t>
      </w:r>
      <w:proofErr w:type="spellEnd"/>
      <w:r w:rsidR="00613257" w:rsidRPr="005708CC">
        <w:rPr>
          <w:rFonts w:ascii="Noto Sans" w:eastAsia="Gill Sans" w:hAnsi="Noto Sans" w:cs="Noto Sans"/>
          <w:szCs w:val="18"/>
          <w:lang w:val="es-ES"/>
        </w:rPr>
        <w:t xml:space="preserve"> es una división de Domino Printing </w:t>
      </w:r>
      <w:proofErr w:type="spellStart"/>
      <w:r w:rsidR="00613257" w:rsidRPr="005708CC">
        <w:rPr>
          <w:rFonts w:ascii="Noto Sans" w:eastAsia="Gill Sans" w:hAnsi="Noto Sans" w:cs="Noto Sans"/>
          <w:szCs w:val="18"/>
          <w:lang w:val="es-ES"/>
        </w:rPr>
        <w:t>Sciences</w:t>
      </w:r>
      <w:proofErr w:type="spellEnd"/>
      <w:r w:rsidR="00613257" w:rsidRPr="005708CC">
        <w:rPr>
          <w:rFonts w:ascii="Noto Sans" w:eastAsia="Gill Sans" w:hAnsi="Noto Sans" w:cs="Noto Sans"/>
          <w:szCs w:val="18"/>
          <w:lang w:val="es-ES"/>
        </w:rPr>
        <w:t xml:space="preserve">. La empresa, fundada en 1978, goza de una excelente reputación a nivel mundial por el desarrollo y la fabricación de tecnologías de impresión digital de inyección de tinta, así como por sus servicios postventa y de atención al cliente a nivel internacional.  Entre sus servicios destinados al sector de la impresión comercial se incluyen las </w:t>
      </w:r>
      <w:r w:rsidR="00613257" w:rsidRPr="005708CC">
        <w:rPr>
          <w:rFonts w:ascii="Noto Sans" w:eastAsia="Gill Sans" w:hAnsi="Noto Sans" w:cs="Noto Sans"/>
          <w:szCs w:val="18"/>
          <w:lang w:val="es-ES"/>
        </w:rPr>
        <w:lastRenderedPageBreak/>
        <w:t>impresoras digitales de inyección de tinta y los sistemas de control diseñados para ofrecer soluciones en una amplia gama de aplicaciones de etiquetado e impresión de datos variables.</w:t>
      </w:r>
      <w:r w:rsidR="00613257">
        <w:rPr>
          <w:rFonts w:ascii="Noto Sans" w:eastAsia="Gill Sans" w:hAnsi="Noto Sans" w:cs="Noto Sans"/>
          <w:szCs w:val="18"/>
          <w:lang w:val="es-ES"/>
        </w:rPr>
        <w:br/>
      </w:r>
      <w:r w:rsidR="00613257">
        <w:rPr>
          <w:rFonts w:ascii="Noto Sans" w:eastAsia="Gill Sans" w:hAnsi="Noto Sans" w:cs="Noto Sans"/>
          <w:szCs w:val="18"/>
          <w:lang w:val="es-ES"/>
        </w:rPr>
        <w:br/>
      </w:r>
      <w:r w:rsidR="00613257" w:rsidRPr="005708CC">
        <w:rPr>
          <w:rFonts w:ascii="Noto Sans" w:eastAsia="Gill Sans" w:hAnsi="Noto Sans" w:cs="Noto Sans"/>
          <w:szCs w:val="18"/>
          <w:lang w:val="es-ES"/>
        </w:rPr>
        <w:t>Todas las impresoras de Domino se han diseñado para satisfacer las exigencias de gran velocidad y alta calidad de los entornos de impresión comercial, y aportar nuevas capacidades a numerosos sectores entre los que figuran los del etiquetado, publicaciones e impresión de seguridad, transacciones, conversión de embalajes, tarjetas de plástico, tickets, juegos de cartas y formularios, así como las industrias del correo directo y postal.</w:t>
      </w:r>
      <w:r w:rsidR="00613257">
        <w:rPr>
          <w:rFonts w:ascii="Noto Sans" w:eastAsia="Gill Sans" w:hAnsi="Noto Sans" w:cs="Noto Sans"/>
          <w:szCs w:val="18"/>
          <w:lang w:val="es-ES"/>
        </w:rPr>
        <w:br/>
      </w:r>
      <w:r w:rsidR="00613257">
        <w:rPr>
          <w:rFonts w:ascii="Noto Sans" w:eastAsia="Gill Sans" w:hAnsi="Noto Sans" w:cs="Noto Sans"/>
          <w:szCs w:val="18"/>
          <w:lang w:val="es-ES"/>
        </w:rPr>
        <w:br/>
      </w:r>
      <w:r w:rsidR="00613257" w:rsidRPr="005708CC">
        <w:rPr>
          <w:rFonts w:ascii="Noto Sans" w:eastAsia="Gill Sans" w:hAnsi="Noto Sans" w:cs="Noto Sans"/>
          <w:szCs w:val="18"/>
          <w:lang w:val="es"/>
        </w:rPr>
        <w:t xml:space="preserve">Domino cuenta con más de 3000 colaboradores en todo el mundo y vende a más de 120 países a través de una red global de 29 filiales y más de 200 distribuidores. Domino cuenta con fábricas en Alemania, China, </w:t>
      </w:r>
      <w:proofErr w:type="gramStart"/>
      <w:r w:rsidR="00613257" w:rsidRPr="005708CC">
        <w:rPr>
          <w:rFonts w:ascii="Noto Sans" w:eastAsia="Gill Sans" w:hAnsi="Noto Sans" w:cs="Noto Sans"/>
          <w:szCs w:val="18"/>
          <w:lang w:val="es"/>
        </w:rPr>
        <w:t>EE.UU.</w:t>
      </w:r>
      <w:proofErr w:type="gramEnd"/>
      <w:r w:rsidR="00613257" w:rsidRPr="005708CC">
        <w:rPr>
          <w:rFonts w:ascii="Noto Sans" w:eastAsia="Gill Sans" w:hAnsi="Noto Sans" w:cs="Noto Sans"/>
          <w:szCs w:val="18"/>
          <w:lang w:val="es"/>
        </w:rPr>
        <w:t>, India, Reino Unido, Suecia y Suiza.</w:t>
      </w:r>
      <w:r w:rsidR="00613257">
        <w:rPr>
          <w:rFonts w:ascii="Noto Sans" w:eastAsia="Gill Sans" w:hAnsi="Noto Sans" w:cs="Noto Sans"/>
          <w:szCs w:val="18"/>
          <w:lang w:val="es-ES"/>
        </w:rPr>
        <w:br/>
      </w:r>
      <w:r w:rsidR="00613257">
        <w:rPr>
          <w:rFonts w:ascii="Noto Sans" w:eastAsia="Gill Sans" w:hAnsi="Noto Sans" w:cs="Noto Sans"/>
          <w:szCs w:val="18"/>
          <w:lang w:val="es-ES"/>
        </w:rPr>
        <w:br/>
      </w:r>
      <w:r w:rsidR="00613257" w:rsidRPr="005708CC">
        <w:rPr>
          <w:rFonts w:ascii="Noto Sans" w:eastAsia="Gill Sans" w:hAnsi="Noto Sans" w:cs="Noto Sans"/>
          <w:szCs w:val="18"/>
          <w:lang w:val="es"/>
        </w:rPr>
        <w:t xml:space="preserve">Domino pasó a ser una división autónoma de Brother Industries Ltd. el 11 de junio de 2015. </w:t>
      </w:r>
      <w:r w:rsidR="00613257">
        <w:rPr>
          <w:rFonts w:ascii="Noto Sans" w:eastAsia="Gill Sans" w:hAnsi="Noto Sans" w:cs="Noto Sans"/>
          <w:szCs w:val="18"/>
          <w:lang w:val="es-ES"/>
        </w:rPr>
        <w:br/>
      </w:r>
      <w:r w:rsidR="00613257">
        <w:rPr>
          <w:rFonts w:ascii="Noto Sans" w:eastAsia="Gill Sans" w:hAnsi="Noto Sans" w:cs="Noto Sans"/>
          <w:szCs w:val="18"/>
          <w:lang w:val="es-ES"/>
        </w:rPr>
        <w:br/>
      </w:r>
      <w:r w:rsidR="00613257" w:rsidRPr="005708CC">
        <w:rPr>
          <w:rFonts w:ascii="Noto Sans" w:eastAsia="Gill Sans" w:hAnsi="Noto Sans" w:cs="Noto Sans"/>
          <w:szCs w:val="18"/>
          <w:lang w:val="es"/>
        </w:rPr>
        <w:t xml:space="preserve">Para más información sobre Domino, visite </w:t>
      </w:r>
      <w:hyperlink r:id="rId15">
        <w:r w:rsidR="00613257" w:rsidRPr="005708CC">
          <w:rPr>
            <w:rFonts w:ascii="Noto Sans" w:eastAsia="Gill Sans" w:hAnsi="Noto Sans" w:cs="Noto Sans"/>
            <w:szCs w:val="18"/>
            <w:u w:val="single"/>
            <w:lang w:val="es"/>
          </w:rPr>
          <w:t>www.domino-spain.com</w:t>
        </w:r>
      </w:hyperlink>
      <w:r w:rsidR="00613257" w:rsidRPr="005708CC">
        <w:rPr>
          <w:rFonts w:ascii="Noto Sans" w:eastAsia="Gill Sans" w:hAnsi="Noto Sans" w:cs="Noto Sans"/>
          <w:szCs w:val="18"/>
          <w:lang w:val="es"/>
        </w:rPr>
        <w:t xml:space="preserve">. </w:t>
      </w:r>
      <w:r w:rsidR="00613257">
        <w:rPr>
          <w:rFonts w:ascii="Noto Sans" w:eastAsia="Gill Sans" w:hAnsi="Noto Sans" w:cs="Noto Sans"/>
          <w:szCs w:val="18"/>
          <w:lang w:val="es-ES"/>
        </w:rPr>
        <w:br/>
      </w:r>
      <w:r w:rsidR="00613257" w:rsidRPr="00CC4435">
        <w:rPr>
          <w:rFonts w:ascii="Noto Sans" w:eastAsia="Gill Sans" w:hAnsi="Noto Sans" w:cs="Noto Sans"/>
          <w:szCs w:val="18"/>
          <w:lang w:val="es-ES"/>
        </w:rPr>
        <w:br/>
      </w:r>
      <w:r w:rsidR="00613257" w:rsidRPr="00CC4435">
        <w:rPr>
          <w:rFonts w:ascii="Noto Sans" w:hAnsi="Noto Sans" w:cs="Noto Sans"/>
          <w:szCs w:val="18"/>
          <w:lang w:val="es-ES"/>
        </w:rPr>
        <w:br/>
      </w:r>
      <w:r w:rsidR="00613257" w:rsidRPr="00CC4435">
        <w:rPr>
          <w:rFonts w:ascii="Noto Sans" w:eastAsia="Gill Sans" w:hAnsi="Noto Sans" w:cs="Noto Sans"/>
          <w:b/>
          <w:bCs/>
          <w:szCs w:val="18"/>
          <w:lang w:val="es"/>
        </w:rPr>
        <w:t xml:space="preserve">Para </w:t>
      </w:r>
      <w:r w:rsidR="00295109" w:rsidRPr="00CC4435">
        <w:rPr>
          <w:rFonts w:ascii="Noto Sans" w:eastAsia="Gill Sans" w:hAnsi="Noto Sans" w:cs="Noto Sans"/>
          <w:b/>
          <w:bCs/>
          <w:szCs w:val="18"/>
          <w:lang w:val="es"/>
        </w:rPr>
        <w:t>más</w:t>
      </w:r>
      <w:r w:rsidR="00613257" w:rsidRPr="00CC4435">
        <w:rPr>
          <w:rFonts w:ascii="Noto Sans" w:eastAsia="Gill Sans" w:hAnsi="Noto Sans" w:cs="Noto Sans"/>
          <w:b/>
          <w:bCs/>
          <w:szCs w:val="18"/>
          <w:lang w:val="es"/>
        </w:rPr>
        <w:t xml:space="preserve"> </w:t>
      </w:r>
      <w:r w:rsidR="00295109" w:rsidRPr="00CC4435">
        <w:rPr>
          <w:rFonts w:ascii="Noto Sans" w:eastAsia="Gill Sans" w:hAnsi="Noto Sans" w:cs="Noto Sans"/>
          <w:b/>
          <w:bCs/>
          <w:szCs w:val="18"/>
          <w:lang w:val="es"/>
        </w:rPr>
        <w:t>información</w:t>
      </w:r>
      <w:r w:rsidR="00613257" w:rsidRPr="00CC4435">
        <w:rPr>
          <w:rFonts w:ascii="Noto Sans" w:eastAsia="Gill Sans" w:hAnsi="Noto Sans" w:cs="Noto Sans"/>
          <w:b/>
          <w:bCs/>
          <w:szCs w:val="18"/>
          <w:lang w:val="es"/>
        </w:rPr>
        <w:t xml:space="preserve"> contacte:</w:t>
      </w:r>
      <w:r w:rsidR="00613257" w:rsidRPr="00CC4435">
        <w:rPr>
          <w:rFonts w:ascii="Noto Sans" w:eastAsia="Gill Sans" w:hAnsi="Noto Sans" w:cs="Noto Sans"/>
          <w:szCs w:val="18"/>
          <w:lang w:val="es-ES"/>
        </w:rPr>
        <w:br/>
      </w:r>
      <w:r w:rsidR="00613257" w:rsidRPr="00295109">
        <w:rPr>
          <w:rFonts w:ascii="Noto Sans" w:hAnsi="Noto Sans" w:cs="Noto Sans"/>
          <w:szCs w:val="18"/>
          <w:lang w:val="es-ES"/>
        </w:rPr>
        <w:br/>
      </w:r>
      <w:r w:rsidR="00613257" w:rsidRPr="00CC4435">
        <w:rPr>
          <w:rFonts w:ascii="Noto Sans" w:hAnsi="Noto Sans" w:cs="Noto Sans"/>
          <w:szCs w:val="18"/>
          <w:lang w:val="es-ES"/>
        </w:rPr>
        <w:t>Kathrin Farr</w:t>
      </w:r>
      <w:r w:rsidR="00613257" w:rsidRPr="00CC4435">
        <w:rPr>
          <w:rFonts w:ascii="Noto Sans" w:hAnsi="Noto Sans" w:cs="Noto Sans"/>
          <w:szCs w:val="18"/>
          <w:lang w:val="es-ES"/>
        </w:rPr>
        <w:br/>
      </w:r>
      <w:r w:rsidR="00613257" w:rsidRPr="00CC4435">
        <w:rPr>
          <w:rFonts w:ascii="Noto Sans" w:hAnsi="Noto Sans" w:cs="Noto Sans"/>
          <w:szCs w:val="18"/>
          <w:lang w:val="es"/>
        </w:rPr>
        <w:t xml:space="preserve">Ejecutiva de contenido y Redactora  </w:t>
      </w:r>
      <w:r w:rsidR="00613257" w:rsidRPr="00CC4435">
        <w:rPr>
          <w:rFonts w:ascii="Noto Sans" w:hAnsi="Noto Sans" w:cs="Noto Sans"/>
          <w:szCs w:val="18"/>
          <w:lang w:val="es-ES"/>
        </w:rPr>
        <w:br/>
      </w:r>
      <w:r w:rsidR="00613257" w:rsidRPr="00CC4435">
        <w:rPr>
          <w:rFonts w:ascii="Noto Sans" w:hAnsi="Noto Sans" w:cs="Noto Sans"/>
          <w:szCs w:val="18"/>
          <w:lang w:val="es"/>
        </w:rPr>
        <w:t xml:space="preserve">Domino Printing </w:t>
      </w:r>
      <w:proofErr w:type="spellStart"/>
      <w:r w:rsidR="00613257" w:rsidRPr="00CC4435">
        <w:rPr>
          <w:rFonts w:ascii="Noto Sans" w:hAnsi="Noto Sans" w:cs="Noto Sans"/>
          <w:szCs w:val="18"/>
          <w:lang w:val="es"/>
        </w:rPr>
        <w:t>Sciences</w:t>
      </w:r>
      <w:proofErr w:type="spellEnd"/>
      <w:r w:rsidR="00613257" w:rsidRPr="00CC4435">
        <w:rPr>
          <w:rFonts w:ascii="Noto Sans" w:hAnsi="Noto Sans" w:cs="Noto Sans"/>
          <w:szCs w:val="18"/>
          <w:lang w:val="es-ES"/>
        </w:rPr>
        <w:br/>
        <w:t>Tel.: +44 (0) 1954 782551</w:t>
      </w:r>
      <w:r w:rsidR="00613257" w:rsidRPr="00CC4435">
        <w:rPr>
          <w:rFonts w:ascii="Noto Sans" w:hAnsi="Noto Sans" w:cs="Noto Sans"/>
          <w:szCs w:val="18"/>
          <w:lang w:val="es-ES"/>
        </w:rPr>
        <w:br/>
      </w:r>
      <w:hyperlink r:id="rId16" w:history="1">
        <w:r w:rsidR="00613257" w:rsidRPr="00CC4435">
          <w:rPr>
            <w:rStyle w:val="Hyperlink"/>
            <w:rFonts w:ascii="Noto Sans" w:hAnsi="Noto Sans" w:cs="Noto Sans"/>
            <w:szCs w:val="18"/>
            <w:lang w:val="es-ES"/>
          </w:rPr>
          <w:t>Kathrin.Farr@domino-uk.com</w:t>
        </w:r>
      </w:hyperlink>
      <w:r w:rsidR="00613257" w:rsidRPr="00CC4435">
        <w:rPr>
          <w:rFonts w:ascii="Noto Sans" w:hAnsi="Noto Sans" w:cs="Noto Sans"/>
          <w:szCs w:val="18"/>
          <w:lang w:val="es-ES"/>
        </w:rPr>
        <w:t xml:space="preserve"> </w:t>
      </w:r>
      <w:r w:rsidR="00613257" w:rsidRPr="00CC4435">
        <w:rPr>
          <w:rFonts w:ascii="Noto Sans" w:hAnsi="Noto Sans" w:cs="Noto Sans"/>
          <w:szCs w:val="18"/>
          <w:lang w:val="es-ES"/>
        </w:rPr>
        <w:br/>
      </w:r>
      <w:r w:rsidR="00613257" w:rsidRPr="00CC4435">
        <w:rPr>
          <w:rFonts w:ascii="Noto Sans" w:hAnsi="Noto Sans" w:cs="Noto Sans"/>
          <w:szCs w:val="18"/>
          <w:lang w:val="es-ES"/>
        </w:rPr>
        <w:br/>
      </w:r>
      <w:r w:rsidR="006A35FF" w:rsidRPr="006A35FF">
        <w:rPr>
          <w:rFonts w:ascii="Noto Sans" w:hAnsi="Noto Sans" w:cs="Noto Sans"/>
          <w:szCs w:val="18"/>
          <w:lang w:val="es-ES"/>
        </w:rPr>
        <w:t xml:space="preserve">Jade Taylor-Salazar </w:t>
      </w:r>
      <w:r w:rsidR="00901C32" w:rsidRPr="00901C32">
        <w:rPr>
          <w:rFonts w:ascii="Noto Sans" w:hAnsi="Noto Sans" w:cs="Noto Sans"/>
          <w:szCs w:val="18"/>
          <w:lang w:val="es-ES"/>
        </w:rPr>
        <w:br/>
      </w:r>
      <w:r w:rsidR="00901C32" w:rsidRPr="00CC4435">
        <w:rPr>
          <w:rFonts w:ascii="Noto Sans" w:hAnsi="Noto Sans" w:cs="Noto Sans"/>
          <w:szCs w:val="18"/>
          <w:lang w:val="es"/>
        </w:rPr>
        <w:t xml:space="preserve">RR. PP. y </w:t>
      </w:r>
      <w:proofErr w:type="gramStart"/>
      <w:r w:rsidR="00901C32" w:rsidRPr="00CC4435">
        <w:rPr>
          <w:rFonts w:ascii="Noto Sans" w:hAnsi="Noto Sans" w:cs="Noto Sans"/>
          <w:szCs w:val="18"/>
          <w:lang w:val="es"/>
        </w:rPr>
        <w:t>Directora</w:t>
      </w:r>
      <w:proofErr w:type="gramEnd"/>
      <w:r w:rsidR="00901C32" w:rsidRPr="00CC4435">
        <w:rPr>
          <w:rFonts w:ascii="Noto Sans" w:hAnsi="Noto Sans" w:cs="Noto Sans"/>
          <w:szCs w:val="18"/>
          <w:lang w:val="es"/>
        </w:rPr>
        <w:t xml:space="preserve"> de contenido</w:t>
      </w:r>
      <w:r w:rsidR="00901C32" w:rsidRPr="00901C32">
        <w:rPr>
          <w:rFonts w:ascii="Noto Sans" w:hAnsi="Noto Sans" w:cs="Noto Sans"/>
          <w:szCs w:val="18"/>
          <w:lang w:val="es-ES"/>
        </w:rPr>
        <w:br/>
      </w:r>
      <w:r w:rsidR="006A35FF" w:rsidRPr="006A35FF">
        <w:rPr>
          <w:rFonts w:ascii="Noto Sans" w:hAnsi="Noto Sans" w:cs="Noto Sans"/>
          <w:szCs w:val="18"/>
          <w:lang w:val="es-ES"/>
        </w:rPr>
        <w:t xml:space="preserve">Domino Printing </w:t>
      </w:r>
      <w:proofErr w:type="spellStart"/>
      <w:r w:rsidR="006A35FF" w:rsidRPr="006A35FF">
        <w:rPr>
          <w:rFonts w:ascii="Noto Sans" w:hAnsi="Noto Sans" w:cs="Noto Sans"/>
          <w:szCs w:val="18"/>
          <w:lang w:val="es-ES"/>
        </w:rPr>
        <w:t>Sciences</w:t>
      </w:r>
      <w:proofErr w:type="spellEnd"/>
      <w:r w:rsidR="006A35FF" w:rsidRPr="006A35FF">
        <w:rPr>
          <w:rFonts w:ascii="Noto Sans" w:hAnsi="Noto Sans" w:cs="Noto Sans"/>
          <w:szCs w:val="18"/>
          <w:lang w:val="es-ES"/>
        </w:rPr>
        <w:t xml:space="preserve"> </w:t>
      </w:r>
      <w:r w:rsidR="006A35FF" w:rsidRPr="006A35FF">
        <w:rPr>
          <w:rFonts w:ascii="Noto Sans" w:hAnsi="Noto Sans" w:cs="Noto Sans"/>
          <w:szCs w:val="18"/>
          <w:lang w:val="es-ES"/>
        </w:rPr>
        <w:br/>
        <w:t>Tel: +44 (0) 1954 778780</w:t>
      </w:r>
      <w:r w:rsidR="006A35FF" w:rsidRPr="006A35FF">
        <w:rPr>
          <w:rFonts w:ascii="Noto Sans" w:hAnsi="Noto Sans" w:cs="Noto Sans"/>
          <w:szCs w:val="18"/>
          <w:lang w:val="es-ES"/>
        </w:rPr>
        <w:br/>
      </w:r>
      <w:hyperlink r:id="rId17" w:history="1">
        <w:r w:rsidR="006A35FF" w:rsidRPr="006A35FF">
          <w:rPr>
            <w:rStyle w:val="Hyperlink"/>
            <w:rFonts w:ascii="Noto Sans" w:hAnsi="Noto Sans" w:cs="Noto Sans"/>
            <w:szCs w:val="18"/>
            <w:lang w:val="es-ES"/>
          </w:rPr>
          <w:t>Jade.Taylor-Salazar@domino-uk.com</w:t>
        </w:r>
      </w:hyperlink>
    </w:p>
    <w:sectPr w:rsidR="003A1909" w:rsidRPr="00613257" w:rsidSect="000F6D00">
      <w:headerReference w:type="even" r:id="rId18"/>
      <w:headerReference w:type="default" r:id="rId19"/>
      <w:footerReference w:type="even" r:id="rId20"/>
      <w:footerReference w:type="default" r:id="rId21"/>
      <w:headerReference w:type="first" r:id="rId22"/>
      <w:footerReference w:type="first" r:id="rId23"/>
      <w:pgSz w:w="11906" w:h="16838"/>
      <w:pgMar w:top="1440" w:right="1440" w:bottom="1440" w:left="1440" w:header="1531" w:footer="226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348277" w14:textId="77777777" w:rsidR="00B72E2B" w:rsidRDefault="00B72E2B" w:rsidP="00785717">
      <w:pPr>
        <w:spacing w:line="240" w:lineRule="auto"/>
      </w:pPr>
      <w:r>
        <w:separator/>
      </w:r>
    </w:p>
  </w:endnote>
  <w:endnote w:type="continuationSeparator" w:id="0">
    <w:p w14:paraId="2E59B00D" w14:textId="77777777" w:rsidR="00B72E2B" w:rsidRDefault="00B72E2B" w:rsidP="00785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Noto Sans">
    <w:altName w:val="Nirmala UI"/>
    <w:panose1 w:val="020B0502040504020204"/>
    <w:charset w:val="00"/>
    <w:family w:val="swiss"/>
    <w:pitch w:val="variable"/>
    <w:sig w:usb0="E00082FF" w:usb1="400078FF" w:usb2="08000029" w:usb3="00000000" w:csb0="0000019F" w:csb1="00000000"/>
  </w:font>
  <w:font w:name="Gill Sans">
    <w:panose1 w:val="00000000000000000000"/>
    <w:charset w:val="00"/>
    <w:family w:val="swiss"/>
    <w:notTrueType/>
    <w:pitch w:val="variable"/>
    <w:sig w:usb0="A00000AF" w:usb1="5000205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68E67A" w14:textId="77777777" w:rsidR="00EC1C5A" w:rsidRDefault="00EC1C5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80AAA" w14:textId="77777777" w:rsidR="00785717" w:rsidRDefault="000F6D00" w:rsidP="00785717">
    <w:pPr>
      <w:pStyle w:val="Footer"/>
    </w:pPr>
    <w:r>
      <w:rPr>
        <w:noProof/>
      </w:rPr>
      <w:drawing>
        <wp:anchor distT="0" distB="0" distL="114300" distR="114300" simplePos="0" relativeHeight="251659264" behindDoc="0" locked="0" layoutInCell="1" allowOverlap="1" wp14:anchorId="1775B516" wp14:editId="19B0C3FE">
          <wp:simplePos x="0" y="0"/>
          <wp:positionH relativeFrom="column">
            <wp:posOffset>4953000</wp:posOffset>
          </wp:positionH>
          <wp:positionV relativeFrom="paragraph">
            <wp:posOffset>1231440</wp:posOffset>
          </wp:positionV>
          <wp:extent cx="1466850" cy="13935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66850" cy="139350"/>
                  </a:xfrm>
                  <a:prstGeom prst="rect">
                    <a:avLst/>
                  </a:prstGeom>
                </pic:spPr>
              </pic:pic>
            </a:graphicData>
          </a:graphic>
          <wp14:sizeRelH relativeFrom="margin">
            <wp14:pctWidth>0</wp14:pctWidth>
          </wp14:sizeRelH>
          <wp14:sizeRelV relativeFrom="margin">
            <wp14:pctHeight>0</wp14:pctHeight>
          </wp14:sizeRelV>
        </wp:anchor>
      </w:drawing>
    </w:r>
    <w:r w:rsidR="00BC7C15">
      <w:rPr>
        <w:noProof/>
      </w:rPr>
      <w:drawing>
        <wp:anchor distT="0" distB="0" distL="114300" distR="114300" simplePos="0" relativeHeight="251658240" behindDoc="1" locked="0" layoutInCell="1" allowOverlap="1" wp14:anchorId="2D5BA730" wp14:editId="3029B3F4">
          <wp:simplePos x="0" y="0"/>
          <wp:positionH relativeFrom="page">
            <wp:posOffset>47625</wp:posOffset>
          </wp:positionH>
          <wp:positionV relativeFrom="page">
            <wp:posOffset>9247505</wp:posOffset>
          </wp:positionV>
          <wp:extent cx="7448550" cy="1259840"/>
          <wp:effectExtent l="0" t="0" r="0" b="0"/>
          <wp:wrapNone/>
          <wp:docPr id="1" name="Picture 1" descr="A picture containing knif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knife&#10;&#10;Description automatically generated"/>
                  <pic:cNvPicPr/>
                </pic:nvPicPr>
                <pic:blipFill>
                  <a:blip r:embed="rId2">
                    <a:extLst>
                      <a:ext uri="{28A0092B-C50C-407E-A947-70E740481C1C}">
                        <a14:useLocalDpi xmlns:a14="http://schemas.microsoft.com/office/drawing/2010/main" val="0"/>
                      </a:ext>
                    </a:extLst>
                  </a:blip>
                  <a:stretch>
                    <a:fillRect/>
                  </a:stretch>
                </pic:blipFill>
                <pic:spPr>
                  <a:xfrm>
                    <a:off x="0" y="0"/>
                    <a:ext cx="7448550" cy="125984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4F044F" w14:textId="77777777" w:rsidR="00EC1C5A" w:rsidRDefault="00EC1C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D3FAC8" w14:textId="77777777" w:rsidR="00B72E2B" w:rsidRDefault="00B72E2B" w:rsidP="00785717">
      <w:pPr>
        <w:spacing w:line="240" w:lineRule="auto"/>
      </w:pPr>
      <w:r>
        <w:separator/>
      </w:r>
    </w:p>
  </w:footnote>
  <w:footnote w:type="continuationSeparator" w:id="0">
    <w:p w14:paraId="62DD9FA3" w14:textId="77777777" w:rsidR="00B72E2B" w:rsidRDefault="00B72E2B" w:rsidP="00785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310A4" w14:textId="77777777" w:rsidR="00EC1C5A" w:rsidRDefault="00EC1C5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17C67F" w14:textId="77777777" w:rsidR="000F6D00" w:rsidRDefault="002766D9">
    <w:pPr>
      <w:pStyle w:val="Header"/>
    </w:pPr>
    <w:r>
      <w:rPr>
        <w:noProof/>
      </w:rPr>
      <w:drawing>
        <wp:anchor distT="0" distB="0" distL="114300" distR="114300" simplePos="0" relativeHeight="251661312" behindDoc="0" locked="0" layoutInCell="1" allowOverlap="1" wp14:anchorId="1D2C7C59" wp14:editId="4EAB29F7">
          <wp:simplePos x="0" y="0"/>
          <wp:positionH relativeFrom="page">
            <wp:posOffset>228600</wp:posOffset>
          </wp:positionH>
          <wp:positionV relativeFrom="paragraph">
            <wp:posOffset>-972185</wp:posOffset>
          </wp:positionV>
          <wp:extent cx="2781300" cy="1096645"/>
          <wp:effectExtent l="0" t="0" r="0" b="0"/>
          <wp:wrapSquare wrapText="bothSides"/>
          <wp:docPr id="3" name="Picture 3" descr="Logo, company nam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 company name&#10;&#10;Description automatically generated"/>
                  <pic:cNvPicPr>
                    <a:picLocks noChangeAspect="1" noChangeArrowheads="1"/>
                  </pic:cNvPicPr>
                </pic:nvPicPr>
                <pic:blipFill rotWithShape="1">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b="11420"/>
                  <a:stretch/>
                </pic:blipFill>
                <pic:spPr bwMode="auto">
                  <a:xfrm>
                    <a:off x="0" y="0"/>
                    <a:ext cx="2781300" cy="10966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DF1EA2" w14:textId="77777777" w:rsidR="00EC1C5A" w:rsidRDefault="00EC1C5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1C32"/>
    <w:rsid w:val="0002201E"/>
    <w:rsid w:val="00036EF0"/>
    <w:rsid w:val="000F6D00"/>
    <w:rsid w:val="001D743C"/>
    <w:rsid w:val="002202E3"/>
    <w:rsid w:val="00240801"/>
    <w:rsid w:val="002766D9"/>
    <w:rsid w:val="00295109"/>
    <w:rsid w:val="002B6890"/>
    <w:rsid w:val="00323DC5"/>
    <w:rsid w:val="00372E92"/>
    <w:rsid w:val="003A1909"/>
    <w:rsid w:val="003C574C"/>
    <w:rsid w:val="005272B1"/>
    <w:rsid w:val="005524DB"/>
    <w:rsid w:val="005741C7"/>
    <w:rsid w:val="005B33E5"/>
    <w:rsid w:val="005E6C45"/>
    <w:rsid w:val="00613257"/>
    <w:rsid w:val="00647055"/>
    <w:rsid w:val="00660F46"/>
    <w:rsid w:val="00680977"/>
    <w:rsid w:val="006A1A38"/>
    <w:rsid w:val="006A35FF"/>
    <w:rsid w:val="0075177C"/>
    <w:rsid w:val="00785717"/>
    <w:rsid w:val="00791A4F"/>
    <w:rsid w:val="008220B7"/>
    <w:rsid w:val="00823B77"/>
    <w:rsid w:val="008916A8"/>
    <w:rsid w:val="008B6461"/>
    <w:rsid w:val="008E5E0C"/>
    <w:rsid w:val="008F3E38"/>
    <w:rsid w:val="00901C32"/>
    <w:rsid w:val="00931996"/>
    <w:rsid w:val="0095171A"/>
    <w:rsid w:val="009A1716"/>
    <w:rsid w:val="009A1DEC"/>
    <w:rsid w:val="009D6280"/>
    <w:rsid w:val="00A34918"/>
    <w:rsid w:val="00AB11DA"/>
    <w:rsid w:val="00AF1A46"/>
    <w:rsid w:val="00B23C3C"/>
    <w:rsid w:val="00B51122"/>
    <w:rsid w:val="00B546C5"/>
    <w:rsid w:val="00B7088D"/>
    <w:rsid w:val="00B72E2B"/>
    <w:rsid w:val="00B85689"/>
    <w:rsid w:val="00B9208C"/>
    <w:rsid w:val="00BC7C15"/>
    <w:rsid w:val="00C063FE"/>
    <w:rsid w:val="00C44603"/>
    <w:rsid w:val="00C541FE"/>
    <w:rsid w:val="00CF1AD5"/>
    <w:rsid w:val="00D66051"/>
    <w:rsid w:val="00D71CD4"/>
    <w:rsid w:val="00E03029"/>
    <w:rsid w:val="00EC1C5A"/>
    <w:rsid w:val="00F82F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994302"/>
  <w15:chartTrackingRefBased/>
  <w15:docId w15:val="{32DDC6DE-2120-42D1-A3FE-072481BBD0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743C"/>
    <w:pPr>
      <w:spacing w:after="0" w:line="360" w:lineRule="auto"/>
    </w:pPr>
    <w:rPr>
      <w:rFonts w:ascii="Verdana" w:eastAsia="Calibri" w:hAnsi="Verdana" w:cs="Times New Roman"/>
      <w:sz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HeaderChar">
    <w:name w:val="Header Char"/>
    <w:basedOn w:val="DefaultParagraphFont"/>
    <w:link w:val="Header"/>
    <w:uiPriority w:val="99"/>
    <w:rsid w:val="00785717"/>
  </w:style>
  <w:style w:type="paragraph" w:styleId="Footer">
    <w:name w:val="footer"/>
    <w:basedOn w:val="Normal"/>
    <w:link w:val="FooterChar"/>
    <w:uiPriority w:val="99"/>
    <w:unhideWhenUsed/>
    <w:rsid w:val="00785717"/>
    <w:pPr>
      <w:tabs>
        <w:tab w:val="center" w:pos="4513"/>
        <w:tab w:val="right" w:pos="9026"/>
      </w:tabs>
      <w:spacing w:line="240" w:lineRule="auto"/>
    </w:pPr>
    <w:rPr>
      <w:rFonts w:asciiTheme="minorHAnsi" w:eastAsiaTheme="minorHAnsi" w:hAnsiTheme="minorHAnsi" w:cstheme="minorBidi"/>
      <w:sz w:val="22"/>
    </w:rPr>
  </w:style>
  <w:style w:type="character" w:customStyle="1" w:styleId="FooterChar">
    <w:name w:val="Footer Char"/>
    <w:basedOn w:val="DefaultParagraphFont"/>
    <w:link w:val="Footer"/>
    <w:uiPriority w:val="99"/>
    <w:rsid w:val="00785717"/>
  </w:style>
  <w:style w:type="character" w:styleId="Hyperlink">
    <w:name w:val="Hyperlink"/>
    <w:basedOn w:val="DefaultParagraphFont"/>
    <w:uiPriority w:val="99"/>
    <w:rsid w:val="001D743C"/>
    <w:rPr>
      <w:color w:val="0000FF"/>
      <w:u w:val="single"/>
    </w:rPr>
  </w:style>
  <w:style w:type="paragraph" w:styleId="NoSpacing">
    <w:name w:val="No Spacing"/>
    <w:uiPriority w:val="1"/>
    <w:qFormat/>
    <w:rsid w:val="001D743C"/>
    <w:pPr>
      <w:spacing w:after="0" w:line="240" w:lineRule="auto"/>
    </w:pPr>
    <w:rPr>
      <w:rFonts w:ascii="Verdana" w:eastAsia="Calibri" w:hAnsi="Verdana" w:cs="Times New Roman"/>
      <w:sz w:val="18"/>
    </w:rPr>
  </w:style>
  <w:style w:type="character" w:styleId="UnresolvedMention">
    <w:name w:val="Unresolved Mention"/>
    <w:basedOn w:val="DefaultParagraphFont"/>
    <w:uiPriority w:val="99"/>
    <w:semiHidden/>
    <w:unhideWhenUsed/>
    <w:rsid w:val="0093199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ackaging-gateway.com/news/eu-ppwr-regulation-schedule/" TargetMode="External"/><Relationship Id="rId13" Type="http://schemas.openxmlformats.org/officeDocument/2006/relationships/hyperlink" Target="https://www.domino-printing.com/es-es/blog/2026/dp-impresion-de-codigos-qr-de-gs1?utm_medium=non-paid&amp;utm_source=onlinepublication&amp;utm_content=pr-dp-ppwr-check&amp;utm_campaign=2026-int-es-Global-PR-DP-FY26-Q2" TargetMode="External"/><Relationship Id="rId18" Type="http://schemas.openxmlformats.org/officeDocument/2006/relationships/header" Target="header1.xml"/><Relationship Id="rId3" Type="http://schemas.openxmlformats.org/officeDocument/2006/relationships/webSettings" Target="webSettings.xml"/><Relationship Id="rId21" Type="http://schemas.openxmlformats.org/officeDocument/2006/relationships/footer" Target="footer2.xml"/><Relationship Id="rId7" Type="http://schemas.openxmlformats.org/officeDocument/2006/relationships/hyperlink" Target="https://www.packaginginsights.com/news/coca-cola-mcdonalds-ppwr-delay.html" TargetMode="External"/><Relationship Id="rId12" Type="http://schemas.openxmlformats.org/officeDocument/2006/relationships/hyperlink" Target="https://www.packagingnews.co.uk/news/environment/data-shows-many-packaging-producers-still-struggling-with-recyclability-13-07-2026" TargetMode="External"/><Relationship Id="rId17" Type="http://schemas.openxmlformats.org/officeDocument/2006/relationships/hyperlink" Target="mailto:Jade.Taylor-Salazar@domino-uk.com"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mailto:Kathrin.Farr@domino-uk.com" TargetMode="External"/><Relationship Id="rId20" Type="http://schemas.openxmlformats.org/officeDocument/2006/relationships/footer" Target="footer1.xml"/><Relationship Id="rId1" Type="http://schemas.openxmlformats.org/officeDocument/2006/relationships/styles" Target="styles.xml"/><Relationship Id="rId6" Type="http://schemas.openxmlformats.org/officeDocument/2006/relationships/hyperlink" Target="https://environment.ec.europa.eu/topics/waste-and-recycling/packaging-waste/packaging-packaging-waste-regulation_en" TargetMode="External"/><Relationship Id="rId11" Type="http://schemas.openxmlformats.org/officeDocument/2006/relationships/hyperlink" Target="https://thepackhub.com/innovation-news/leclerc-replaces-cardboard-with-compact-plastic-film-in-biscuit-packaging/" TargetMode="External"/><Relationship Id="rId24" Type="http://schemas.openxmlformats.org/officeDocument/2006/relationships/fontTable" Target="fontTable.xml"/><Relationship Id="rId5" Type="http://schemas.openxmlformats.org/officeDocument/2006/relationships/endnotes" Target="endnotes.xml"/><Relationship Id="rId15" Type="http://schemas.openxmlformats.org/officeDocument/2006/relationships/hyperlink" Target="https://dominops-my.sharepoint.com/personal/kathrin_farr_domino-uk_com/Documents/Desktop/www.domino-spain.com" TargetMode="External"/><Relationship Id="rId23" Type="http://schemas.openxmlformats.org/officeDocument/2006/relationships/footer" Target="footer3.xml"/><Relationship Id="rId10" Type="http://schemas.openxmlformats.org/officeDocument/2006/relationships/hyperlink" Target="https://www.groupe-bel.com/en/newsroom/press-releases/bel-announces-global-rollout-of-babybels-paper-packaging/" TargetMode="External"/><Relationship Id="rId19"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yperlink" Target="https://www.mckinsey.com/industries/packaging-and-paper/our-insights/sustainability-in-packaging-2025-inside-the-minds-of-global-consumers" TargetMode="External"/><Relationship Id="rId14" Type="http://schemas.openxmlformats.org/officeDocument/2006/relationships/hyperlink" Target="https://www.domino-printing.com/es-es/home.aspx?utm_medium=non-paid&amp;utm_source=onlinepublication&amp;utm_content=pr-dp-ppwr-check&amp;utm_campaign=2026-int-es-Global-PR-DP-FY26-Q2" TargetMode="External"/><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Disclaimer ES Template - AC</Template>
  <TotalTime>27</TotalTime>
  <Pages>5</Pages>
  <Words>2163</Words>
  <Characters>12331</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Kathrin Farr</dc:creator>
  <cp:keywords/>
  <dc:description/>
  <cp:lastModifiedBy>Kathrin Farr</cp:lastModifiedBy>
  <cp:revision>2</cp:revision>
  <dcterms:created xsi:type="dcterms:W3CDTF">2026-08-06T09:05:00Z</dcterms:created>
  <dcterms:modified xsi:type="dcterms:W3CDTF">2026-08-06T09:05:00Z</dcterms:modified>
</cp:coreProperties>
</file>