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17CA" w14:textId="77777777" w:rsidR="00952E21" w:rsidRPr="00A73275" w:rsidRDefault="00952E21" w:rsidP="00952E21">
      <w:pPr>
        <w:pStyle w:val="NoSpacing"/>
        <w:spacing w:after="240"/>
        <w:rPr>
          <w:rFonts w:ascii="Noto Sans" w:hAnsi="Noto Sans" w:cs="Noto Sans"/>
          <w:b/>
          <w:bCs/>
          <w:sz w:val="28"/>
          <w:szCs w:val="28"/>
          <w:shd w:val="clear" w:color="auto" w:fill="FFFFFF"/>
          <w:lang w:val="de-DE"/>
        </w:rPr>
      </w:pPr>
      <w:bookmarkStart w:id="0" w:name="_Hlk46133219"/>
      <w:r w:rsidRPr="00A73275">
        <w:rPr>
          <w:rFonts w:ascii="Noto Sans" w:hAnsi="Noto Sans" w:cs="Noto Sans"/>
          <w:b/>
          <w:bCs/>
          <w:sz w:val="28"/>
          <w:szCs w:val="28"/>
          <w:shd w:val="clear" w:color="auto" w:fill="FFFFFF"/>
          <w:lang w:val="de"/>
        </w:rPr>
        <w:t>PPWR, Verpackungsdruck und Recyclingfähigkeit im Realitätscheck</w:t>
      </w:r>
    </w:p>
    <w:p w14:paraId="48255E46" w14:textId="77777777" w:rsidR="00952E21" w:rsidRPr="00A73275" w:rsidRDefault="00952E21" w:rsidP="00952E21">
      <w:pPr>
        <w:spacing w:after="240" w:line="240" w:lineRule="auto"/>
        <w:jc w:val="both"/>
        <w:rPr>
          <w:rFonts w:ascii="Noto Sans" w:hAnsi="Noto Sans" w:cs="Noto Sans"/>
          <w:i/>
          <w:iCs/>
          <w:sz w:val="22"/>
          <w:lang w:val="de-DE"/>
        </w:rPr>
      </w:pPr>
      <w:r w:rsidRPr="00A73275">
        <w:rPr>
          <w:rFonts w:ascii="Noto Sans" w:hAnsi="Noto Sans" w:cs="Noto Sans"/>
          <w:i/>
          <w:iCs/>
          <w:sz w:val="22"/>
          <w:lang w:val="de"/>
        </w:rPr>
        <w:t>Die EU-Verordnung über Verpackungen und Verpackungsabfälle (</w:t>
      </w:r>
      <w:hyperlink r:id="rId6" w:history="1">
        <w:r w:rsidRPr="00A73275">
          <w:rPr>
            <w:rStyle w:val="Hyperlink"/>
            <w:rFonts w:ascii="Noto Sans" w:hAnsi="Noto Sans" w:cs="Noto Sans"/>
            <w:i/>
            <w:iCs/>
            <w:sz w:val="22"/>
            <w:lang w:val="de"/>
          </w:rPr>
          <w:t>PPWR</w:t>
        </w:r>
      </w:hyperlink>
      <w:r w:rsidRPr="00A73275">
        <w:rPr>
          <w:rFonts w:ascii="Noto Sans" w:hAnsi="Noto Sans" w:cs="Noto Sans"/>
          <w:i/>
          <w:iCs/>
          <w:sz w:val="22"/>
          <w:lang w:val="de"/>
        </w:rPr>
        <w:t>) wird die Anforderungen an die Verpackung grundlegend verändern. Sie verlangt weniger Verpackungsmaterial, mehr Wiederverwendung und Recycling in industriellem Maßstab. Bislang konzentrieren sich viele Markenunternehmen bei der PPWR-Umsetzung auf die grundlegenden Anforderungen, die ab dem 12. August 2026 gelten: Verpackungsmaterial minimieren, gefährliche Stoffe reduzieren, rückverfolgbare Chargen- oder Seriennummern anbringen und für jede Verpackungsart eine EU-Konformitätserklärung erstellen.</w:t>
      </w:r>
    </w:p>
    <w:p w14:paraId="5C9E7E9E" w14:textId="77777777" w:rsidR="00952E21" w:rsidRPr="00A73275" w:rsidRDefault="00952E21" w:rsidP="00952E21">
      <w:pPr>
        <w:spacing w:after="240" w:line="240" w:lineRule="auto"/>
        <w:jc w:val="both"/>
        <w:rPr>
          <w:rFonts w:ascii="Noto Sans" w:hAnsi="Noto Sans" w:cs="Noto Sans"/>
          <w:i/>
          <w:iCs/>
          <w:sz w:val="22"/>
          <w:lang w:val="de-DE"/>
        </w:rPr>
      </w:pPr>
      <w:r w:rsidRPr="00A73275">
        <w:rPr>
          <w:rFonts w:ascii="Noto Sans" w:hAnsi="Noto Sans" w:cs="Noto Sans"/>
          <w:i/>
          <w:iCs/>
          <w:sz w:val="22"/>
          <w:lang w:val="de"/>
        </w:rPr>
        <w:t xml:space="preserve">Mit Blick auf 2030 gehen die Anforderungen noch deutlich weiter. Dann rücken die verwendeten Verpackungsmaterialien in den Mittelpunkt. Komponenten, die Recyclingströme beeinträchtigen könnten, sollen entfallen, um die Recyclingfähigkeit von Verpackungen zu maximieren. Viele Einzelheiten der PPWR sind jedoch noch nicht definiert. Auch die erforderliche Recyclinginfrastruktur muss erst geschaffen werden. Trotz Forderungen nach einer </w:t>
      </w:r>
      <w:hyperlink r:id="rId7" w:history="1">
        <w:r w:rsidRPr="00A73275">
          <w:rPr>
            <w:rStyle w:val="Hyperlink"/>
            <w:rFonts w:ascii="Noto Sans" w:hAnsi="Noto Sans" w:cs="Noto Sans"/>
            <w:i/>
            <w:iCs/>
            <w:sz w:val="22"/>
            <w:u w:val="none"/>
            <w:lang w:val="de"/>
          </w:rPr>
          <w:t>Verschiebung der Frist</w:t>
        </w:r>
      </w:hyperlink>
      <w:r w:rsidRPr="00A73275">
        <w:rPr>
          <w:rFonts w:ascii="Noto Sans" w:hAnsi="Noto Sans" w:cs="Noto Sans"/>
          <w:i/>
          <w:iCs/>
          <w:sz w:val="22"/>
          <w:lang w:val="de"/>
        </w:rPr>
        <w:t xml:space="preserve"> und nach </w:t>
      </w:r>
      <w:hyperlink r:id="rId8" w:history="1">
        <w:r w:rsidRPr="00A73275">
          <w:rPr>
            <w:rStyle w:val="Hyperlink"/>
            <w:rFonts w:ascii="Noto Sans" w:hAnsi="Noto Sans" w:cs="Noto Sans"/>
            <w:i/>
            <w:iCs/>
            <w:sz w:val="22"/>
            <w:u w:val="none"/>
            <w:lang w:val="de"/>
          </w:rPr>
          <w:t>ergänzenden Rechtsvorschriften</w:t>
        </w:r>
      </w:hyperlink>
      <w:r w:rsidRPr="00A73275">
        <w:rPr>
          <w:rFonts w:ascii="Noto Sans" w:hAnsi="Noto Sans" w:cs="Noto Sans"/>
          <w:i/>
          <w:iCs/>
          <w:sz w:val="22"/>
          <w:lang w:val="de"/>
        </w:rPr>
        <w:t>, die die Bedenken der Branche widerspiegeln, müssen Markenunternehmen schon jetzt mit der Planung beginnen.</w:t>
      </w:r>
    </w:p>
    <w:p w14:paraId="476C4F69" w14:textId="77777777" w:rsidR="00952E21" w:rsidRPr="00A73275" w:rsidRDefault="00952E21" w:rsidP="00952E21">
      <w:pPr>
        <w:tabs>
          <w:tab w:val="num" w:pos="720"/>
        </w:tabs>
        <w:spacing w:after="240" w:line="240" w:lineRule="auto"/>
        <w:jc w:val="both"/>
        <w:rPr>
          <w:rFonts w:ascii="Noto Sans" w:hAnsi="Noto Sans" w:cs="Noto Sans"/>
          <w:i/>
          <w:iCs/>
          <w:sz w:val="22"/>
          <w:lang w:val="de-DE"/>
        </w:rPr>
      </w:pPr>
      <w:r w:rsidRPr="00A73275">
        <w:rPr>
          <w:rFonts w:ascii="Noto Sans" w:hAnsi="Noto Sans" w:cs="Noto Sans"/>
          <w:i/>
          <w:iCs/>
          <w:sz w:val="22"/>
          <w:lang w:val="de"/>
        </w:rPr>
        <w:t xml:space="preserve">Natasha Jeremic, Head </w:t>
      </w:r>
      <w:proofErr w:type="spellStart"/>
      <w:r w:rsidRPr="00A73275">
        <w:rPr>
          <w:rFonts w:ascii="Noto Sans" w:hAnsi="Noto Sans" w:cs="Noto Sans"/>
          <w:i/>
          <w:iCs/>
          <w:sz w:val="22"/>
          <w:lang w:val="de"/>
        </w:rPr>
        <w:t>of</w:t>
      </w:r>
      <w:proofErr w:type="spellEnd"/>
      <w:r w:rsidRPr="00A73275">
        <w:rPr>
          <w:rFonts w:ascii="Noto Sans" w:hAnsi="Noto Sans" w:cs="Noto Sans"/>
          <w:i/>
          <w:iCs/>
          <w:sz w:val="22"/>
          <w:lang w:val="de"/>
        </w:rPr>
        <w:t xml:space="preserve"> </w:t>
      </w:r>
      <w:proofErr w:type="spellStart"/>
      <w:r w:rsidRPr="00A73275">
        <w:rPr>
          <w:rFonts w:ascii="Noto Sans" w:hAnsi="Noto Sans" w:cs="Noto Sans"/>
          <w:i/>
          <w:iCs/>
          <w:sz w:val="22"/>
          <w:lang w:val="de"/>
        </w:rPr>
        <w:t>Piezo</w:t>
      </w:r>
      <w:proofErr w:type="spellEnd"/>
      <w:r w:rsidRPr="00A73275">
        <w:rPr>
          <w:rFonts w:ascii="Noto Sans" w:hAnsi="Noto Sans" w:cs="Noto Sans"/>
          <w:i/>
          <w:iCs/>
          <w:sz w:val="22"/>
          <w:lang w:val="de"/>
        </w:rPr>
        <w:t xml:space="preserve"> Inks bei Domino Printing Sciences, beleuchtet die wirtschaftliche Realität für Verpackungsanbieter und erläutert, warum Weiterverarbeiter eine entscheidende Rolle bei der nachhaltigkeitsorientierten Zusammenarbeit spielen.</w:t>
      </w:r>
    </w:p>
    <w:p w14:paraId="212F4B15" w14:textId="77777777" w:rsidR="00952E21" w:rsidRPr="00A73275" w:rsidRDefault="00952E21" w:rsidP="00952E21">
      <w:pPr>
        <w:spacing w:after="240" w:line="240" w:lineRule="auto"/>
        <w:jc w:val="both"/>
        <w:rPr>
          <w:rFonts w:ascii="Noto Sans" w:hAnsi="Noto Sans" w:cs="Noto Sans"/>
          <w:b/>
          <w:bCs/>
          <w:sz w:val="22"/>
          <w:lang w:val="de-DE"/>
        </w:rPr>
      </w:pPr>
      <w:r w:rsidRPr="00A73275">
        <w:rPr>
          <w:rFonts w:ascii="Noto Sans" w:hAnsi="Noto Sans" w:cs="Noto Sans"/>
          <w:b/>
          <w:bCs/>
          <w:sz w:val="22"/>
          <w:lang w:val="de"/>
        </w:rPr>
        <w:t>Regulierung trifft auf fehlende Bereitschaft</w:t>
      </w:r>
    </w:p>
    <w:p w14:paraId="2E603999" w14:textId="0595DBC0"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Auch wenn das Interesse der Verbraucher an den </w:t>
      </w:r>
      <w:hyperlink r:id="rId9" w:history="1">
        <w:r w:rsidRPr="00A73275">
          <w:rPr>
            <w:rStyle w:val="Hyperlink"/>
            <w:rFonts w:ascii="Noto Sans" w:hAnsi="Noto Sans" w:cs="Noto Sans"/>
            <w:sz w:val="22"/>
            <w:lang w:val="de"/>
          </w:rPr>
          <w:t>Umweltauswirkungen</w:t>
        </w:r>
        <w:r>
          <w:rPr>
            <w:rStyle w:val="Hyperlink"/>
            <w:rFonts w:ascii="Noto Sans" w:hAnsi="Noto Sans" w:cs="Noto Sans"/>
            <w:sz w:val="22"/>
            <w:lang w:val="de"/>
          </w:rPr>
          <w:t xml:space="preserve"> von</w:t>
        </w:r>
        <w:r w:rsidRPr="00A73275">
          <w:rPr>
            <w:rStyle w:val="Hyperlink"/>
            <w:rFonts w:ascii="Noto Sans" w:hAnsi="Noto Sans" w:cs="Noto Sans"/>
            <w:sz w:val="22"/>
            <w:lang w:val="de"/>
          </w:rPr>
          <w:t xml:space="preserve"> </w:t>
        </w:r>
        <w:r w:rsidRPr="00A73275">
          <w:rPr>
            <w:rStyle w:val="Hyperlink"/>
            <w:rFonts w:ascii="Noto Sans" w:hAnsi="Noto Sans" w:cs="Noto Sans"/>
            <w:sz w:val="22"/>
            <w:lang w:val="de"/>
          </w:rPr>
          <w:t>Verpacku</w:t>
        </w:r>
        <w:r>
          <w:rPr>
            <w:rStyle w:val="Hyperlink"/>
            <w:rFonts w:ascii="Noto Sans" w:hAnsi="Noto Sans" w:cs="Noto Sans"/>
            <w:sz w:val="22"/>
            <w:lang w:val="de"/>
          </w:rPr>
          <w:t>ngen</w:t>
        </w:r>
      </w:hyperlink>
      <w:r w:rsidRPr="00A73275">
        <w:rPr>
          <w:rFonts w:ascii="Noto Sans" w:hAnsi="Noto Sans" w:cs="Noto Sans"/>
          <w:sz w:val="22"/>
          <w:lang w:val="de"/>
        </w:rPr>
        <w:t xml:space="preserve"> nachlässt, zwingen regulatorische Anforderungen Markenunternehmen dazu, ihre bisherigen Ansätze bei der Entwicklung und Herstellung von Verpackungen und Etiketten neu zu überdenken. Auflagenhöhe, Druckqualität und Kosten bestimmen die Entscheidungen nicht mehr allein. Künftig müssen Unternehmen zugleich die PPWR-Vorgaben zur Recyclingfähigkeit und zu Mindestanteilen an Rezyklat erfüllen.</w:t>
      </w:r>
    </w:p>
    <w:p w14:paraId="3C8E7BAC"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Die PPWR legt stufenweise Ziele für 2030 und die Folgejahre fest. In der Branche wächst jedoch die Sorge, dass die nötigen Rahmenbedingungen fehlen. Zentrale Definitionen zur Recyclingfähigkeit, zu Güteklassen von Rezyklaten und den dazugehörigen Prüfverfahren sind noch unklar oder unvollständig. Ebenso offen ist, wie die Einhaltung der Vorgaben langfristig bewertet werden soll. </w:t>
      </w:r>
    </w:p>
    <w:p w14:paraId="412B4E33"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Die Folge ist nicht nur ein uneinheitliches Verständnis davon, was nachhaltige Verpackungen ausmacht. Auch bei der nachhaltigen Produktentwicklung arbeiten die Beteiligten häufig isoliert voneinander. Anbieter von Tinten, Klebstoffen und Materialien bewerten ihre eigenen Produktportfolios, ohne die Auswirkungen auf die Verpackung </w:t>
      </w:r>
      <w:r w:rsidRPr="00A73275">
        <w:rPr>
          <w:rFonts w:ascii="Noto Sans" w:hAnsi="Noto Sans" w:cs="Noto Sans"/>
          <w:sz w:val="22"/>
          <w:lang w:val="de"/>
        </w:rPr>
        <w:lastRenderedPageBreak/>
        <w:t xml:space="preserve">als Ganzes zu berücksichtigen. Das bedeutet: Einzelne Komponenten können als PPWR-konform und technisch recyclingfähig gelten. Die fertige Verpackung kann bei der Bewertung ihrer Recyclingfähigkeit jedoch trotzdem durchfallen, wenn sie sich in der Praxis nicht in ausreichendem Umfang recyceln lässt. </w:t>
      </w:r>
    </w:p>
    <w:p w14:paraId="3563D6C4" w14:textId="77777777" w:rsidR="00952E21" w:rsidRPr="00A73275" w:rsidRDefault="00952E21" w:rsidP="00952E21">
      <w:pPr>
        <w:spacing w:after="240" w:line="240" w:lineRule="auto"/>
        <w:jc w:val="both"/>
        <w:rPr>
          <w:rFonts w:ascii="Noto Sans" w:hAnsi="Noto Sans" w:cs="Noto Sans"/>
          <w:b/>
          <w:bCs/>
          <w:sz w:val="22"/>
          <w:lang w:val="de-DE"/>
        </w:rPr>
      </w:pPr>
      <w:r w:rsidRPr="00A73275">
        <w:rPr>
          <w:rFonts w:ascii="Noto Sans" w:hAnsi="Noto Sans" w:cs="Noto Sans"/>
          <w:b/>
          <w:bCs/>
          <w:sz w:val="22"/>
          <w:lang w:val="de"/>
        </w:rPr>
        <w:t>Umweltfreundlichkeit versus Auswirkungen über den gesamten Lebenszyklus</w:t>
      </w:r>
    </w:p>
    <w:p w14:paraId="5232E7AE"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Markenunternehmen haben ihre Verpackungsstrategien bereits erheblich angepasst, um die PPWR-Anforderungen ab August 2026 zu erfüllen. Sie haben den Materialeinsatz bei Verpackungen minimiert, gefährliche Stoffe entfernt und die Rückverfolgbarkeit sichergestellt. Der starke Fokus der PPWR-Vorgaben für 2030 auf die Recyclingfähigkeit von Verpackungen wirft jedoch die Frage auf, ob sich die Wahrnehmung ihrer Umweltfreundlichkeit zu sehr an den Möglichkeiten der heutigen Recyclingsysteme orientiert, anstatt die Umweltauswirkungen über den gesamten Lebenszyklus zu berücksichtigen. </w:t>
      </w:r>
    </w:p>
    <w:p w14:paraId="05EEED2F" w14:textId="1339A8E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Diese Unklarheit veranlasst Markenunternehmen, bei der Verpackungsgestaltung und Materialauswahl unterschiedliche Wege einzuschlagen. </w:t>
      </w:r>
      <w:hyperlink r:id="rId10" w:history="1">
        <w:proofErr w:type="spellStart"/>
        <w:r w:rsidRPr="00A73275">
          <w:rPr>
            <w:rStyle w:val="Hyperlink"/>
            <w:rFonts w:ascii="Noto Sans" w:hAnsi="Noto Sans" w:cs="Noto Sans"/>
            <w:sz w:val="22"/>
            <w:lang w:val="de"/>
          </w:rPr>
          <w:t>Babybel</w:t>
        </w:r>
        <w:proofErr w:type="spellEnd"/>
      </w:hyperlink>
      <w:r w:rsidRPr="00A73275">
        <w:rPr>
          <w:rFonts w:ascii="Noto Sans" w:hAnsi="Noto Sans" w:cs="Noto Sans"/>
          <w:sz w:val="22"/>
          <w:lang w:val="de"/>
        </w:rPr>
        <w:t xml:space="preserve"> hat beispielsweise überall dort, wo dies möglich ist, auf papierbasierte Verpackungen umgestellt. Im Hinblick auf die Recyclingfähigkeit ist dies eine vergleichsweise leicht umsetzbare Lösung. Verbraucher sehen Papier als die nachhaltigere Wahl, und zugleich lassen sich damit die komplexeren und sich stetig weiterentwickelnden Vorschriften für Kunststoffverpackungen umgehen. </w:t>
      </w:r>
      <w:r w:rsidRPr="00B12BB8">
        <w:rPr>
          <w:rFonts w:ascii="Noto Sans" w:hAnsi="Noto Sans" w:cs="Noto Sans"/>
          <w:sz w:val="22"/>
          <w:lang w:val="de"/>
        </w:rPr>
        <w:t xml:space="preserve">Der kanadische Gebäckhersteller </w:t>
      </w:r>
      <w:hyperlink r:id="rId11" w:history="1">
        <w:r w:rsidRPr="00B12BB8">
          <w:rPr>
            <w:rStyle w:val="Hyperlink"/>
            <w:rFonts w:ascii="Noto Sans" w:hAnsi="Noto Sans" w:cs="Noto Sans"/>
            <w:sz w:val="22"/>
            <w:lang w:val="de"/>
          </w:rPr>
          <w:t>Leclerc</w:t>
        </w:r>
      </w:hyperlink>
      <w:r w:rsidRPr="00B12BB8">
        <w:rPr>
          <w:rFonts w:ascii="Noto Sans" w:hAnsi="Noto Sans" w:cs="Noto Sans"/>
          <w:sz w:val="22"/>
          <w:lang w:val="de"/>
        </w:rPr>
        <w:t xml:space="preserve"> hat dagegen Karton durch leichte Kunststofffolie ersetzt.</w:t>
      </w:r>
      <w:r w:rsidRPr="00A73275">
        <w:rPr>
          <w:rFonts w:ascii="Noto Sans" w:hAnsi="Noto Sans" w:cs="Noto Sans"/>
          <w:sz w:val="22"/>
          <w:lang w:val="de"/>
        </w:rPr>
        <w:t xml:space="preserve"> Ausschlaggebend war eine Lebenszyklusanalyse, der zufolge sich dadurch sowohl die Transportemissionen als auch der Materialverbrauch insgesamt reduzieren lassen.</w:t>
      </w:r>
    </w:p>
    <w:p w14:paraId="3A0DD7ED"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Bei Verpackungsentscheidungen müssen Markenunternehmen außerdem die länderspezifischen Unterschiede bei den Gebühren im Rahmen der erweiterten Herstellerverantwortung (Extended Producer </w:t>
      </w:r>
      <w:proofErr w:type="spellStart"/>
      <w:r w:rsidRPr="00A73275">
        <w:rPr>
          <w:rFonts w:ascii="Noto Sans" w:hAnsi="Noto Sans" w:cs="Noto Sans"/>
          <w:sz w:val="22"/>
          <w:lang w:val="de"/>
        </w:rPr>
        <w:t>Responsibility</w:t>
      </w:r>
      <w:proofErr w:type="spellEnd"/>
      <w:r w:rsidRPr="00A73275">
        <w:rPr>
          <w:rFonts w:ascii="Noto Sans" w:hAnsi="Noto Sans" w:cs="Noto Sans"/>
          <w:sz w:val="22"/>
          <w:lang w:val="de"/>
        </w:rPr>
        <w:t xml:space="preserve">, EPR) berücksichtigen.  Eine aktuelle Umfrage des britischen Umweltministeriums </w:t>
      </w:r>
      <w:proofErr w:type="spellStart"/>
      <w:r w:rsidRPr="00A73275">
        <w:rPr>
          <w:rFonts w:ascii="Noto Sans" w:hAnsi="Noto Sans" w:cs="Noto Sans"/>
          <w:sz w:val="22"/>
          <w:lang w:val="de"/>
        </w:rPr>
        <w:t>Defra</w:t>
      </w:r>
      <w:proofErr w:type="spellEnd"/>
      <w:r w:rsidRPr="00A73275">
        <w:rPr>
          <w:rFonts w:ascii="Noto Sans" w:hAnsi="Noto Sans" w:cs="Noto Sans"/>
          <w:sz w:val="22"/>
          <w:lang w:val="de"/>
        </w:rPr>
        <w:t xml:space="preserve"> zeigt erhebliche Unterschiede zwischen den Anbietern: Nur </w:t>
      </w:r>
      <w:hyperlink r:id="rId12" w:history="1">
        <w:r w:rsidRPr="00A73275">
          <w:rPr>
            <w:rStyle w:val="Hyperlink"/>
            <w:rFonts w:ascii="Noto Sans" w:hAnsi="Noto Sans" w:cs="Noto Sans"/>
            <w:sz w:val="22"/>
            <w:lang w:val="de"/>
          </w:rPr>
          <w:t>10 % der britischen Verpackungshersteller</w:t>
        </w:r>
      </w:hyperlink>
      <w:r w:rsidRPr="00A73275">
        <w:rPr>
          <w:rFonts w:ascii="Noto Sans" w:hAnsi="Noto Sans" w:cs="Noto Sans"/>
          <w:sz w:val="22"/>
          <w:lang w:val="de"/>
        </w:rPr>
        <w:t xml:space="preserve"> haben vollständig auf flächendeckend recycelbare Verpackungen umgestellt. 14 % bieten dagegen weiterhin ausschließlich Verpackungen an, deren Recycling erhebliche Schwierigkeiten bereitet.  </w:t>
      </w:r>
    </w:p>
    <w:p w14:paraId="40216D40" w14:textId="77777777" w:rsidR="00952E21" w:rsidRPr="00A73275" w:rsidRDefault="00952E21" w:rsidP="00952E21">
      <w:pPr>
        <w:spacing w:after="240" w:line="240" w:lineRule="auto"/>
        <w:jc w:val="both"/>
        <w:rPr>
          <w:rFonts w:ascii="Noto Sans" w:hAnsi="Noto Sans" w:cs="Noto Sans"/>
          <w:b/>
          <w:bCs/>
          <w:sz w:val="22"/>
          <w:lang w:val="de-DE"/>
        </w:rPr>
      </w:pPr>
      <w:r w:rsidRPr="00A73275">
        <w:rPr>
          <w:rFonts w:ascii="Noto Sans" w:hAnsi="Noto Sans" w:cs="Noto Sans"/>
          <w:b/>
          <w:bCs/>
          <w:sz w:val="22"/>
          <w:lang w:val="de"/>
        </w:rPr>
        <w:t>Die wirtschaftliche Realität für Verpackungshersteller</w:t>
      </w:r>
    </w:p>
    <w:p w14:paraId="5D68F508"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Um diesen Zustand zu überwinden, müssen alle Beteiligten entlang der Lieferkette enger zusammenarbeiten und Markenunternehmen verlässliche Informationen zu Verpackungsprodukten bereitstellen. Gemeinsame Prüfungen und Validierungen schaffen die Grundlage für Verpackungsstrategien, die sowohl die regulatorischen </w:t>
      </w:r>
      <w:r w:rsidRPr="00A73275">
        <w:rPr>
          <w:rFonts w:ascii="Noto Sans" w:hAnsi="Noto Sans" w:cs="Noto Sans"/>
          <w:sz w:val="22"/>
          <w:lang w:val="de"/>
        </w:rPr>
        <w:lastRenderedPageBreak/>
        <w:t xml:space="preserve">Anforderungen als auch die tatsächlichen Möglichkeiten der heutigen Recyclingsysteme berücksichtigen. </w:t>
      </w:r>
    </w:p>
    <w:p w14:paraId="1E8D2A5F"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Weiterverarbeiter können die Zusammenarbeit zwischen den verschiedenen Anbietern fördern und Markenunternehmen helfen, diese Phase der Unsicherheit und des Wandels zu bewältigen. Sie können beispielsweise die Vor- und Nachteile neuer </w:t>
      </w:r>
      <w:proofErr w:type="spellStart"/>
      <w:r w:rsidRPr="00A73275">
        <w:rPr>
          <w:rFonts w:ascii="Noto Sans" w:hAnsi="Noto Sans" w:cs="Noto Sans"/>
          <w:sz w:val="22"/>
          <w:lang w:val="de"/>
        </w:rPr>
        <w:t>Rezyklatqualitäten</w:t>
      </w:r>
      <w:proofErr w:type="spellEnd"/>
      <w:r w:rsidRPr="00A73275">
        <w:rPr>
          <w:rFonts w:ascii="Noto Sans" w:hAnsi="Noto Sans" w:cs="Noto Sans"/>
          <w:sz w:val="22"/>
          <w:lang w:val="de"/>
        </w:rPr>
        <w:t xml:space="preserve"> ermitteln. Hochwertige recycelte Verpackungsmaterialien sind häufig teurer und können beim Bedrucken Probleme verursachen, etwa bei der Tintenhaftung oder der Druckgeschwindigkeit. Dies kann mehr Abfälle verursachen sowie Effizienz und Produktivität reduzieren. </w:t>
      </w:r>
    </w:p>
    <w:p w14:paraId="289F38A8"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Entscheidend sind die Zusammenarbeit mit Druckmaschinenherstellern sowie Tinten- und Materiallieferanten, gemeinsame Prüfungen und ein offener Datenaustausch. Nur so lässt sich das nötige Vertrauen schaffen. Auf dieser Grundlage können Verpackungsanbieter nachhaltige Materialien identifizieren und validieren, die in der Produktion zuverlässig funktionieren und zugleich die gewünschte optische Wirkung für ihre Markenkunden erzielen. Diese Zusammenarbeit unterstützt zudem den Übergang von pauschalen Aussagen wie „umweltfreundlich“ oder „wiederverwertbar“ hin zu messbaren und nachweisbaren Angaben.</w:t>
      </w:r>
    </w:p>
    <w:p w14:paraId="7F4D5D12" w14:textId="77777777" w:rsidR="00952E21" w:rsidRPr="00A73275" w:rsidRDefault="00952E21" w:rsidP="00952E21">
      <w:pPr>
        <w:spacing w:after="240" w:line="240" w:lineRule="auto"/>
        <w:jc w:val="both"/>
        <w:rPr>
          <w:rFonts w:ascii="Noto Sans" w:hAnsi="Noto Sans" w:cs="Noto Sans"/>
          <w:b/>
          <w:bCs/>
          <w:sz w:val="22"/>
          <w:lang w:val="de-DE"/>
        </w:rPr>
      </w:pPr>
      <w:r w:rsidRPr="00A73275">
        <w:rPr>
          <w:rFonts w:ascii="Noto Sans" w:hAnsi="Noto Sans" w:cs="Noto Sans"/>
          <w:b/>
          <w:bCs/>
          <w:sz w:val="22"/>
          <w:lang w:val="de"/>
        </w:rPr>
        <w:t>Wie Digitaldruck den Übergang unterstützt</w:t>
      </w:r>
    </w:p>
    <w:p w14:paraId="55F865C9"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Gemeinsam erhobene, verlässliche Daten werden in einem zunehmend regulierten Umfeld für die Compliance-Berichterstattung unverzichtbar. Weiterverarbeiter nehmen dabei eine zentrale Position ein: Sie führen Daten aus der gesamten Wertschöpfungskette zusammen und informieren Markenunternehmen über Materialien, </w:t>
      </w:r>
      <w:proofErr w:type="spellStart"/>
      <w:r w:rsidRPr="00A73275">
        <w:rPr>
          <w:rFonts w:ascii="Noto Sans" w:hAnsi="Noto Sans" w:cs="Noto Sans"/>
          <w:sz w:val="22"/>
          <w:lang w:val="de"/>
        </w:rPr>
        <w:t>Rezyklatanteile</w:t>
      </w:r>
      <w:proofErr w:type="spellEnd"/>
      <w:r w:rsidRPr="00A73275">
        <w:rPr>
          <w:rFonts w:ascii="Noto Sans" w:hAnsi="Noto Sans" w:cs="Noto Sans"/>
          <w:sz w:val="22"/>
          <w:lang w:val="de"/>
        </w:rPr>
        <w:t>, besorgniserregende Stoffe und die Recyclingfähigkeit. Diese Angaben fließen in EU-Konformitätserklärungen und EPR-Berichte ein.</w:t>
      </w:r>
    </w:p>
    <w:p w14:paraId="3565BFBD"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Die digitale </w:t>
      </w:r>
      <w:proofErr w:type="spellStart"/>
      <w:r w:rsidRPr="00A73275">
        <w:rPr>
          <w:rFonts w:ascii="Noto Sans" w:hAnsi="Noto Sans" w:cs="Noto Sans"/>
          <w:sz w:val="22"/>
          <w:lang w:val="de"/>
        </w:rPr>
        <w:t>Inkjet</w:t>
      </w:r>
      <w:proofErr w:type="spellEnd"/>
      <w:r w:rsidRPr="00A73275">
        <w:rPr>
          <w:rFonts w:ascii="Noto Sans" w:hAnsi="Noto Sans" w:cs="Noto Sans"/>
          <w:sz w:val="22"/>
          <w:lang w:val="de"/>
        </w:rPr>
        <w:t>-Drucktechnologie kann diesen Wandel maßgeblich unterstützen. Sie ermöglicht den Einsatz variabler, GS1-basierter 2D-Codes. Diese fördern nicht nur die Rückverfolgbarkeit, die Echtzeitüberwachung über den Produktlebenszyklus und die Compliance-Berichterstattung. In Verbindung mit vernetzten Datenplattformen lassen sie sich auch fortlaufend an neue Anforderungen an Produkt- und Verpackungsinformationen anpassen. Das wird in den kommenden Jahren besonders wichtig, wenn die PPWR schrittweise umgesetzt wird und Initiativen wie Sunrise 2027 und der digitale Produktpass voranschreiten.</w:t>
      </w:r>
    </w:p>
    <w:p w14:paraId="1B7988D5"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 xml:space="preserve">Darüber hinaus bietet der Digitaldruck die operative Flexibilität, die Markenunternehmen angesichts unterschiedlichster Verpackungsanforderungen benötigen. Auch kleinere Auflagen mit wechselnden Verpackungsdesigns lassen sich wirtschaftlich produzieren. So können Unternehmen schneller auf neue Vorgaben für </w:t>
      </w:r>
      <w:r w:rsidRPr="00A73275">
        <w:rPr>
          <w:rFonts w:ascii="Noto Sans" w:hAnsi="Noto Sans" w:cs="Noto Sans"/>
          <w:sz w:val="22"/>
          <w:lang w:val="de"/>
        </w:rPr>
        <w:lastRenderedPageBreak/>
        <w:t xml:space="preserve">Informationen auf der Verpackung reagieren, beispielsweise auf eine Serialisierung nach Charge oder auf Einzelproduktebene. Die </w:t>
      </w:r>
      <w:proofErr w:type="spellStart"/>
      <w:r w:rsidRPr="00A73275">
        <w:rPr>
          <w:rFonts w:ascii="Noto Sans" w:hAnsi="Noto Sans" w:cs="Noto Sans"/>
          <w:sz w:val="22"/>
          <w:lang w:val="de"/>
        </w:rPr>
        <w:t>Inkjet</w:t>
      </w:r>
      <w:proofErr w:type="spellEnd"/>
      <w:r w:rsidRPr="00A73275">
        <w:rPr>
          <w:rFonts w:ascii="Noto Sans" w:hAnsi="Noto Sans" w:cs="Noto Sans"/>
          <w:sz w:val="22"/>
          <w:lang w:val="de"/>
        </w:rPr>
        <w:t>-Technologie ermöglicht zudem eine präzisere Steuerung des Tintenauftrags. Das senkt den Tintenverbrauch und kann den Einfluss des Drucks auf die Recyclingfähigkeit der Verpackung verringern</w:t>
      </w:r>
      <w:r>
        <w:rPr>
          <w:rFonts w:ascii="Noto Sans" w:hAnsi="Noto Sans" w:cs="Noto Sans"/>
          <w:lang w:val="de"/>
        </w:rPr>
        <w:t>.</w:t>
      </w:r>
      <w:r w:rsidRPr="00A73275">
        <w:rPr>
          <w:rFonts w:ascii="Noto Sans" w:hAnsi="Noto Sans" w:cs="Noto Sans"/>
          <w:sz w:val="22"/>
          <w:lang w:val="de"/>
        </w:rPr>
        <w:t xml:space="preserve"> Insgesamt können Weiterverarbeiter mit einem digitalen Ansatz ihren Kunden ein deutlich flexibleres Leistungsangebot unterbreiten. </w:t>
      </w:r>
    </w:p>
    <w:p w14:paraId="20831EAF"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b/>
          <w:bCs/>
          <w:sz w:val="22"/>
          <w:lang w:val="de"/>
        </w:rPr>
        <w:t>Fazit</w:t>
      </w:r>
    </w:p>
    <w:p w14:paraId="613CE81A" w14:textId="77777777" w:rsidR="00952E21" w:rsidRPr="00A73275" w:rsidRDefault="00952E21" w:rsidP="00952E21">
      <w:pPr>
        <w:pStyle w:val="NoSpacing"/>
        <w:spacing w:after="240"/>
        <w:jc w:val="both"/>
        <w:rPr>
          <w:rFonts w:ascii="Noto Sans" w:hAnsi="Noto Sans" w:cs="Noto Sans"/>
          <w:sz w:val="22"/>
          <w:lang w:val="de-DE"/>
        </w:rPr>
      </w:pPr>
      <w:r w:rsidRPr="00A73275">
        <w:rPr>
          <w:rFonts w:ascii="Noto Sans" w:hAnsi="Noto Sans" w:cs="Noto Sans"/>
          <w:sz w:val="22"/>
          <w:lang w:val="de"/>
        </w:rPr>
        <w:t xml:space="preserve">Die sich weiterentwickelnden Nachhaltigkeitsvorschriften machen die Konstruktion von Verpackungen und die Materialauswahl erheblich komplexer. Die Branche muss isolierte Arbeitsweisen rasch überwinden und zu einer kontinuierlichen, engen Zusammenarbeit zwischen </w:t>
      </w:r>
      <w:hyperlink r:id="rId13" w:history="1">
        <w:r w:rsidRPr="00EC1C21">
          <w:rPr>
            <w:rStyle w:val="Hyperlink"/>
            <w:rFonts w:ascii="Noto Sans" w:hAnsi="Noto Sans" w:cs="Noto Sans"/>
            <w:sz w:val="22"/>
            <w:lang w:val="de"/>
          </w:rPr>
          <w:t>Druckmaschinenherstellern</w:t>
        </w:r>
      </w:hyperlink>
      <w:r>
        <w:rPr>
          <w:rFonts w:ascii="Noto Sans" w:hAnsi="Noto Sans" w:cs="Noto Sans"/>
          <w:sz w:val="22"/>
          <w:lang w:val="de"/>
        </w:rPr>
        <w:t xml:space="preserve">, </w:t>
      </w:r>
      <w:r w:rsidRPr="00A73275">
        <w:rPr>
          <w:rFonts w:ascii="Noto Sans" w:hAnsi="Noto Sans" w:cs="Noto Sans"/>
          <w:sz w:val="22"/>
          <w:lang w:val="de"/>
        </w:rPr>
        <w:t xml:space="preserve">Materialanbietern, Weiterverarbeitern und Markenunternehmen übergehen. Alle Beteiligten entlang der Wertschöpfungskette müssen Lösungen gemeinsam anpassen, prüfen und weiterentwickeln. Nur so können sie sowohl die regulatorischen Anforderungen als auch die tatsächlichen Möglichkeiten der heutigen Recyclinginfrastruktur berücksichtigen. </w:t>
      </w:r>
    </w:p>
    <w:p w14:paraId="78A1270D"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Für Weiterverarbeiter eröffnet sich damit eine gro</w:t>
      </w:r>
      <w:r>
        <w:rPr>
          <w:rFonts w:ascii="Noto Sans" w:hAnsi="Noto Sans" w:cs="Noto Sans"/>
          <w:lang w:val="de"/>
        </w:rPr>
        <w:t>ß</w:t>
      </w:r>
      <w:r w:rsidRPr="00A73275">
        <w:rPr>
          <w:rFonts w:ascii="Noto Sans" w:hAnsi="Noto Sans" w:cs="Noto Sans"/>
          <w:sz w:val="22"/>
          <w:lang w:val="de"/>
        </w:rPr>
        <w:t>e Chance. Sie können ihr Wissen über Materialkombinationen und Recyclingfähigkeit vertiefen, Compliance-Daten erfassen und mithilfe digitaler Technologien in mehr Flexibilität investieren.  Unternehmen, die beim Thema Nachhaltigkeit eine Vorreiterrolle übernehmen, sichern ihre Wettbewerbsfähigkeit und können ihre Markenkunden gezielt bei der PPWR-Umsetzung unterstützen.</w:t>
      </w:r>
    </w:p>
    <w:p w14:paraId="5964165B" w14:textId="77777777" w:rsidR="00952E21" w:rsidRPr="00A73275" w:rsidRDefault="00952E21" w:rsidP="00952E21">
      <w:pPr>
        <w:spacing w:after="240" w:line="240" w:lineRule="auto"/>
        <w:jc w:val="both"/>
        <w:rPr>
          <w:rFonts w:ascii="Noto Sans" w:hAnsi="Noto Sans" w:cs="Noto Sans"/>
          <w:sz w:val="22"/>
          <w:lang w:val="de-DE"/>
        </w:rPr>
      </w:pPr>
      <w:r w:rsidRPr="00A73275">
        <w:rPr>
          <w:rFonts w:ascii="Noto Sans" w:hAnsi="Noto Sans" w:cs="Noto Sans"/>
          <w:sz w:val="22"/>
          <w:lang w:val="de"/>
        </w:rPr>
        <w:t>ENDE</w:t>
      </w:r>
    </w:p>
    <w:p w14:paraId="02440ADA" w14:textId="04C33F7B" w:rsidR="001F4A67" w:rsidRDefault="001F4A67" w:rsidP="00952E21">
      <w:pPr>
        <w:spacing w:line="240" w:lineRule="auto"/>
        <w:rPr>
          <w:rFonts w:ascii="Noto Sans" w:eastAsia="Gill Sans" w:hAnsi="Noto Sans" w:cs="Noto Sans"/>
          <w:b/>
          <w:szCs w:val="18"/>
          <w:lang w:val="de-DE"/>
        </w:rPr>
      </w:pPr>
      <w:r w:rsidRPr="001F4A67">
        <w:rPr>
          <w:rFonts w:ascii="Noto Sans" w:eastAsia="Gill Sans" w:hAnsi="Noto Sans" w:cs="Noto Sans"/>
          <w:b/>
          <w:szCs w:val="18"/>
          <w:lang w:val="de-DE"/>
        </w:rPr>
        <w:t>———</w:t>
      </w:r>
    </w:p>
    <w:p w14:paraId="07610805" w14:textId="2AFDD542" w:rsidR="005524DB" w:rsidRPr="00494047" w:rsidRDefault="001F4A67" w:rsidP="00952E21">
      <w:pPr>
        <w:spacing w:line="240" w:lineRule="auto"/>
        <w:rPr>
          <w:rFonts w:ascii="Noto Sans" w:hAnsi="Noto Sans" w:cs="Noto Sans"/>
          <w:sz w:val="20"/>
          <w:szCs w:val="20"/>
          <w:lang w:val="de-DE"/>
        </w:rPr>
      </w:pPr>
      <w:r>
        <w:rPr>
          <w:rFonts w:ascii="Noto Sans" w:eastAsia="Gill Sans" w:hAnsi="Noto Sans" w:cs="Noto Sans"/>
          <w:b/>
          <w:szCs w:val="18"/>
          <w:lang w:val="de-DE"/>
        </w:rPr>
        <w:br/>
      </w:r>
      <w:r w:rsidR="00CF6D5D" w:rsidRPr="00CF6D5D">
        <w:rPr>
          <w:rFonts w:ascii="Noto Sans" w:eastAsia="Gill Sans" w:hAnsi="Noto Sans" w:cs="Noto Sans"/>
          <w:b/>
          <w:szCs w:val="18"/>
          <w:lang w:val="de-DE"/>
        </w:rPr>
        <w:t>Haftungsausschlüsse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Tinten</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Die in diesem Dokument enthaltenen Informationen sind nicht als Ersatz für geeignete Tests für Ihre spezifische Nutzung und Umstände gedacht. Weder Domino UK Limited noch eines der Unternehmen der Domino-Gruppe haftet in irgendeiner Weise für das Vertrauen, das Sie in dieses Dokument hinsichtlich der Eignung einer bestimmten Tinte für Ihre Anwendung setzen. Dieses Dokument ist kein Bestandteil der allgemeinen Geschäftsbedingungen zwischen Ihnen und Domino, rechtliche Haftungsausschlüsse v.1.0 Februar 2018 und die Allgemeinen Geschäftsbedingungen von Domino gelten für jeden Kauf von Produkten durch Sie.</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Allgemeines</w:t>
      </w:r>
      <w:r>
        <w:rPr>
          <w:rFonts w:ascii="Noto Sans" w:eastAsia="Gill Sans" w:hAnsi="Noto Sans" w:cs="Noto Sans"/>
          <w:b/>
          <w:szCs w:val="18"/>
          <w:lang w:val="de-DE"/>
        </w:rPr>
        <w:br/>
      </w:r>
      <w:r w:rsidR="00CF6D5D" w:rsidRPr="00CF6D5D">
        <w:rPr>
          <w:rFonts w:ascii="Noto Sans" w:eastAsia="Gill Sans" w:hAnsi="Noto Sans" w:cs="Noto Sans"/>
          <w:bCs/>
          <w:szCs w:val="18"/>
          <w:lang w:val="de-DE"/>
        </w:rPr>
        <w:t xml:space="preserve">Die in dieser Pressemitteilung enthaltenen Informationen gelten zum Zeitpunkt der Veröffentlichung durch Domino als wahr und korrekt, Änderungen der Umstände nach dem Zeitpunkt der Veröffentlichung können die Genauigkeit der Informationen beeinträchtigen. Alle leistungsbezogene Zahlen und Ansprüche, die in diesem Dokument zitiert werden, wurden unter spezifischen Bedingungen erlangt und </w:t>
      </w:r>
      <w:r w:rsidR="00774DE8">
        <w:rPr>
          <w:rFonts w:ascii="Noto Sans" w:eastAsia="Gill Sans" w:hAnsi="Noto Sans" w:cs="Noto Sans"/>
          <w:bCs/>
          <w:szCs w:val="18"/>
          <w:lang w:val="de-DE"/>
        </w:rPr>
        <w:t>können</w:t>
      </w:r>
      <w:r w:rsidR="00CF6D5D" w:rsidRPr="00CF6D5D">
        <w:rPr>
          <w:rFonts w:ascii="Noto Sans" w:eastAsia="Gill Sans" w:hAnsi="Noto Sans" w:cs="Noto Sans"/>
          <w:bCs/>
          <w:szCs w:val="18"/>
          <w:lang w:val="de-DE"/>
        </w:rPr>
        <w:t xml:space="preserve"> nur unter ähnlichen Bedingungen reproduziert werden. Für spezifische Produktdetails sollten Sie </w:t>
      </w:r>
      <w:r w:rsidR="00CF6D5D" w:rsidRPr="00CF6D5D">
        <w:rPr>
          <w:rFonts w:ascii="Noto Sans" w:eastAsia="Gill Sans" w:hAnsi="Noto Sans" w:cs="Noto Sans"/>
          <w:bCs/>
          <w:szCs w:val="18"/>
          <w:lang w:val="de-DE"/>
        </w:rPr>
        <w:lastRenderedPageBreak/>
        <w:t xml:space="preserve">Ihren Domino-Verkaufsberater kontaktieren. Dieses Dokument ist kein Bestandteil von Bedingungen und Konditionen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 xml:space="preserve">Bilder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Bilder können optionale Extras oder Upgrades enthalten. Die Druckqualität kann je nach Verbrauchsmaterialien, Drucker, Substraten und anderen Faktoren variieren. Bilder und Fotografien sind kein Bestandteil von </w:t>
      </w:r>
      <w:r w:rsidR="00774DE8">
        <w:rPr>
          <w:rFonts w:ascii="Noto Sans" w:eastAsia="Gill Sans" w:hAnsi="Noto Sans" w:cs="Noto Sans"/>
          <w:bCs/>
          <w:szCs w:val="18"/>
          <w:lang w:val="de-DE"/>
        </w:rPr>
        <w:t>Verkaufsb</w:t>
      </w:r>
      <w:r w:rsidR="00CF6D5D" w:rsidRPr="00CF6D5D">
        <w:rPr>
          <w:rFonts w:ascii="Noto Sans" w:eastAsia="Gill Sans" w:hAnsi="Noto Sans" w:cs="Noto Sans"/>
          <w:bCs/>
          <w:szCs w:val="18"/>
          <w:lang w:val="de-DE"/>
        </w:rPr>
        <w:t xml:space="preserve">edingungen und Konditionen zwischen Ihnen und Domino. </w:t>
      </w:r>
      <w:r>
        <w:rPr>
          <w:rFonts w:ascii="Noto Sans" w:eastAsia="Gill Sans" w:hAnsi="Noto Sans" w:cs="Noto Sans"/>
          <w:bCs/>
          <w:szCs w:val="18"/>
          <w:lang w:val="de-DE"/>
        </w:rPr>
        <w:br/>
      </w:r>
      <w:r>
        <w:rPr>
          <w:rFonts w:ascii="Noto Sans" w:eastAsia="Gill Sans" w:hAnsi="Noto Sans" w:cs="Noto Sans"/>
          <w:b/>
          <w:szCs w:val="18"/>
          <w:lang w:val="de-DE"/>
        </w:rPr>
        <w:br/>
      </w:r>
      <w:r w:rsidR="00CF6D5D" w:rsidRPr="00CF6D5D">
        <w:rPr>
          <w:rFonts w:ascii="Noto Sans" w:eastAsia="Gill Sans" w:hAnsi="Noto Sans" w:cs="Noto Sans"/>
          <w:b/>
          <w:szCs w:val="18"/>
          <w:lang w:val="de-DE"/>
        </w:rPr>
        <w:t>Videos</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Dieses Video dient nur zur Veranschaulichung und kann optionale Extras enthalten. Leistungszahlen wurden unter spezifischen Bedingungen erlangt; die individuelle Leistung kann variieren. Fehler und Ausfallzeiten an Produktionslinien können unvermeidbar sein. Nichts in diesem Video ist Bestandteil eines Vertrags zwischen Ihnen und Domino.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Hinweise für Redakteure:</w:t>
      </w:r>
      <w:r w:rsidR="00CF6D5D" w:rsidRPr="00CF6D5D">
        <w:rPr>
          <w:rFonts w:ascii="Noto Sans" w:eastAsia="Gill Sans" w:hAnsi="Noto Sans" w:cs="Noto Sans"/>
          <w:bCs/>
          <w:szCs w:val="18"/>
          <w:lang w:val="de-DE"/>
        </w:rPr>
        <w:t xml:space="preserve"> </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Über Domino</w:t>
      </w:r>
      <w:r>
        <w:rPr>
          <w:rFonts w:ascii="Noto Sans" w:eastAsia="Gill Sans" w:hAnsi="Noto Sans" w:cs="Noto Sans"/>
          <w:b/>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Digital Printing Solutions ist ein Geschäftsbereich von Domino Printing Sciences. Das 1978 gegründete Unternehmen hat sich weltweit einen Namen in der Entwicklung und Herstellung digitaler Inkjet-Drucktechnologien sowie mit seinen weltweiten Aftermarket-Produkten und seinem Kundenservice gemacht. Zu den Dienstleistungen für den </w:t>
      </w:r>
      <w:r w:rsidR="00774DE8">
        <w:rPr>
          <w:rFonts w:ascii="Noto Sans" w:eastAsia="Gill Sans" w:hAnsi="Noto Sans" w:cs="Noto Sans"/>
          <w:bCs/>
          <w:szCs w:val="18"/>
          <w:lang w:val="de-DE"/>
        </w:rPr>
        <w:t>kommerziellen D</w:t>
      </w:r>
      <w:r w:rsidR="00CF6D5D" w:rsidRPr="00CF6D5D">
        <w:rPr>
          <w:rFonts w:ascii="Noto Sans" w:eastAsia="Gill Sans" w:hAnsi="Noto Sans" w:cs="Noto Sans"/>
          <w:bCs/>
          <w:szCs w:val="18"/>
          <w:lang w:val="de-DE"/>
        </w:rPr>
        <w:t>ruck gehören digitale Inkjet-Drucker und Steuerungssysteme, die Lösungen für ein umfassendes Spektrum an Etiketten-, Wellpappen- und variablen Druckanwendungen bieten.</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Alle Drucker von Domino erfüllen die hohen Geschwindigkeits- und Qualitätsanforderungen im </w:t>
      </w:r>
      <w:r w:rsidR="00774DE8">
        <w:rPr>
          <w:rFonts w:ascii="Noto Sans" w:eastAsia="Gill Sans" w:hAnsi="Noto Sans" w:cs="Noto Sans"/>
          <w:bCs/>
          <w:szCs w:val="18"/>
          <w:lang w:val="de-DE"/>
        </w:rPr>
        <w:t>kommerziellen Druck</w:t>
      </w:r>
      <w:r w:rsidR="00CF6D5D" w:rsidRPr="00CF6D5D">
        <w:rPr>
          <w:rFonts w:ascii="Noto Sans" w:eastAsia="Gill Sans" w:hAnsi="Noto Sans" w:cs="Noto Sans"/>
          <w:bCs/>
          <w:szCs w:val="18"/>
          <w:lang w:val="de-DE"/>
        </w:rPr>
        <w:t xml:space="preserve"> und eröffnen neue Möglichkeiten für zahlreiche Branchen, darunter Etiketten-, Wellpappen-, Publikations- und Sicherheitsdruck, Transaktions- und Verpackungsverarbeitung, Plastikkarten, Tickets, Spielkarten und Formulare sowie Direktwerbung und Post.</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beschäftigt weltweit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 xml:space="preserve">3.000 Mitarbeiter und vertreibt seine Produkte über ein globales Netzwerk von 29 Niederlassungen und </w:t>
      </w:r>
      <w:r w:rsidR="00774DE8">
        <w:rPr>
          <w:rFonts w:ascii="Noto Sans" w:eastAsia="Gill Sans" w:hAnsi="Noto Sans" w:cs="Noto Sans"/>
          <w:bCs/>
          <w:szCs w:val="18"/>
          <w:lang w:val="de-DE"/>
        </w:rPr>
        <w:t>mehr als</w:t>
      </w:r>
      <w:r w:rsidR="00CF6D5D" w:rsidRPr="00CF6D5D">
        <w:rPr>
          <w:rFonts w:ascii="Noto Sans" w:eastAsia="Gill Sans" w:hAnsi="Noto Sans" w:cs="Noto Sans"/>
          <w:bCs/>
          <w:szCs w:val="18"/>
          <w:lang w:val="de-DE"/>
        </w:rPr>
        <w:t xml:space="preserve"> 200 </w:t>
      </w:r>
      <w:r w:rsidR="00774DE8">
        <w:rPr>
          <w:rFonts w:ascii="Noto Sans" w:eastAsia="Gill Sans" w:hAnsi="Noto Sans" w:cs="Noto Sans"/>
          <w:bCs/>
          <w:szCs w:val="18"/>
          <w:lang w:val="de-DE"/>
        </w:rPr>
        <w:t>Vertriebspartnern</w:t>
      </w:r>
      <w:r w:rsidR="00CF6D5D" w:rsidRPr="00CF6D5D">
        <w:rPr>
          <w:rFonts w:ascii="Noto Sans" w:eastAsia="Gill Sans" w:hAnsi="Noto Sans" w:cs="Noto Sans"/>
          <w:bCs/>
          <w:szCs w:val="18"/>
          <w:lang w:val="de-DE"/>
        </w:rPr>
        <w:t xml:space="preserve"> in </w:t>
      </w:r>
      <w:r w:rsidR="00774DE8">
        <w:rPr>
          <w:rFonts w:ascii="Noto Sans" w:eastAsia="Gill Sans" w:hAnsi="Noto Sans" w:cs="Noto Sans"/>
          <w:bCs/>
          <w:szCs w:val="18"/>
          <w:lang w:val="de-DE"/>
        </w:rPr>
        <w:t xml:space="preserve">mehr als </w:t>
      </w:r>
      <w:r w:rsidR="00CF6D5D" w:rsidRPr="00CF6D5D">
        <w:rPr>
          <w:rFonts w:ascii="Noto Sans" w:eastAsia="Gill Sans" w:hAnsi="Noto Sans" w:cs="Noto Sans"/>
          <w:bCs/>
          <w:szCs w:val="18"/>
          <w:lang w:val="de-DE"/>
        </w:rPr>
        <w:t>120 Länder. Domino verfügt über Produktions</w:t>
      </w:r>
      <w:r w:rsidR="00774DE8">
        <w:rPr>
          <w:rFonts w:ascii="Noto Sans" w:eastAsia="Gill Sans" w:hAnsi="Noto Sans" w:cs="Noto Sans"/>
          <w:bCs/>
          <w:szCs w:val="18"/>
          <w:lang w:val="de-DE"/>
        </w:rPr>
        <w:t>standorte</w:t>
      </w:r>
      <w:r w:rsidR="00CF6D5D" w:rsidRPr="00CF6D5D">
        <w:rPr>
          <w:rFonts w:ascii="Noto Sans" w:eastAsia="Gill Sans" w:hAnsi="Noto Sans" w:cs="Noto Sans"/>
          <w:bCs/>
          <w:szCs w:val="18"/>
          <w:lang w:val="de-DE"/>
        </w:rPr>
        <w:t xml:space="preserve"> in </w:t>
      </w:r>
      <w:r w:rsidR="00774DE8" w:rsidRPr="00CF6D5D">
        <w:rPr>
          <w:rFonts w:ascii="Noto Sans" w:eastAsia="Gill Sans" w:hAnsi="Noto Sans" w:cs="Noto Sans"/>
          <w:bCs/>
          <w:szCs w:val="18"/>
          <w:lang w:val="de-DE"/>
        </w:rPr>
        <w:t>Großbritannien</w:t>
      </w:r>
      <w:r w:rsidR="00774DE8">
        <w:rPr>
          <w:rFonts w:ascii="Noto Sans" w:eastAsia="Gill Sans" w:hAnsi="Noto Sans" w:cs="Noto Sans"/>
          <w:bCs/>
          <w:szCs w:val="18"/>
          <w:lang w:val="de-DE"/>
        </w:rPr>
        <w:t>,</w:t>
      </w:r>
      <w:r w:rsidR="00774DE8" w:rsidRPr="00CF6D5D">
        <w:rPr>
          <w:rFonts w:ascii="Noto Sans" w:eastAsia="Gill Sans" w:hAnsi="Noto Sans" w:cs="Noto Sans"/>
          <w:bCs/>
          <w:szCs w:val="18"/>
          <w:lang w:val="de-DE"/>
        </w:rPr>
        <w:t xml:space="preserve"> </w:t>
      </w:r>
      <w:r w:rsidR="00CF6D5D" w:rsidRPr="00CF6D5D">
        <w:rPr>
          <w:rFonts w:ascii="Noto Sans" w:eastAsia="Gill Sans" w:hAnsi="Noto Sans" w:cs="Noto Sans"/>
          <w:bCs/>
          <w:szCs w:val="18"/>
          <w:lang w:val="de-DE"/>
        </w:rPr>
        <w:t>China, Deutschland, Indien, Schweden, der Schweiz, und den USA.</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 xml:space="preserve">Domino wurde am 11. Juni 2015 </w:t>
      </w:r>
      <w:r w:rsidR="00774DE8">
        <w:rPr>
          <w:rFonts w:ascii="Noto Sans" w:eastAsia="Gill Sans" w:hAnsi="Noto Sans" w:cs="Noto Sans"/>
          <w:bCs/>
          <w:szCs w:val="18"/>
          <w:lang w:val="de-DE"/>
        </w:rPr>
        <w:t>ein</w:t>
      </w:r>
      <w:r w:rsidR="00CF6D5D" w:rsidRPr="00CF6D5D">
        <w:rPr>
          <w:rFonts w:ascii="Noto Sans" w:eastAsia="Gill Sans" w:hAnsi="Noto Sans" w:cs="Noto Sans"/>
          <w:bCs/>
          <w:szCs w:val="18"/>
          <w:lang w:val="de-DE"/>
        </w:rPr>
        <w:t xml:space="preserve"> eigenständige</w:t>
      </w:r>
      <w:r w:rsidR="00774DE8">
        <w:rPr>
          <w:rFonts w:ascii="Noto Sans" w:eastAsia="Gill Sans" w:hAnsi="Noto Sans" w:cs="Noto Sans"/>
          <w:bCs/>
          <w:szCs w:val="18"/>
          <w:lang w:val="de-DE"/>
        </w:rPr>
        <w:t>r Unternehmensbereich</w:t>
      </w:r>
      <w:r w:rsidR="00CF6D5D" w:rsidRPr="00CF6D5D">
        <w:rPr>
          <w:rFonts w:ascii="Noto Sans" w:eastAsia="Gill Sans" w:hAnsi="Noto Sans" w:cs="Noto Sans"/>
          <w:bCs/>
          <w:szCs w:val="18"/>
          <w:lang w:val="de-DE"/>
        </w:rPr>
        <w:t xml:space="preserve"> </w:t>
      </w:r>
      <w:r w:rsidR="00774DE8">
        <w:rPr>
          <w:rFonts w:ascii="Noto Sans" w:eastAsia="Gill Sans" w:hAnsi="Noto Sans" w:cs="Noto Sans"/>
          <w:bCs/>
          <w:szCs w:val="18"/>
          <w:lang w:val="de-DE"/>
        </w:rPr>
        <w:t>von</w:t>
      </w:r>
      <w:r w:rsidR="00CF6D5D" w:rsidRPr="00CF6D5D">
        <w:rPr>
          <w:rFonts w:ascii="Noto Sans" w:eastAsia="Gill Sans" w:hAnsi="Noto Sans" w:cs="Noto Sans"/>
          <w:bCs/>
          <w:szCs w:val="18"/>
          <w:lang w:val="de-DE"/>
        </w:rPr>
        <w:t xml:space="preserve"> Brother Industries.</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Cs/>
          <w:szCs w:val="18"/>
          <w:lang w:val="de-DE"/>
        </w:rPr>
        <w:t>Weitere Informationen zu Domino finden Sie unter www.domino-printing.com.</w:t>
      </w:r>
      <w:r>
        <w:rPr>
          <w:rFonts w:ascii="Noto Sans" w:eastAsia="Gill Sans" w:hAnsi="Noto Sans" w:cs="Noto Sans"/>
          <w:bCs/>
          <w:szCs w:val="18"/>
          <w:lang w:val="de-DE"/>
        </w:rPr>
        <w:br/>
      </w:r>
      <w:r>
        <w:rPr>
          <w:rFonts w:ascii="Noto Sans" w:eastAsia="Gill Sans" w:hAnsi="Noto Sans" w:cs="Noto Sans"/>
          <w:bCs/>
          <w:szCs w:val="18"/>
          <w:lang w:val="de-DE"/>
        </w:rPr>
        <w:br/>
      </w:r>
      <w:r w:rsidR="00CF6D5D" w:rsidRPr="00CF6D5D">
        <w:rPr>
          <w:rFonts w:ascii="Noto Sans" w:eastAsia="Gill Sans" w:hAnsi="Noto Sans" w:cs="Noto Sans"/>
          <w:b/>
          <w:szCs w:val="18"/>
          <w:lang w:val="de-DE"/>
        </w:rPr>
        <w:t>Für weitere Informationen wenden Sie sich bitte an:</w:t>
      </w:r>
      <w:r>
        <w:rPr>
          <w:rFonts w:ascii="Noto Sans" w:eastAsia="Gill Sans" w:hAnsi="Noto Sans" w:cs="Noto Sans"/>
          <w:b/>
          <w:szCs w:val="18"/>
          <w:lang w:val="de-DE"/>
        </w:rPr>
        <w:br/>
      </w:r>
      <w:bookmarkStart w:id="1" w:name="_Hlk61949672"/>
      <w:r w:rsidR="00240801" w:rsidRPr="001F4A67">
        <w:rPr>
          <w:rFonts w:ascii="Noto Sans" w:hAnsi="Noto Sans" w:cs="Noto Sans"/>
          <w:szCs w:val="18"/>
          <w:lang w:val="de-DE"/>
        </w:rPr>
        <w:br/>
        <w:t>Kathrin Farr</w:t>
      </w:r>
      <w:r w:rsidR="00240801" w:rsidRPr="001F4A67">
        <w:rPr>
          <w:rFonts w:ascii="Noto Sans" w:hAnsi="Noto Sans" w:cs="Noto Sans"/>
          <w:szCs w:val="18"/>
          <w:lang w:val="de-DE"/>
        </w:rPr>
        <w:br/>
        <w:t xml:space="preserve">Content Executive and </w:t>
      </w:r>
      <w:proofErr w:type="spellStart"/>
      <w:r w:rsidR="00240801" w:rsidRPr="001F4A67">
        <w:rPr>
          <w:rFonts w:ascii="Noto Sans" w:hAnsi="Noto Sans" w:cs="Noto Sans"/>
          <w:szCs w:val="18"/>
          <w:lang w:val="de-DE"/>
        </w:rPr>
        <w:t>Copywriter</w:t>
      </w:r>
      <w:proofErr w:type="spellEnd"/>
      <w:r w:rsidR="00240801" w:rsidRPr="001F4A67">
        <w:rPr>
          <w:rFonts w:ascii="Noto Sans" w:hAnsi="Noto Sans" w:cs="Noto Sans"/>
          <w:szCs w:val="18"/>
          <w:lang w:val="de-DE"/>
        </w:rPr>
        <w:t xml:space="preserve">  </w:t>
      </w:r>
      <w:r w:rsidR="00240801" w:rsidRPr="001F4A67">
        <w:rPr>
          <w:rFonts w:ascii="Noto Sans" w:hAnsi="Noto Sans" w:cs="Noto Sans"/>
          <w:szCs w:val="18"/>
          <w:lang w:val="de-DE"/>
        </w:rPr>
        <w:br/>
        <w:t>Domino Printing Sciences</w:t>
      </w:r>
      <w:r w:rsidR="00240801" w:rsidRPr="001F4A67">
        <w:rPr>
          <w:rFonts w:ascii="Noto Sans" w:hAnsi="Noto Sans" w:cs="Noto Sans"/>
          <w:szCs w:val="18"/>
          <w:lang w:val="de-DE"/>
        </w:rPr>
        <w:br/>
        <w:t>Tel: +44 (0) 1954 782551</w:t>
      </w:r>
      <w:r w:rsidR="00240801" w:rsidRPr="001F4A67">
        <w:rPr>
          <w:rFonts w:ascii="Noto Sans" w:hAnsi="Noto Sans" w:cs="Noto Sans"/>
          <w:szCs w:val="18"/>
          <w:lang w:val="de-DE"/>
        </w:rPr>
        <w:br/>
      </w:r>
      <w:hyperlink r:id="rId14" w:history="1">
        <w:r w:rsidR="00240801" w:rsidRPr="001F4A67">
          <w:rPr>
            <w:rStyle w:val="Hyperlink"/>
            <w:rFonts w:ascii="Noto Sans" w:hAnsi="Noto Sans" w:cs="Noto Sans"/>
            <w:szCs w:val="18"/>
            <w:lang w:val="de-DE"/>
          </w:rPr>
          <w:t>Kathrin.Farr@domino-uk.com</w:t>
        </w:r>
      </w:hyperlink>
      <w:r w:rsidR="00240801" w:rsidRPr="001F4A67">
        <w:rPr>
          <w:rFonts w:ascii="Noto Sans" w:hAnsi="Noto Sans" w:cs="Noto Sans"/>
          <w:szCs w:val="18"/>
          <w:lang w:val="de-DE"/>
        </w:rPr>
        <w:t xml:space="preserve"> </w:t>
      </w:r>
      <w:r w:rsidR="00240801" w:rsidRPr="001F4A67">
        <w:rPr>
          <w:rFonts w:ascii="Noto Sans" w:hAnsi="Noto Sans" w:cs="Noto Sans"/>
          <w:szCs w:val="18"/>
          <w:lang w:val="de-DE"/>
        </w:rPr>
        <w:br/>
      </w:r>
      <w:bookmarkEnd w:id="0"/>
      <w:bookmarkEnd w:id="1"/>
      <w:r w:rsidR="00240801" w:rsidRPr="001F4A67">
        <w:rPr>
          <w:rFonts w:ascii="Noto Sans" w:hAnsi="Noto Sans" w:cs="Noto Sans"/>
          <w:szCs w:val="18"/>
          <w:lang w:val="de-DE"/>
        </w:rPr>
        <w:br/>
      </w:r>
      <w:r w:rsidR="00494047" w:rsidRPr="00494047">
        <w:rPr>
          <w:rFonts w:ascii="Noto Sans" w:hAnsi="Noto Sans" w:cs="Noto Sans"/>
          <w:szCs w:val="18"/>
          <w:lang w:val="de-DE"/>
        </w:rPr>
        <w:t xml:space="preserve">Jade Taylor-Salazar </w:t>
      </w:r>
      <w:r w:rsidR="00494047" w:rsidRPr="00494047">
        <w:rPr>
          <w:rFonts w:ascii="Noto Sans" w:hAnsi="Noto Sans" w:cs="Noto Sans"/>
          <w:szCs w:val="18"/>
          <w:lang w:val="de-DE"/>
        </w:rPr>
        <w:br/>
        <w:t xml:space="preserve">PR and Content Manager </w:t>
      </w:r>
      <w:r w:rsidR="00494047" w:rsidRPr="00494047">
        <w:rPr>
          <w:rFonts w:ascii="Noto Sans" w:hAnsi="Noto Sans" w:cs="Noto Sans"/>
          <w:szCs w:val="18"/>
          <w:lang w:val="de-DE"/>
        </w:rPr>
        <w:br/>
        <w:t xml:space="preserve">Domino Printing Sciences </w:t>
      </w:r>
      <w:r w:rsidR="00494047" w:rsidRPr="00494047">
        <w:rPr>
          <w:rFonts w:ascii="Noto Sans" w:hAnsi="Noto Sans" w:cs="Noto Sans"/>
          <w:szCs w:val="18"/>
          <w:lang w:val="de-DE"/>
        </w:rPr>
        <w:br/>
      </w:r>
      <w:r w:rsidR="00494047" w:rsidRPr="00494047">
        <w:rPr>
          <w:rFonts w:ascii="Noto Sans" w:hAnsi="Noto Sans" w:cs="Noto Sans"/>
          <w:szCs w:val="18"/>
          <w:lang w:val="de-DE"/>
        </w:rPr>
        <w:lastRenderedPageBreak/>
        <w:t>Tel: +44 (0) 1954 778780</w:t>
      </w:r>
      <w:r w:rsidR="00494047" w:rsidRPr="00494047">
        <w:rPr>
          <w:rFonts w:ascii="Noto Sans" w:hAnsi="Noto Sans" w:cs="Noto Sans"/>
          <w:szCs w:val="18"/>
          <w:lang w:val="de-DE"/>
        </w:rPr>
        <w:br/>
      </w:r>
      <w:hyperlink r:id="rId15" w:history="1">
        <w:r w:rsidR="00494047" w:rsidRPr="00494047">
          <w:rPr>
            <w:rStyle w:val="Hyperlink"/>
            <w:rFonts w:ascii="Noto Sans" w:hAnsi="Noto Sans" w:cs="Noto Sans"/>
            <w:szCs w:val="18"/>
            <w:lang w:val="de-DE"/>
          </w:rPr>
          <w:t>Jade.Taylor-Salazar@domino-uk.com</w:t>
        </w:r>
      </w:hyperlink>
      <w:r w:rsidR="00F67E02" w:rsidRPr="001F4A67">
        <w:rPr>
          <w:rFonts w:ascii="Noto Sans" w:hAnsi="Noto Sans" w:cs="Noto Sans"/>
          <w:szCs w:val="18"/>
          <w:lang w:val="de-DE"/>
        </w:rPr>
        <w:br/>
      </w:r>
    </w:p>
    <w:sectPr w:rsidR="005524DB" w:rsidRPr="00494047" w:rsidSect="000F6D0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10664" w14:textId="77777777" w:rsidR="00745876" w:rsidRDefault="00745876" w:rsidP="00785717">
      <w:pPr>
        <w:spacing w:line="240" w:lineRule="auto"/>
      </w:pPr>
      <w:r>
        <w:separator/>
      </w:r>
    </w:p>
  </w:endnote>
  <w:endnote w:type="continuationSeparator" w:id="0">
    <w:p w14:paraId="1FFC6759" w14:textId="77777777" w:rsidR="00745876" w:rsidRDefault="00745876"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3CFC"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7495" w14:textId="77777777" w:rsidR="00785717" w:rsidRDefault="000F6D00" w:rsidP="00785717">
    <w:pPr>
      <w:pStyle w:val="Footer"/>
    </w:pPr>
    <w:r>
      <w:rPr>
        <w:noProof/>
      </w:rPr>
      <w:drawing>
        <wp:anchor distT="0" distB="0" distL="114300" distR="114300" simplePos="0" relativeHeight="251659264" behindDoc="0" locked="0" layoutInCell="1" allowOverlap="1" wp14:anchorId="1E422896" wp14:editId="6B1BCCBE">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48A9574" wp14:editId="7394438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D641"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55A0E" w14:textId="77777777" w:rsidR="00745876" w:rsidRDefault="00745876" w:rsidP="00785717">
      <w:pPr>
        <w:spacing w:line="240" w:lineRule="auto"/>
      </w:pPr>
      <w:r>
        <w:separator/>
      </w:r>
    </w:p>
  </w:footnote>
  <w:footnote w:type="continuationSeparator" w:id="0">
    <w:p w14:paraId="26C2B917" w14:textId="77777777" w:rsidR="00745876" w:rsidRDefault="00745876"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9C4E"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7BBA" w14:textId="77777777" w:rsidR="000F6D00" w:rsidRDefault="002766D9">
    <w:pPr>
      <w:pStyle w:val="Header"/>
    </w:pPr>
    <w:r>
      <w:rPr>
        <w:noProof/>
      </w:rPr>
      <w:drawing>
        <wp:anchor distT="0" distB="0" distL="114300" distR="114300" simplePos="0" relativeHeight="251661312" behindDoc="0" locked="0" layoutInCell="1" allowOverlap="1" wp14:anchorId="6CD68A14" wp14:editId="7D7C2270">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840"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E8"/>
    <w:rsid w:val="0002201E"/>
    <w:rsid w:val="00026728"/>
    <w:rsid w:val="00085561"/>
    <w:rsid w:val="000F6D00"/>
    <w:rsid w:val="001D743C"/>
    <w:rsid w:val="001F4A67"/>
    <w:rsid w:val="002202E3"/>
    <w:rsid w:val="00222312"/>
    <w:rsid w:val="00240801"/>
    <w:rsid w:val="002766D9"/>
    <w:rsid w:val="00372E92"/>
    <w:rsid w:val="003810AA"/>
    <w:rsid w:val="003E7580"/>
    <w:rsid w:val="004219F2"/>
    <w:rsid w:val="00494047"/>
    <w:rsid w:val="005272B1"/>
    <w:rsid w:val="005524DB"/>
    <w:rsid w:val="005741C7"/>
    <w:rsid w:val="005E6C45"/>
    <w:rsid w:val="00647055"/>
    <w:rsid w:val="00660F46"/>
    <w:rsid w:val="00745876"/>
    <w:rsid w:val="00774DE8"/>
    <w:rsid w:val="00785717"/>
    <w:rsid w:val="00791A4F"/>
    <w:rsid w:val="008220B7"/>
    <w:rsid w:val="00823B77"/>
    <w:rsid w:val="008916A8"/>
    <w:rsid w:val="008B6461"/>
    <w:rsid w:val="008E5E0C"/>
    <w:rsid w:val="008F3E38"/>
    <w:rsid w:val="00931996"/>
    <w:rsid w:val="00952E21"/>
    <w:rsid w:val="009A1716"/>
    <w:rsid w:val="009A1DEC"/>
    <w:rsid w:val="009D6280"/>
    <w:rsid w:val="009E5D98"/>
    <w:rsid w:val="00A34918"/>
    <w:rsid w:val="00AB11DA"/>
    <w:rsid w:val="00AB3368"/>
    <w:rsid w:val="00AC1D0A"/>
    <w:rsid w:val="00B12BB8"/>
    <w:rsid w:val="00B15DBB"/>
    <w:rsid w:val="00B23C3C"/>
    <w:rsid w:val="00B546C5"/>
    <w:rsid w:val="00B56A1B"/>
    <w:rsid w:val="00B7088D"/>
    <w:rsid w:val="00BC7C15"/>
    <w:rsid w:val="00C063FE"/>
    <w:rsid w:val="00C44603"/>
    <w:rsid w:val="00C541FE"/>
    <w:rsid w:val="00CF1AD5"/>
    <w:rsid w:val="00CF6D5D"/>
    <w:rsid w:val="00DE1F9A"/>
    <w:rsid w:val="00E03029"/>
    <w:rsid w:val="00E34DD8"/>
    <w:rsid w:val="00EC1C5A"/>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73A45"/>
  <w15:chartTrackingRefBased/>
  <w15:docId w15:val="{2B1EABBE-A6F5-49BC-86D4-5E5A5BCC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de-de/home.aspx?utm_medium=non-paid&amp;utm_source=onlinepublication&amp;utm_content=pr-dp-ppwr-check&amp;utm_campaign=2026-int-de-Global-PR-DP-FY26-Q2"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5" Type="http://schemas.openxmlformats.org/officeDocument/2006/relationships/endnotes" Target="endnotes.xml"/><Relationship Id="rId15" Type="http://schemas.openxmlformats.org/officeDocument/2006/relationships/hyperlink" Target="mailto:Jade.Taylor-Salazar@domino-uk.com" TargetMode="External"/><Relationship Id="rId23" Type="http://schemas.openxmlformats.org/officeDocument/2006/relationships/theme" Target="theme/theme1.xm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mailto:Kathrin.Farr@domino-uk.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2026-08-05T14:20:00Z</dcterms:created>
  <dcterms:modified xsi:type="dcterms:W3CDTF">2026-08-05T14:27:00Z</dcterms:modified>
</cp:coreProperties>
</file>