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A1DB5" w14:textId="77777777" w:rsidR="00DB19C4" w:rsidRPr="00782D98" w:rsidRDefault="00DB19C4" w:rsidP="00C03746">
      <w:pPr>
        <w:spacing w:after="160" w:line="240" w:lineRule="auto"/>
        <w:jc w:val="both"/>
        <w:rPr>
          <w:rFonts w:ascii="Noto Sans" w:eastAsiaTheme="minorHAnsi" w:hAnsi="Noto Sans" w:cs="Noto Sans"/>
          <w:b/>
          <w:bCs/>
          <w:color w:val="1C1C1C"/>
          <w:sz w:val="28"/>
          <w:szCs w:val="28"/>
          <w:shd w:val="clear" w:color="auto" w:fill="FFFFFF"/>
        </w:rPr>
      </w:pPr>
      <w:bookmarkStart w:id="0" w:name="_Hlk46133219"/>
      <w:r w:rsidRPr="00782D98">
        <w:rPr>
          <w:rFonts w:ascii="Noto Sans" w:eastAsiaTheme="minorHAnsi" w:hAnsi="Noto Sans" w:cs="Noto Sans"/>
          <w:b/>
          <w:bCs/>
          <w:color w:val="1C1C1C"/>
          <w:sz w:val="28"/>
          <w:szCs w:val="28"/>
          <w:shd w:val="clear" w:color="auto" w:fill="FFFFFF"/>
        </w:rPr>
        <w:t xml:space="preserve">PPWR, Packaging Print, and Recyclability: </w:t>
      </w:r>
      <w:proofErr w:type="gramStart"/>
      <w:r w:rsidRPr="00782D98">
        <w:rPr>
          <w:rFonts w:ascii="Noto Sans" w:eastAsiaTheme="minorHAnsi" w:hAnsi="Noto Sans" w:cs="Noto Sans"/>
          <w:b/>
          <w:bCs/>
          <w:color w:val="1C1C1C"/>
          <w:sz w:val="28"/>
          <w:szCs w:val="28"/>
          <w:shd w:val="clear" w:color="auto" w:fill="FFFFFF"/>
        </w:rPr>
        <w:t>a</w:t>
      </w:r>
      <w:proofErr w:type="gramEnd"/>
      <w:r w:rsidRPr="00782D98">
        <w:rPr>
          <w:rFonts w:ascii="Noto Sans" w:eastAsiaTheme="minorHAnsi" w:hAnsi="Noto Sans" w:cs="Noto Sans"/>
          <w:b/>
          <w:bCs/>
          <w:color w:val="1C1C1C"/>
          <w:sz w:val="28"/>
          <w:szCs w:val="28"/>
          <w:shd w:val="clear" w:color="auto" w:fill="FFFFFF"/>
        </w:rPr>
        <w:t xml:space="preserve"> Reality Check</w:t>
      </w:r>
    </w:p>
    <w:p w14:paraId="42D255DD" w14:textId="59300334" w:rsidR="00DB19C4" w:rsidRPr="00782D98" w:rsidRDefault="00DB19C4" w:rsidP="00C03746">
      <w:pPr>
        <w:spacing w:after="160" w:line="240" w:lineRule="auto"/>
        <w:jc w:val="both"/>
        <w:rPr>
          <w:rFonts w:ascii="Noto Sans" w:eastAsiaTheme="minorHAnsi" w:hAnsi="Noto Sans" w:cs="Noto Sans"/>
          <w:i/>
          <w:iCs/>
          <w:sz w:val="22"/>
        </w:rPr>
      </w:pPr>
      <w:r w:rsidRPr="00782D98">
        <w:rPr>
          <w:rFonts w:ascii="Noto Sans" w:eastAsiaTheme="minorHAnsi" w:hAnsi="Noto Sans" w:cs="Noto Sans"/>
          <w:i/>
          <w:iCs/>
          <w:sz w:val="22"/>
        </w:rPr>
        <w:t>The EU Packaging and Packaging Waste Regulation (</w:t>
      </w:r>
      <w:hyperlink r:id="rId6" w:history="1">
        <w:r w:rsidRPr="00782D98">
          <w:rPr>
            <w:rFonts w:ascii="Noto Sans" w:eastAsiaTheme="minorHAnsi" w:hAnsi="Noto Sans" w:cs="Noto Sans"/>
            <w:i/>
            <w:iCs/>
            <w:color w:val="0000FF"/>
            <w:sz w:val="22"/>
            <w:u w:val="single"/>
          </w:rPr>
          <w:t>PPWR</w:t>
        </w:r>
      </w:hyperlink>
      <w:r w:rsidRPr="00782D98">
        <w:rPr>
          <w:rFonts w:ascii="Noto Sans" w:eastAsiaTheme="minorHAnsi" w:hAnsi="Noto Sans" w:cs="Noto Sans"/>
          <w:i/>
          <w:iCs/>
          <w:sz w:val="22"/>
        </w:rPr>
        <w:t xml:space="preserve">) is set to reshape packaging requirements, demanding </w:t>
      </w:r>
      <w:r w:rsidR="00782D98" w:rsidRPr="00782D98">
        <w:rPr>
          <w:rFonts w:ascii="Noto Sans" w:eastAsiaTheme="minorHAnsi" w:hAnsi="Noto Sans" w:cs="Noto Sans"/>
          <w:i/>
          <w:iCs/>
          <w:sz w:val="22"/>
        </w:rPr>
        <w:t>minimization</w:t>
      </w:r>
      <w:r w:rsidRPr="00782D98">
        <w:rPr>
          <w:rFonts w:ascii="Noto Sans" w:eastAsiaTheme="minorHAnsi" w:hAnsi="Noto Sans" w:cs="Noto Sans"/>
          <w:i/>
          <w:iCs/>
          <w:sz w:val="22"/>
        </w:rPr>
        <w:t xml:space="preserve"> of packaging, reuse, and recycling at scale. To date, many brands have focused their PPWR compliance efforts on meeting the basic requirements for the August 2026 deadline: </w:t>
      </w:r>
      <w:r w:rsidR="00782D98" w:rsidRPr="00782D98">
        <w:rPr>
          <w:rFonts w:ascii="Noto Sans" w:eastAsiaTheme="minorHAnsi" w:hAnsi="Noto Sans" w:cs="Noto Sans"/>
          <w:i/>
          <w:iCs/>
          <w:sz w:val="22"/>
        </w:rPr>
        <w:t>minimizing</w:t>
      </w:r>
      <w:r w:rsidRPr="00782D98">
        <w:rPr>
          <w:rFonts w:ascii="Noto Sans" w:eastAsiaTheme="minorHAnsi" w:hAnsi="Noto Sans" w:cs="Noto Sans"/>
          <w:i/>
          <w:iCs/>
          <w:sz w:val="22"/>
        </w:rPr>
        <w:t xml:space="preserve"> packaging, reducing hazardous substances, adding traceable batch or serial numbers, and creating declarations of conformity for each packaging type.</w:t>
      </w:r>
    </w:p>
    <w:p w14:paraId="1A34CE78" w14:textId="3B0BC286" w:rsidR="00DB19C4" w:rsidRPr="00782D98" w:rsidRDefault="00DB19C4" w:rsidP="00C03746">
      <w:pPr>
        <w:spacing w:after="160" w:line="240" w:lineRule="auto"/>
        <w:jc w:val="both"/>
        <w:rPr>
          <w:rFonts w:ascii="Noto Sans" w:eastAsiaTheme="minorHAnsi" w:hAnsi="Noto Sans" w:cs="Noto Sans"/>
          <w:i/>
          <w:iCs/>
          <w:sz w:val="22"/>
        </w:rPr>
      </w:pPr>
      <w:r w:rsidRPr="00782D98">
        <w:rPr>
          <w:rFonts w:ascii="Noto Sans" w:eastAsiaTheme="minorHAnsi" w:hAnsi="Noto Sans" w:cs="Noto Sans"/>
          <w:i/>
          <w:iCs/>
          <w:sz w:val="22"/>
        </w:rPr>
        <w:t xml:space="preserve">Looking to 2030, requirements extend further, with the focus shifting to packaging materials, removing components that could disrupt recycling streams to </w:t>
      </w:r>
      <w:r w:rsidR="00782D98" w:rsidRPr="00782D98">
        <w:rPr>
          <w:rFonts w:ascii="Noto Sans" w:eastAsiaTheme="minorHAnsi" w:hAnsi="Noto Sans" w:cs="Noto Sans"/>
          <w:i/>
          <w:iCs/>
          <w:sz w:val="22"/>
        </w:rPr>
        <w:t>maximize</w:t>
      </w:r>
      <w:r w:rsidRPr="00782D98">
        <w:rPr>
          <w:rFonts w:ascii="Noto Sans" w:eastAsiaTheme="minorHAnsi" w:hAnsi="Noto Sans" w:cs="Noto Sans"/>
          <w:i/>
          <w:iCs/>
          <w:sz w:val="22"/>
        </w:rPr>
        <w:t xml:space="preserve"> packaging recyclability. However, many aspects of the PPWR remain undefined, and the required recycling infrastructure is yet to be put in place. Despite calls for a </w:t>
      </w:r>
      <w:hyperlink r:id="rId7" w:history="1">
        <w:r w:rsidRPr="00782D98">
          <w:rPr>
            <w:rFonts w:ascii="Noto Sans" w:eastAsiaTheme="minorHAnsi" w:hAnsi="Noto Sans" w:cs="Noto Sans"/>
            <w:i/>
            <w:iCs/>
            <w:color w:val="0000FF"/>
            <w:sz w:val="22"/>
            <w:u w:val="single"/>
          </w:rPr>
          <w:t>delay to the deadline</w:t>
        </w:r>
      </w:hyperlink>
      <w:r w:rsidRPr="00782D98">
        <w:rPr>
          <w:rFonts w:ascii="Noto Sans" w:eastAsiaTheme="minorHAnsi" w:hAnsi="Noto Sans" w:cs="Noto Sans"/>
          <w:i/>
          <w:iCs/>
          <w:sz w:val="22"/>
        </w:rPr>
        <w:t xml:space="preserve"> and demands for </w:t>
      </w:r>
      <w:hyperlink r:id="rId8" w:history="1">
        <w:r w:rsidRPr="00782D98">
          <w:rPr>
            <w:rFonts w:ascii="Noto Sans" w:eastAsiaTheme="minorHAnsi" w:hAnsi="Noto Sans" w:cs="Noto Sans"/>
            <w:i/>
            <w:iCs/>
            <w:color w:val="0000FF"/>
            <w:sz w:val="22"/>
            <w:u w:val="single"/>
          </w:rPr>
          <w:t>secondary legislation</w:t>
        </w:r>
      </w:hyperlink>
      <w:r w:rsidRPr="00782D98">
        <w:rPr>
          <w:rFonts w:ascii="Noto Sans" w:eastAsiaTheme="minorHAnsi" w:hAnsi="Noto Sans" w:cs="Noto Sans"/>
          <w:i/>
          <w:iCs/>
          <w:sz w:val="22"/>
        </w:rPr>
        <w:t xml:space="preserve"> highlighting industry concerns, brands need to start making plans now.</w:t>
      </w:r>
    </w:p>
    <w:p w14:paraId="76E18CB6" w14:textId="77777777" w:rsidR="00DB19C4" w:rsidRPr="00782D98" w:rsidRDefault="00DB19C4" w:rsidP="00C03746">
      <w:pPr>
        <w:tabs>
          <w:tab w:val="num" w:pos="720"/>
        </w:tabs>
        <w:spacing w:after="160" w:line="240" w:lineRule="auto"/>
        <w:jc w:val="both"/>
        <w:rPr>
          <w:rFonts w:ascii="Noto Sans" w:eastAsiaTheme="minorHAnsi" w:hAnsi="Noto Sans" w:cs="Noto Sans"/>
          <w:i/>
          <w:iCs/>
          <w:sz w:val="22"/>
        </w:rPr>
      </w:pPr>
      <w:r w:rsidRPr="00782D98">
        <w:rPr>
          <w:rFonts w:ascii="Noto Sans" w:eastAsiaTheme="minorHAnsi" w:hAnsi="Noto Sans" w:cs="Noto Sans"/>
          <w:i/>
          <w:iCs/>
          <w:sz w:val="22"/>
        </w:rPr>
        <w:t>Natasha Jeremic, Head of Piezo Inks, Domino Printing Sciences, examines the commercial reality for packaging suppliers and the critical role converters play in enabling sustainability-focused collaboration.</w:t>
      </w:r>
    </w:p>
    <w:p w14:paraId="45E00805" w14:textId="77777777" w:rsidR="00DB19C4" w:rsidRPr="00782D98" w:rsidRDefault="00DB19C4" w:rsidP="00C03746">
      <w:pPr>
        <w:spacing w:after="160" w:line="240" w:lineRule="auto"/>
        <w:jc w:val="both"/>
        <w:rPr>
          <w:rFonts w:ascii="Noto Sans" w:eastAsiaTheme="minorHAnsi" w:hAnsi="Noto Sans" w:cs="Noto Sans"/>
          <w:b/>
          <w:bCs/>
          <w:sz w:val="22"/>
        </w:rPr>
      </w:pPr>
      <w:r w:rsidRPr="00782D98">
        <w:rPr>
          <w:rFonts w:ascii="Noto Sans" w:eastAsiaTheme="minorHAnsi" w:hAnsi="Noto Sans" w:cs="Noto Sans"/>
          <w:b/>
          <w:bCs/>
          <w:sz w:val="22"/>
        </w:rPr>
        <w:t>Regulation versus readiness</w:t>
      </w:r>
    </w:p>
    <w:p w14:paraId="3EA082DB" w14:textId="77777777" w:rsidR="00DB19C4" w:rsidRPr="00782D98" w:rsidRDefault="00DB19C4" w:rsidP="00C03746">
      <w:pPr>
        <w:spacing w:after="160" w:line="240" w:lineRule="auto"/>
        <w:jc w:val="both"/>
        <w:rPr>
          <w:rFonts w:ascii="Noto Sans" w:eastAsiaTheme="minorHAnsi" w:hAnsi="Noto Sans" w:cs="Noto Sans"/>
          <w:sz w:val="22"/>
        </w:rPr>
      </w:pPr>
      <w:r w:rsidRPr="00782D98">
        <w:rPr>
          <w:rFonts w:ascii="Noto Sans" w:eastAsiaTheme="minorHAnsi" w:hAnsi="Noto Sans" w:cs="Noto Sans"/>
          <w:sz w:val="22"/>
        </w:rPr>
        <w:t xml:space="preserve">Despite waning consumer interest in the </w:t>
      </w:r>
      <w:hyperlink r:id="rId9" w:history="1">
        <w:r w:rsidRPr="00782D98">
          <w:rPr>
            <w:rFonts w:ascii="Noto Sans" w:eastAsiaTheme="minorHAnsi" w:hAnsi="Noto Sans" w:cs="Noto Sans"/>
            <w:color w:val="0000FF"/>
            <w:sz w:val="22"/>
            <w:u w:val="single"/>
          </w:rPr>
          <w:t>environmental impact of packaging</w:t>
        </w:r>
      </w:hyperlink>
      <w:r w:rsidRPr="00782D98">
        <w:rPr>
          <w:rFonts w:ascii="Noto Sans" w:eastAsiaTheme="minorHAnsi" w:hAnsi="Noto Sans" w:cs="Noto Sans"/>
          <w:sz w:val="22"/>
        </w:rPr>
        <w:t>, regulatory demands are compelling brands to move away from traditional approaches to packaging and label development and production. Long-standing priorities of order volumes, print quality, and cost must now be balanced with PPWR requirements for both packaging recyclability and minimum recycled content.</w:t>
      </w:r>
    </w:p>
    <w:p w14:paraId="2EC8D9A3" w14:textId="375C2757" w:rsidR="00DB19C4" w:rsidRPr="00782D98" w:rsidRDefault="00DB19C4" w:rsidP="00C03746">
      <w:pPr>
        <w:spacing w:after="160" w:line="240" w:lineRule="auto"/>
        <w:jc w:val="both"/>
        <w:rPr>
          <w:rFonts w:ascii="Noto Sans" w:eastAsiaTheme="minorHAnsi" w:hAnsi="Noto Sans" w:cs="Noto Sans"/>
          <w:sz w:val="22"/>
        </w:rPr>
      </w:pPr>
      <w:r w:rsidRPr="00782D98">
        <w:rPr>
          <w:rFonts w:ascii="Noto Sans" w:eastAsiaTheme="minorHAnsi" w:hAnsi="Noto Sans" w:cs="Noto Sans"/>
          <w:sz w:val="22"/>
        </w:rPr>
        <w:t xml:space="preserve">However, while incremental PPWR targets have been set for 2030 and beyond, the industry has concerns about the lack of a supporting framework. Key definitions of recyclability, recycled material grades, and related testing methodologies, remain unclear or incomplete. Clarity is also lacking about how compliance will be assessed in the long term. </w:t>
      </w:r>
    </w:p>
    <w:p w14:paraId="6A520007" w14:textId="77777777" w:rsidR="00DB19C4" w:rsidRPr="00782D98" w:rsidRDefault="00DB19C4" w:rsidP="00C03746">
      <w:pPr>
        <w:spacing w:after="160" w:line="240" w:lineRule="auto"/>
        <w:jc w:val="both"/>
        <w:rPr>
          <w:rFonts w:ascii="Noto Sans" w:eastAsiaTheme="minorHAnsi" w:hAnsi="Noto Sans" w:cs="Noto Sans"/>
          <w:sz w:val="22"/>
        </w:rPr>
      </w:pPr>
      <w:r w:rsidRPr="00782D98">
        <w:rPr>
          <w:rFonts w:ascii="Noto Sans" w:eastAsiaTheme="minorHAnsi" w:hAnsi="Noto Sans" w:cs="Noto Sans"/>
          <w:sz w:val="22"/>
        </w:rPr>
        <w:t xml:space="preserve">The result is not only a fragmented perception of packaging sustainability but also a siloed approach to sustainable product development. Ink, adhesive, and material suppliers are assessing their own product portfolios in isolation, without consideration for the impact on the overall packaging unit. As a result, while individual components may be deemed PPWR-compliant and technically recyclable, the combined packaging may still fail recyclability assessments if not recyclable at scale. </w:t>
      </w:r>
    </w:p>
    <w:p w14:paraId="66D80720" w14:textId="77777777" w:rsidR="00DB19C4" w:rsidRPr="00782D98" w:rsidRDefault="00DB19C4" w:rsidP="00C03746">
      <w:pPr>
        <w:spacing w:after="160" w:line="240" w:lineRule="auto"/>
        <w:jc w:val="both"/>
        <w:rPr>
          <w:rFonts w:ascii="Noto Sans" w:eastAsiaTheme="minorHAnsi" w:hAnsi="Noto Sans" w:cs="Noto Sans"/>
          <w:b/>
          <w:bCs/>
          <w:sz w:val="22"/>
        </w:rPr>
      </w:pPr>
      <w:r w:rsidRPr="00782D98">
        <w:rPr>
          <w:rFonts w:ascii="Noto Sans" w:eastAsiaTheme="minorHAnsi" w:hAnsi="Noto Sans" w:cs="Noto Sans"/>
          <w:b/>
          <w:bCs/>
          <w:sz w:val="22"/>
        </w:rPr>
        <w:t>Environmental friendliness versus full lifecycle impact</w:t>
      </w:r>
    </w:p>
    <w:p w14:paraId="089636C3" w14:textId="21FA66D4" w:rsidR="00DB19C4" w:rsidRPr="00782D98" w:rsidRDefault="00DB19C4" w:rsidP="00C03746">
      <w:pPr>
        <w:spacing w:after="160" w:line="240" w:lineRule="auto"/>
        <w:jc w:val="both"/>
        <w:rPr>
          <w:rFonts w:ascii="Noto Sans" w:eastAsiaTheme="minorHAnsi" w:hAnsi="Noto Sans" w:cs="Noto Sans"/>
          <w:sz w:val="22"/>
        </w:rPr>
      </w:pPr>
      <w:r w:rsidRPr="00782D98">
        <w:rPr>
          <w:rFonts w:ascii="Noto Sans" w:eastAsiaTheme="minorHAnsi" w:hAnsi="Noto Sans" w:cs="Noto Sans"/>
          <w:sz w:val="22"/>
        </w:rPr>
        <w:t xml:space="preserve">Brands have, of course, already made significant shifts in packaging strategy to meet the August 2026 PPWR deadline. Packaging has been </w:t>
      </w:r>
      <w:r w:rsidR="00782D98" w:rsidRPr="00782D98">
        <w:rPr>
          <w:rFonts w:ascii="Noto Sans" w:eastAsiaTheme="minorHAnsi" w:hAnsi="Noto Sans" w:cs="Noto Sans"/>
          <w:sz w:val="22"/>
        </w:rPr>
        <w:t>minimized</w:t>
      </w:r>
      <w:r w:rsidRPr="00782D98">
        <w:rPr>
          <w:rFonts w:ascii="Noto Sans" w:eastAsiaTheme="minorHAnsi" w:hAnsi="Noto Sans" w:cs="Noto Sans"/>
          <w:sz w:val="22"/>
        </w:rPr>
        <w:t xml:space="preserve">, hazardous substances </w:t>
      </w:r>
      <w:r w:rsidRPr="00782D98">
        <w:rPr>
          <w:rFonts w:ascii="Noto Sans" w:eastAsiaTheme="minorHAnsi" w:hAnsi="Noto Sans" w:cs="Noto Sans"/>
          <w:sz w:val="22"/>
        </w:rPr>
        <w:lastRenderedPageBreak/>
        <w:t xml:space="preserve">removed, and traceability added. However, the 2030 PPWR requirements’ strong emphasis on packaging recyclability raises questions regarding perceptions of environmental friendliness offered by current recycling capabilities, rather than understanding the full lifecycle environmental impact. </w:t>
      </w:r>
    </w:p>
    <w:p w14:paraId="05BF8C0B" w14:textId="049894BF" w:rsidR="00DB19C4" w:rsidRPr="00782D98" w:rsidRDefault="00DB19C4" w:rsidP="00C03746">
      <w:pPr>
        <w:spacing w:after="160" w:line="240" w:lineRule="auto"/>
        <w:jc w:val="both"/>
        <w:rPr>
          <w:rFonts w:ascii="Noto Sans" w:eastAsiaTheme="minorHAnsi" w:hAnsi="Noto Sans" w:cs="Noto Sans"/>
          <w:sz w:val="22"/>
        </w:rPr>
      </w:pPr>
      <w:r w:rsidRPr="00782D98">
        <w:rPr>
          <w:rFonts w:ascii="Noto Sans" w:eastAsiaTheme="minorHAnsi" w:hAnsi="Noto Sans" w:cs="Noto Sans"/>
          <w:sz w:val="22"/>
        </w:rPr>
        <w:t xml:space="preserve">The ambiguity is prompting brands to take different approaches to packaging design and material choices. </w:t>
      </w:r>
      <w:hyperlink r:id="rId10" w:history="1">
        <w:r w:rsidRPr="00782D98">
          <w:rPr>
            <w:rFonts w:ascii="Noto Sans" w:eastAsiaTheme="minorHAnsi" w:hAnsi="Noto Sans" w:cs="Noto Sans"/>
            <w:color w:val="0000FF"/>
            <w:sz w:val="22"/>
            <w:u w:val="single"/>
          </w:rPr>
          <w:t>Babybel</w:t>
        </w:r>
      </w:hyperlink>
      <w:r w:rsidRPr="00782D98">
        <w:rPr>
          <w:rFonts w:ascii="Noto Sans" w:eastAsiaTheme="minorHAnsi" w:hAnsi="Noto Sans" w:cs="Noto Sans"/>
          <w:sz w:val="22"/>
        </w:rPr>
        <w:t xml:space="preserve">, for example, has switched to paper-based packaging where possible – an easy win in terms of recyclability. It is considered a more sustainable choice by consumers and avoids the more complex and evolving rules imposed on plastic packaging. </w:t>
      </w:r>
      <w:r w:rsidR="000728C6" w:rsidRPr="000728C6">
        <w:rPr>
          <w:rFonts w:ascii="Noto Sans" w:eastAsiaTheme="minorHAnsi" w:hAnsi="Noto Sans" w:cs="Noto Sans"/>
          <w:sz w:val="22"/>
        </w:rPr>
        <w:t>In contrast, Canadian biscuit manufacturer </w:t>
      </w:r>
      <w:hyperlink r:id="rId11" w:tgtFrame="_blank" w:history="1">
        <w:r w:rsidR="000728C6" w:rsidRPr="000728C6">
          <w:rPr>
            <w:rStyle w:val="Hyperlink"/>
            <w:rFonts w:ascii="Noto Sans" w:eastAsiaTheme="minorHAnsi" w:hAnsi="Noto Sans" w:cs="Noto Sans"/>
            <w:sz w:val="22"/>
          </w:rPr>
          <w:t>Leclerc</w:t>
        </w:r>
      </w:hyperlink>
      <w:r w:rsidR="000728C6" w:rsidRPr="000728C6">
        <w:rPr>
          <w:rFonts w:ascii="Noto Sans" w:eastAsiaTheme="minorHAnsi" w:hAnsi="Noto Sans" w:cs="Noto Sans"/>
          <w:sz w:val="22"/>
        </w:rPr>
        <w:t> switched from cardboard to lightweight plastic film, based on lifecycle analysis showing reductions in transport emissions and overall material use.</w:t>
      </w:r>
    </w:p>
    <w:p w14:paraId="206C3420" w14:textId="702927D0" w:rsidR="00DB19C4" w:rsidRPr="00782D98" w:rsidRDefault="00DB19C4" w:rsidP="00C03746">
      <w:pPr>
        <w:spacing w:after="160" w:line="240" w:lineRule="auto"/>
        <w:jc w:val="both"/>
        <w:rPr>
          <w:rFonts w:ascii="Noto Sans" w:eastAsiaTheme="minorHAnsi" w:hAnsi="Noto Sans" w:cs="Noto Sans"/>
          <w:sz w:val="22"/>
        </w:rPr>
      </w:pPr>
      <w:r w:rsidRPr="00782D98">
        <w:rPr>
          <w:rFonts w:ascii="Noto Sans" w:eastAsiaTheme="minorHAnsi" w:hAnsi="Noto Sans" w:cs="Noto Sans"/>
          <w:sz w:val="22"/>
        </w:rPr>
        <w:t xml:space="preserve">Brands must also consider national variations in Extended Producer Responsibility (EPR) fees when making packaging decisions. A recent UK Department for Environment, Food and Rural Affairs (Defra) survey highlights major differences between suppliers: only </w:t>
      </w:r>
      <w:hyperlink r:id="rId12" w:history="1">
        <w:r w:rsidRPr="00782D98">
          <w:rPr>
            <w:rFonts w:ascii="Noto Sans" w:eastAsiaTheme="minorHAnsi" w:hAnsi="Noto Sans" w:cs="Noto Sans"/>
            <w:color w:val="0000FF"/>
            <w:sz w:val="22"/>
            <w:u w:val="single"/>
          </w:rPr>
          <w:t>10% of UK packaging producers</w:t>
        </w:r>
      </w:hyperlink>
      <w:r w:rsidRPr="00782D98">
        <w:rPr>
          <w:rFonts w:ascii="Noto Sans" w:eastAsiaTheme="minorHAnsi" w:hAnsi="Noto Sans" w:cs="Noto Sans"/>
          <w:sz w:val="22"/>
        </w:rPr>
        <w:t xml:space="preserve"> have fully transitioned to widely recyclable packaging, while 14% still exclusively supply packaging that poses strong recycling challenges</w:t>
      </w:r>
      <w:r w:rsidR="00045F4C" w:rsidRPr="00782D98">
        <w:rPr>
          <w:rFonts w:ascii="Noto Sans" w:eastAsiaTheme="minorHAnsi" w:hAnsi="Noto Sans" w:cs="Noto Sans"/>
          <w:sz w:val="22"/>
        </w:rPr>
        <w:t xml:space="preserve">. </w:t>
      </w:r>
    </w:p>
    <w:p w14:paraId="721876F4" w14:textId="77777777" w:rsidR="00DB19C4" w:rsidRPr="00782D98" w:rsidRDefault="00DB19C4" w:rsidP="00C03746">
      <w:pPr>
        <w:spacing w:after="160" w:line="240" w:lineRule="auto"/>
        <w:jc w:val="both"/>
        <w:rPr>
          <w:rFonts w:ascii="Noto Sans" w:eastAsiaTheme="minorHAnsi" w:hAnsi="Noto Sans" w:cs="Noto Sans"/>
          <w:b/>
          <w:bCs/>
          <w:sz w:val="22"/>
        </w:rPr>
      </w:pPr>
      <w:r w:rsidRPr="00782D98">
        <w:rPr>
          <w:rFonts w:ascii="Noto Sans" w:eastAsiaTheme="minorHAnsi" w:hAnsi="Noto Sans" w:cs="Noto Sans"/>
          <w:b/>
          <w:bCs/>
          <w:sz w:val="22"/>
        </w:rPr>
        <w:t>The commercial reality for packaging suppliers</w:t>
      </w:r>
    </w:p>
    <w:p w14:paraId="2F986BD9" w14:textId="77777777" w:rsidR="00DB19C4" w:rsidRPr="00782D98" w:rsidRDefault="00DB19C4" w:rsidP="00C03746">
      <w:pPr>
        <w:spacing w:after="160" w:line="240" w:lineRule="auto"/>
        <w:jc w:val="both"/>
        <w:rPr>
          <w:rFonts w:ascii="Noto Sans" w:eastAsiaTheme="minorHAnsi" w:hAnsi="Noto Sans" w:cs="Noto Sans"/>
          <w:sz w:val="22"/>
        </w:rPr>
      </w:pPr>
      <w:r w:rsidRPr="00782D98">
        <w:rPr>
          <w:rFonts w:ascii="Noto Sans" w:eastAsiaTheme="minorHAnsi" w:hAnsi="Noto Sans" w:cs="Noto Sans"/>
          <w:sz w:val="22"/>
        </w:rPr>
        <w:t xml:space="preserve">There is a pressing need for collaboration throughout the supply chain to address this status quo and provide brands with trusted information about packaging products. Shared testing and validation will be the foundation of packaging design strategies that reflect not only regulatory requirements, but also the capabilities of current recycling systems. </w:t>
      </w:r>
    </w:p>
    <w:p w14:paraId="056E2B64" w14:textId="655E0467" w:rsidR="00DB19C4" w:rsidRPr="00782D98" w:rsidRDefault="00DB19C4" w:rsidP="00C03746">
      <w:pPr>
        <w:spacing w:after="160" w:line="240" w:lineRule="auto"/>
        <w:jc w:val="both"/>
        <w:rPr>
          <w:rFonts w:ascii="Noto Sans" w:eastAsiaTheme="minorHAnsi" w:hAnsi="Noto Sans" w:cs="Noto Sans"/>
          <w:sz w:val="22"/>
        </w:rPr>
      </w:pPr>
      <w:r w:rsidRPr="00782D98">
        <w:rPr>
          <w:rFonts w:ascii="Noto Sans" w:eastAsiaTheme="minorHAnsi" w:hAnsi="Noto Sans" w:cs="Noto Sans"/>
          <w:sz w:val="22"/>
        </w:rPr>
        <w:t xml:space="preserve">Converters have a clear role in enabling collaboration between suppliers and supporting brands to navigate this period of uncertainty and change. They can clarify the pros and cons of evolving recycled material – for example, high-quality recycled packaging materials are often more expensive and can hold printing challenges in terms of ink adhesion and printing speed – potentially increasing waste, lowering efficiency, and productivity. </w:t>
      </w:r>
    </w:p>
    <w:p w14:paraId="6E8360B6" w14:textId="77777777" w:rsidR="00DB19C4" w:rsidRPr="00782D98" w:rsidRDefault="00DB19C4" w:rsidP="00C03746">
      <w:pPr>
        <w:spacing w:after="160" w:line="240" w:lineRule="auto"/>
        <w:jc w:val="both"/>
        <w:rPr>
          <w:rFonts w:ascii="Noto Sans" w:eastAsiaTheme="minorHAnsi" w:hAnsi="Noto Sans" w:cs="Noto Sans"/>
          <w:sz w:val="22"/>
        </w:rPr>
      </w:pPr>
      <w:r w:rsidRPr="00782D98">
        <w:rPr>
          <w:rFonts w:ascii="Noto Sans" w:eastAsiaTheme="minorHAnsi" w:hAnsi="Noto Sans" w:cs="Noto Sans"/>
          <w:sz w:val="22"/>
        </w:rPr>
        <w:t>Collaboration with press, ink, and material suppliers, sharing testing, and exchanging data, will be vital to building confidence. This insight will enable packaging suppliers to identify and validate sustainable materials that will deliver good production performance and visual impact for their brand customers. Collaboration will also support the move from generic ‘eco-friendly’ or ‘recyclable’ claims in favour of measurable, verifiable ones.</w:t>
      </w:r>
    </w:p>
    <w:p w14:paraId="41220799" w14:textId="77777777" w:rsidR="00DB19C4" w:rsidRPr="00782D98" w:rsidRDefault="00DB19C4" w:rsidP="00C03746">
      <w:pPr>
        <w:spacing w:after="160" w:line="240" w:lineRule="auto"/>
        <w:jc w:val="both"/>
        <w:rPr>
          <w:rFonts w:ascii="Noto Sans" w:eastAsiaTheme="minorHAnsi" w:hAnsi="Noto Sans" w:cs="Noto Sans"/>
          <w:b/>
          <w:bCs/>
          <w:sz w:val="22"/>
        </w:rPr>
      </w:pPr>
      <w:r w:rsidRPr="00782D98">
        <w:rPr>
          <w:rFonts w:ascii="Noto Sans" w:eastAsiaTheme="minorHAnsi" w:hAnsi="Noto Sans" w:cs="Noto Sans"/>
          <w:b/>
          <w:bCs/>
          <w:sz w:val="22"/>
        </w:rPr>
        <w:t>The benefits of digital printing to support the transition</w:t>
      </w:r>
    </w:p>
    <w:p w14:paraId="518A5E8F" w14:textId="77777777" w:rsidR="00DB19C4" w:rsidRPr="00782D98" w:rsidRDefault="00DB19C4" w:rsidP="00C03746">
      <w:pPr>
        <w:spacing w:after="160" w:line="240" w:lineRule="auto"/>
        <w:jc w:val="both"/>
        <w:rPr>
          <w:rFonts w:ascii="Noto Sans" w:eastAsiaTheme="minorHAnsi" w:hAnsi="Noto Sans" w:cs="Noto Sans"/>
          <w:sz w:val="22"/>
        </w:rPr>
      </w:pPr>
      <w:r w:rsidRPr="00782D98">
        <w:rPr>
          <w:rFonts w:ascii="Noto Sans" w:eastAsiaTheme="minorHAnsi" w:hAnsi="Noto Sans" w:cs="Noto Sans"/>
          <w:sz w:val="22"/>
        </w:rPr>
        <w:t xml:space="preserve">This shared, trusted data will be essential to supporting compliance reporting within an increasingly regulated environment. Converters are central to consolidating data from </w:t>
      </w:r>
      <w:r w:rsidRPr="00782D98">
        <w:rPr>
          <w:rFonts w:ascii="Noto Sans" w:eastAsiaTheme="minorHAnsi" w:hAnsi="Noto Sans" w:cs="Noto Sans"/>
          <w:sz w:val="22"/>
        </w:rPr>
        <w:lastRenderedPageBreak/>
        <w:t>across the value chain, providing brands with information about materials, recycled content, substances of concern, and recyclability performance to support their declarations of conformity and EPR reporting.</w:t>
      </w:r>
    </w:p>
    <w:p w14:paraId="445A75F5" w14:textId="22CAE2AD" w:rsidR="00DB19C4" w:rsidRPr="00782D98" w:rsidRDefault="00DB19C4" w:rsidP="00C03746">
      <w:pPr>
        <w:spacing w:after="160" w:line="240" w:lineRule="auto"/>
        <w:jc w:val="both"/>
        <w:rPr>
          <w:rFonts w:ascii="Noto Sans" w:eastAsiaTheme="minorHAnsi" w:hAnsi="Noto Sans" w:cs="Noto Sans"/>
          <w:sz w:val="22"/>
        </w:rPr>
      </w:pPr>
      <w:r w:rsidRPr="00782D98">
        <w:rPr>
          <w:rFonts w:ascii="Noto Sans" w:eastAsiaTheme="minorHAnsi" w:hAnsi="Noto Sans" w:cs="Noto Sans"/>
          <w:sz w:val="22"/>
        </w:rPr>
        <w:t xml:space="preserve">Digital inkjet printing technology can be an important asset during this evolution, enabling the use of </w:t>
      </w:r>
      <w:hyperlink r:id="rId13" w:history="1">
        <w:r w:rsidRPr="00066234">
          <w:rPr>
            <w:rStyle w:val="Hyperlink"/>
            <w:rFonts w:ascii="Noto Sans" w:eastAsiaTheme="minorHAnsi" w:hAnsi="Noto Sans" w:cs="Noto Sans"/>
            <w:sz w:val="22"/>
          </w:rPr>
          <w:t xml:space="preserve">variable 2D </w:t>
        </w:r>
        <w:proofErr w:type="gramStart"/>
        <w:r w:rsidRPr="00066234">
          <w:rPr>
            <w:rStyle w:val="Hyperlink"/>
            <w:rFonts w:ascii="Noto Sans" w:eastAsiaTheme="minorHAnsi" w:hAnsi="Noto Sans" w:cs="Noto Sans"/>
            <w:sz w:val="22"/>
          </w:rPr>
          <w:t>codes</w:t>
        </w:r>
        <w:proofErr w:type="gramEnd"/>
        <w:r w:rsidRPr="00066234">
          <w:rPr>
            <w:rStyle w:val="Hyperlink"/>
            <w:rFonts w:ascii="Noto Sans" w:eastAsiaTheme="minorHAnsi" w:hAnsi="Noto Sans" w:cs="Noto Sans"/>
            <w:sz w:val="22"/>
          </w:rPr>
          <w:t xml:space="preserve"> powered by GS1</w:t>
        </w:r>
      </w:hyperlink>
      <w:r w:rsidRPr="00782D98">
        <w:rPr>
          <w:rFonts w:ascii="Noto Sans" w:eastAsiaTheme="minorHAnsi" w:hAnsi="Noto Sans" w:cs="Noto Sans"/>
          <w:sz w:val="22"/>
        </w:rPr>
        <w:t>. In addition to supporting traceability, real-time lifecycle monitoring, and compliance reporting, 2D codes and connected data platforms can evolve with product and packaging information requirements as PPWR roll-out, Sunrise 2027, and digital product passport initiatives progress over the coming years.</w:t>
      </w:r>
    </w:p>
    <w:p w14:paraId="5D6C01F5" w14:textId="391F0006" w:rsidR="00DB19C4" w:rsidRPr="00782D98" w:rsidRDefault="00DB19C4" w:rsidP="00C03746">
      <w:pPr>
        <w:spacing w:after="160" w:line="240" w:lineRule="auto"/>
        <w:jc w:val="both"/>
        <w:rPr>
          <w:rFonts w:ascii="Noto Sans" w:eastAsiaTheme="minorHAnsi" w:hAnsi="Noto Sans" w:cs="Noto Sans"/>
          <w:sz w:val="22"/>
        </w:rPr>
      </w:pPr>
      <w:r w:rsidRPr="00782D98">
        <w:rPr>
          <w:rFonts w:ascii="Noto Sans" w:eastAsiaTheme="minorHAnsi" w:hAnsi="Noto Sans" w:cs="Noto Sans"/>
          <w:sz w:val="22"/>
        </w:rPr>
        <w:t xml:space="preserve">In addition, digital printing technology underpins the operational agility required by brands managing diverse packaging demands. It allows the efficient production of lower volumes of changing packaging designs to keep pace with evolving requirements for on-pack information, such as batch or unit-based </w:t>
      </w:r>
      <w:r w:rsidR="00782D98" w:rsidRPr="00782D98">
        <w:rPr>
          <w:rFonts w:ascii="Noto Sans" w:eastAsiaTheme="minorHAnsi" w:hAnsi="Noto Sans" w:cs="Noto Sans"/>
          <w:sz w:val="22"/>
        </w:rPr>
        <w:t>serialization</w:t>
      </w:r>
      <w:r w:rsidRPr="00782D98">
        <w:rPr>
          <w:rFonts w:ascii="Noto Sans" w:eastAsiaTheme="minorHAnsi" w:hAnsi="Noto Sans" w:cs="Noto Sans"/>
          <w:sz w:val="22"/>
        </w:rPr>
        <w:t xml:space="preserve">. Inkjet technology also provides enhanced control over ink </w:t>
      </w:r>
      <w:proofErr w:type="gramStart"/>
      <w:r w:rsidRPr="00782D98">
        <w:rPr>
          <w:rFonts w:ascii="Noto Sans" w:eastAsiaTheme="minorHAnsi" w:hAnsi="Noto Sans" w:cs="Noto Sans"/>
          <w:sz w:val="22"/>
        </w:rPr>
        <w:t>application</w:t>
      </w:r>
      <w:proofErr w:type="gramEnd"/>
      <w:r w:rsidRPr="00782D98">
        <w:rPr>
          <w:rFonts w:ascii="Noto Sans" w:eastAsiaTheme="minorHAnsi" w:hAnsi="Noto Sans" w:cs="Noto Sans"/>
          <w:sz w:val="22"/>
        </w:rPr>
        <w:t xml:space="preserve">, reducing ink use, and can reduce the impact of print on packaging recyclability. Overall, a digital approach provides converters with a more flexible commercial offering. </w:t>
      </w:r>
    </w:p>
    <w:p w14:paraId="1393F890" w14:textId="77777777" w:rsidR="00DB19C4" w:rsidRPr="00782D98" w:rsidRDefault="00DB19C4" w:rsidP="00C03746">
      <w:pPr>
        <w:spacing w:after="160" w:line="240" w:lineRule="auto"/>
        <w:jc w:val="both"/>
        <w:rPr>
          <w:rFonts w:ascii="Noto Sans" w:eastAsiaTheme="minorHAnsi" w:hAnsi="Noto Sans" w:cs="Noto Sans"/>
          <w:sz w:val="22"/>
        </w:rPr>
      </w:pPr>
      <w:r w:rsidRPr="00782D98">
        <w:rPr>
          <w:rFonts w:ascii="Noto Sans" w:eastAsiaTheme="minorHAnsi" w:hAnsi="Noto Sans" w:cs="Noto Sans"/>
          <w:b/>
          <w:bCs/>
          <w:sz w:val="22"/>
        </w:rPr>
        <w:t>Conclusion</w:t>
      </w:r>
    </w:p>
    <w:p w14:paraId="2EB356A6" w14:textId="4B34744D" w:rsidR="00DB19C4" w:rsidRPr="00782D98" w:rsidRDefault="00DB19C4" w:rsidP="00C03746">
      <w:pPr>
        <w:spacing w:after="160" w:line="240" w:lineRule="auto"/>
        <w:jc w:val="both"/>
        <w:rPr>
          <w:rFonts w:ascii="Noto Sans" w:hAnsi="Noto Sans" w:cs="Noto Sans"/>
          <w:sz w:val="22"/>
        </w:rPr>
      </w:pPr>
      <w:r w:rsidRPr="00782D98">
        <w:rPr>
          <w:rFonts w:ascii="Noto Sans" w:hAnsi="Noto Sans" w:cs="Noto Sans"/>
          <w:sz w:val="22"/>
        </w:rPr>
        <w:t xml:space="preserve">Evolving sustainability regulation is adding significant complexity to packaging design and materials. The industry needs to move quickly from a siloed approach to one based on continuous, close collaboration between </w:t>
      </w:r>
      <w:hyperlink r:id="rId14" w:history="1">
        <w:r w:rsidR="007E0D37" w:rsidRPr="00782D98">
          <w:rPr>
            <w:rStyle w:val="Hyperlink"/>
            <w:rFonts w:ascii="Noto Sans" w:hAnsi="Noto Sans" w:cs="Noto Sans"/>
            <w:sz w:val="22"/>
          </w:rPr>
          <w:t>printing equipment</w:t>
        </w:r>
      </w:hyperlink>
      <w:r w:rsidR="007E0D37" w:rsidRPr="00782D98">
        <w:rPr>
          <w:rFonts w:ascii="Noto Sans" w:hAnsi="Noto Sans" w:cs="Noto Sans"/>
          <w:sz w:val="22"/>
        </w:rPr>
        <w:t xml:space="preserve"> and </w:t>
      </w:r>
      <w:r w:rsidRPr="00782D98">
        <w:rPr>
          <w:rFonts w:ascii="Noto Sans" w:hAnsi="Noto Sans" w:cs="Noto Sans"/>
          <w:sz w:val="22"/>
        </w:rPr>
        <w:t>material suppliers, converters, and brands. Stakeholders across the value chain need to work together to adapt, test, and evolve to meet not only the regulatory requirements but the reality of the current recycling infrastructure.</w:t>
      </w:r>
    </w:p>
    <w:p w14:paraId="310FE9D5" w14:textId="77777777" w:rsidR="00DB19C4" w:rsidRPr="00782D98" w:rsidRDefault="00DB19C4" w:rsidP="00C03746">
      <w:pPr>
        <w:spacing w:after="160" w:line="240" w:lineRule="auto"/>
        <w:jc w:val="both"/>
        <w:rPr>
          <w:rFonts w:ascii="Noto Sans" w:eastAsiaTheme="minorHAnsi" w:hAnsi="Noto Sans" w:cs="Noto Sans"/>
          <w:sz w:val="22"/>
        </w:rPr>
      </w:pPr>
      <w:r w:rsidRPr="00782D98">
        <w:rPr>
          <w:rFonts w:ascii="Noto Sans" w:eastAsiaTheme="minorHAnsi" w:hAnsi="Noto Sans" w:cs="Noto Sans"/>
          <w:sz w:val="22"/>
        </w:rPr>
        <w:t>This provides a compelling opportunity for converters to deepen their understanding of material combinations and recyclability, gather compliance data, and invest in flexibility through digital technologies. Companies that take the lead in sustainability will be well-positioned to stay competitive by supporting their brand customers’ compliance journey.</w:t>
      </w:r>
    </w:p>
    <w:p w14:paraId="4A8A6DD0" w14:textId="77777777" w:rsidR="00DB19C4" w:rsidRPr="00782D98" w:rsidRDefault="00DB19C4" w:rsidP="00C03746">
      <w:pPr>
        <w:spacing w:after="160" w:line="240" w:lineRule="auto"/>
        <w:jc w:val="both"/>
        <w:rPr>
          <w:rFonts w:ascii="Noto Sans" w:eastAsiaTheme="minorHAnsi" w:hAnsi="Noto Sans" w:cs="Noto Sans"/>
          <w:sz w:val="22"/>
        </w:rPr>
      </w:pPr>
      <w:r w:rsidRPr="00782D98">
        <w:rPr>
          <w:rFonts w:ascii="Noto Sans" w:eastAsiaTheme="minorHAnsi" w:hAnsi="Noto Sans" w:cs="Noto Sans"/>
          <w:sz w:val="22"/>
        </w:rPr>
        <w:t>ENDS</w:t>
      </w:r>
    </w:p>
    <w:p w14:paraId="512A86E4" w14:textId="3C34242A" w:rsidR="005524DB" w:rsidRPr="00F67E02" w:rsidRDefault="00240801" w:rsidP="00B15DBB">
      <w:pPr>
        <w:spacing w:line="240" w:lineRule="auto"/>
        <w:rPr>
          <w:rFonts w:ascii="Noto Sans" w:hAnsi="Noto Sans" w:cs="Noto Sans"/>
          <w:sz w:val="20"/>
          <w:szCs w:val="20"/>
        </w:rPr>
      </w:pPr>
      <w:r w:rsidRPr="00782D98">
        <w:rPr>
          <w:rFonts w:ascii="Noto Sans" w:eastAsia="Gill Sans" w:hAnsi="Noto Sans" w:cs="Noto Sans"/>
          <w:b/>
          <w:szCs w:val="18"/>
        </w:rPr>
        <w:t>Disclaimers</w:t>
      </w:r>
      <w:r w:rsidRPr="00782D98">
        <w:rPr>
          <w:rFonts w:ascii="Noto Sans" w:eastAsia="Gill Sans" w:hAnsi="Noto Sans" w:cs="Noto Sans"/>
          <w:b/>
          <w:szCs w:val="18"/>
        </w:rPr>
        <w:br/>
      </w:r>
      <w:r w:rsidRPr="00782D98">
        <w:rPr>
          <w:rFonts w:ascii="Noto Sans" w:eastAsia="Gill Sans" w:hAnsi="Noto Sans" w:cs="Noto Sans"/>
          <w:szCs w:val="18"/>
        </w:rPr>
        <w:br/>
      </w:r>
      <w:r w:rsidRPr="00782D98">
        <w:rPr>
          <w:rFonts w:ascii="Noto Sans" w:hAnsi="Noto Sans" w:cs="Noto Sans"/>
          <w:b/>
          <w:bCs/>
          <w:szCs w:val="18"/>
        </w:rPr>
        <w:t>Inks</w:t>
      </w:r>
      <w:r w:rsidRPr="00782D98">
        <w:rPr>
          <w:rFonts w:ascii="Noto Sans" w:hAnsi="Noto Sans" w:cs="Noto Sans"/>
          <w:szCs w:val="18"/>
        </w:rPr>
        <w:br/>
        <w:t xml:space="preserve">The information contained in this document is not intended as a substitute for undertaking appropriate testing for your specific use and circumstances. Neither Domino UK Limited nor any of Domino’s group of companies is in any way liable for any reliance that you may put on this document with </w:t>
      </w:r>
      <w:proofErr w:type="gramStart"/>
      <w:r w:rsidRPr="00782D98">
        <w:rPr>
          <w:rFonts w:ascii="Noto Sans" w:hAnsi="Noto Sans" w:cs="Noto Sans"/>
          <w:szCs w:val="18"/>
        </w:rPr>
        <w:t>regards</w:t>
      </w:r>
      <w:proofErr w:type="gramEnd"/>
      <w:r w:rsidRPr="00782D98">
        <w:rPr>
          <w:rFonts w:ascii="Noto Sans" w:hAnsi="Noto Sans" w:cs="Noto Sans"/>
          <w:szCs w:val="18"/>
        </w:rPr>
        <w:t xml:space="preserve"> to the suitability of any ink for your </w:t>
      </w:r>
      <w:proofErr w:type="gramStart"/>
      <w:r w:rsidRPr="00782D98">
        <w:rPr>
          <w:rFonts w:ascii="Noto Sans" w:hAnsi="Noto Sans" w:cs="Noto Sans"/>
          <w:szCs w:val="18"/>
        </w:rPr>
        <w:t>particular application</w:t>
      </w:r>
      <w:proofErr w:type="gramEnd"/>
      <w:r w:rsidRPr="00782D98">
        <w:rPr>
          <w:rFonts w:ascii="Noto Sans" w:hAnsi="Noto Sans" w:cs="Noto Sans"/>
          <w:szCs w:val="18"/>
        </w:rPr>
        <w:t xml:space="preserve">. This document does not form part of any terms and conditions between you and Domino, Legal Disclaimers v.1.0 February 2018 and Domino’s Terms and Conditions of sale, and in particular the warranties and liabilities contained within them, shall apply to any purchase of products by you. </w:t>
      </w:r>
      <w:r w:rsidRPr="00782D98">
        <w:rPr>
          <w:rFonts w:ascii="Noto Sans" w:hAnsi="Noto Sans" w:cs="Noto Sans"/>
          <w:szCs w:val="18"/>
        </w:rPr>
        <w:br/>
      </w:r>
      <w:r w:rsidRPr="00782D98">
        <w:rPr>
          <w:rFonts w:ascii="Noto Sans" w:hAnsi="Noto Sans" w:cs="Noto Sans"/>
          <w:szCs w:val="18"/>
        </w:rPr>
        <w:br/>
      </w:r>
      <w:r w:rsidRPr="00782D98">
        <w:rPr>
          <w:rFonts w:ascii="Noto Sans" w:hAnsi="Noto Sans" w:cs="Noto Sans"/>
          <w:b/>
          <w:bCs/>
          <w:szCs w:val="18"/>
        </w:rPr>
        <w:t>General</w:t>
      </w:r>
      <w:r w:rsidRPr="00782D98">
        <w:rPr>
          <w:rFonts w:ascii="Noto Sans" w:hAnsi="Noto Sans" w:cs="Noto Sans"/>
          <w:szCs w:val="18"/>
        </w:rPr>
        <w:br/>
      </w:r>
      <w:r w:rsidR="003E7580" w:rsidRPr="00782D98">
        <w:rPr>
          <w:rFonts w:ascii="Noto Sans" w:hAnsi="Noto Sans" w:cs="Noto Sans"/>
          <w:szCs w:val="18"/>
        </w:rPr>
        <w:lastRenderedPageBreak/>
        <w:t xml:space="preserve">Information contained within this press release </w:t>
      </w:r>
      <w:proofErr w:type="gramStart"/>
      <w:r w:rsidR="003E7580" w:rsidRPr="00782D98">
        <w:rPr>
          <w:rFonts w:ascii="Noto Sans" w:hAnsi="Noto Sans" w:cs="Noto Sans"/>
          <w:szCs w:val="18"/>
        </w:rPr>
        <w:t>is considered to be</w:t>
      </w:r>
      <w:proofErr w:type="gramEnd"/>
      <w:r w:rsidR="003E7580" w:rsidRPr="00782D98">
        <w:rPr>
          <w:rFonts w:ascii="Noto Sans" w:hAnsi="Noto Sans" w:cs="Noto Sans"/>
          <w:szCs w:val="18"/>
        </w:rPr>
        <w:t xml:space="preserve"> true and correct at the date of publication by Domino, changes in circumstances after the time of publication may impact the accuracy of the information. </w:t>
      </w:r>
      <w:r w:rsidRPr="00782D98">
        <w:rPr>
          <w:rFonts w:ascii="Noto Sans" w:hAnsi="Noto Sans" w:cs="Noto Sans"/>
          <w:szCs w:val="18"/>
        </w:rPr>
        <w:t xml:space="preserve">All </w:t>
      </w:r>
      <w:proofErr w:type="gramStart"/>
      <w:r w:rsidRPr="00782D98">
        <w:rPr>
          <w:rFonts w:ascii="Noto Sans" w:hAnsi="Noto Sans" w:cs="Noto Sans"/>
          <w:szCs w:val="18"/>
        </w:rPr>
        <w:t>performance related</w:t>
      </w:r>
      <w:proofErr w:type="gramEnd"/>
      <w:r w:rsidRPr="00782D98">
        <w:rPr>
          <w:rFonts w:ascii="Noto Sans" w:hAnsi="Noto Sans" w:cs="Noto Sans"/>
          <w:szCs w:val="18"/>
        </w:rPr>
        <w:t xml:space="preserve">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 </w:t>
      </w:r>
      <w:r w:rsidRPr="00782D98">
        <w:rPr>
          <w:rFonts w:ascii="Noto Sans" w:hAnsi="Noto Sans" w:cs="Noto Sans"/>
          <w:szCs w:val="18"/>
        </w:rPr>
        <w:br/>
      </w:r>
      <w:r w:rsidRPr="00782D98">
        <w:rPr>
          <w:rFonts w:ascii="Noto Sans" w:hAnsi="Noto Sans" w:cs="Noto Sans"/>
          <w:szCs w:val="18"/>
        </w:rPr>
        <w:br/>
      </w:r>
      <w:r w:rsidRPr="00782D98">
        <w:rPr>
          <w:rFonts w:ascii="Noto Sans" w:hAnsi="Noto Sans" w:cs="Noto Sans"/>
          <w:b/>
          <w:bCs/>
          <w:szCs w:val="18"/>
        </w:rPr>
        <w:t>Imagery</w:t>
      </w:r>
      <w:r w:rsidRPr="00782D98">
        <w:rPr>
          <w:rFonts w:ascii="Noto Sans" w:hAnsi="Noto Sans" w:cs="Noto Sans"/>
          <w:szCs w:val="18"/>
        </w:rPr>
        <w:br/>
        <w:t xml:space="preserve">Images may include optional extras or upgrades. Print quality may differ depending on consumables, printer, substrates, and other factors. Images and photographs do not form any part of any terms and conditions between you and Domino. </w:t>
      </w:r>
      <w:r w:rsidRPr="00782D98">
        <w:rPr>
          <w:rFonts w:ascii="Noto Sans" w:hAnsi="Noto Sans" w:cs="Noto Sans"/>
          <w:szCs w:val="18"/>
        </w:rPr>
        <w:br/>
      </w:r>
      <w:r w:rsidRPr="00782D98">
        <w:rPr>
          <w:rFonts w:ascii="Noto Sans" w:hAnsi="Noto Sans" w:cs="Noto Sans"/>
          <w:szCs w:val="18"/>
        </w:rPr>
        <w:br/>
      </w:r>
      <w:r w:rsidRPr="00782D98">
        <w:rPr>
          <w:rFonts w:ascii="Noto Sans" w:hAnsi="Noto Sans" w:cs="Noto Sans"/>
          <w:b/>
          <w:bCs/>
          <w:szCs w:val="18"/>
        </w:rPr>
        <w:t>Videos</w:t>
      </w:r>
      <w:r w:rsidRPr="00782D98">
        <w:rPr>
          <w:rFonts w:ascii="Noto Sans" w:hAnsi="Noto Sans" w:cs="Noto Sans"/>
          <w:szCs w:val="18"/>
        </w:rPr>
        <w:br/>
        <w:t>This video is illustrative only and may include optional extras. Performance figures obtained under specific conditions; individual performance may vary. Errors and downtime on production lines may be unavoidable. Nothing in this video forms part of any contract between you and Domino.</w:t>
      </w:r>
      <w:r w:rsidRPr="00782D98">
        <w:rPr>
          <w:rFonts w:ascii="Noto Sans" w:hAnsi="Noto Sans" w:cs="Noto Sans"/>
          <w:szCs w:val="18"/>
        </w:rPr>
        <w:br/>
      </w:r>
      <w:r w:rsidRPr="00782D98">
        <w:rPr>
          <w:rFonts w:ascii="Noto Sans" w:eastAsia="Gill Sans" w:hAnsi="Noto Sans" w:cs="Noto Sans"/>
          <w:szCs w:val="18"/>
        </w:rPr>
        <w:br/>
      </w:r>
      <w:bookmarkStart w:id="1" w:name="_Hlk61949672"/>
      <w:r w:rsidRPr="00782D98">
        <w:rPr>
          <w:rFonts w:ascii="Noto Sans" w:eastAsia="Gill Sans" w:hAnsi="Noto Sans" w:cs="Noto Sans"/>
          <w:b/>
          <w:szCs w:val="18"/>
        </w:rPr>
        <w:t>Notes to Editors:</w:t>
      </w:r>
      <w:r w:rsidRPr="00782D98">
        <w:rPr>
          <w:rFonts w:ascii="Noto Sans" w:eastAsia="Gill Sans" w:hAnsi="Noto Sans" w:cs="Noto Sans"/>
          <w:b/>
          <w:szCs w:val="18"/>
        </w:rPr>
        <w:br/>
      </w:r>
      <w:r w:rsidRPr="00782D98">
        <w:rPr>
          <w:rFonts w:ascii="Noto Sans" w:eastAsia="Gill Sans" w:hAnsi="Noto Sans" w:cs="Noto Sans"/>
          <w:szCs w:val="18"/>
        </w:rPr>
        <w:br/>
      </w:r>
      <w:r w:rsidRPr="00782D98">
        <w:rPr>
          <w:rFonts w:ascii="Noto Sans" w:eastAsia="Gill Sans" w:hAnsi="Noto Sans" w:cs="Noto Sans"/>
          <w:b/>
          <w:szCs w:val="18"/>
        </w:rPr>
        <w:t>About Domino</w:t>
      </w:r>
      <w:r w:rsidRPr="00782D98">
        <w:rPr>
          <w:rFonts w:ascii="Noto Sans" w:eastAsia="Gill Sans" w:hAnsi="Noto Sans" w:cs="Noto Sans"/>
          <w:b/>
          <w:szCs w:val="18"/>
        </w:rPr>
        <w:br/>
      </w:r>
      <w:r w:rsidRPr="00782D98">
        <w:rPr>
          <w:rFonts w:ascii="Noto Sans" w:eastAsia="Gill Sans" w:hAnsi="Noto Sans" w:cs="Noto Sans"/>
          <w:szCs w:val="18"/>
        </w:rPr>
        <w:br/>
        <w:t>Digital Printing Solutions is a division within Domino Printing Sciences. The company, founded in 1978, has established a global reputation for the development and manufacture of digital inkjet printing technologies, as well as its worldwide aftermarket products and customer services. Its services for the commercial print sector include digital inkjet printers and control systems designed to deliver solutions for a complete range of labelling, corrugated, and variable printing applications.</w:t>
      </w:r>
      <w:r w:rsidRPr="00782D98">
        <w:rPr>
          <w:rFonts w:ascii="Noto Sans" w:eastAsia="Gill Sans" w:hAnsi="Noto Sans" w:cs="Noto Sans"/>
          <w:szCs w:val="18"/>
        </w:rPr>
        <w:br/>
      </w:r>
      <w:r w:rsidRPr="00782D98">
        <w:rPr>
          <w:rFonts w:ascii="Noto Sans" w:eastAsia="Gill Sans" w:hAnsi="Noto Sans" w:cs="Noto Sans"/>
          <w:szCs w:val="18"/>
        </w:rPr>
        <w:br/>
        <w:t>All of Domino’s printers are designed to meet the high-speed, high-quality demands of commercial printing environments, bringing new capabilities to numerous sectors, including labelling, corrugated, publications and security printing, transactional, packaging converting, plastic cards, tickets, game cards and forms, as well as the direct mail and postal sectors.</w:t>
      </w:r>
      <w:r w:rsidRPr="00782D98">
        <w:rPr>
          <w:rFonts w:ascii="Noto Sans" w:eastAsia="Gill Sans" w:hAnsi="Noto Sans" w:cs="Noto Sans"/>
          <w:szCs w:val="18"/>
        </w:rPr>
        <w:br/>
      </w:r>
      <w:r w:rsidRPr="00782D98">
        <w:rPr>
          <w:rFonts w:ascii="Noto Sans" w:eastAsia="Gill Sans" w:hAnsi="Noto Sans" w:cs="Noto Sans"/>
          <w:szCs w:val="18"/>
        </w:rPr>
        <w:br/>
        <w:t xml:space="preserve">Domino employs over 3,000 people worldwide and sells to more than 120 countries through a global network of 29 subsidiary offices and more than 200 distributors. Domino’s manufacturing facilities </w:t>
      </w:r>
      <w:proofErr w:type="gramStart"/>
      <w:r w:rsidRPr="00782D98">
        <w:rPr>
          <w:rFonts w:ascii="Noto Sans" w:eastAsia="Gill Sans" w:hAnsi="Noto Sans" w:cs="Noto Sans"/>
          <w:szCs w:val="18"/>
        </w:rPr>
        <w:t>are located in</w:t>
      </w:r>
      <w:proofErr w:type="gramEnd"/>
      <w:r w:rsidRPr="00782D98">
        <w:rPr>
          <w:rFonts w:ascii="Noto Sans" w:eastAsia="Gill Sans" w:hAnsi="Noto Sans" w:cs="Noto Sans"/>
          <w:szCs w:val="18"/>
        </w:rPr>
        <w:t xml:space="preserve"> China, Germany, India, Sweden, Switzerland, UK, and the USA.</w:t>
      </w:r>
      <w:r w:rsidRPr="00782D98">
        <w:rPr>
          <w:rFonts w:ascii="Noto Sans" w:eastAsia="Gill Sans" w:hAnsi="Noto Sans" w:cs="Noto Sans"/>
          <w:szCs w:val="18"/>
        </w:rPr>
        <w:br/>
      </w:r>
      <w:r w:rsidRPr="00782D98">
        <w:rPr>
          <w:rFonts w:ascii="Noto Sans" w:eastAsia="Gill Sans" w:hAnsi="Noto Sans" w:cs="Noto Sans"/>
          <w:szCs w:val="18"/>
        </w:rPr>
        <w:br/>
        <w:t>Domino became an autonomous division within Brother Industries Ltd. on 11</w:t>
      </w:r>
      <w:r w:rsidRPr="00782D98">
        <w:rPr>
          <w:rFonts w:ascii="Noto Sans" w:eastAsia="Gill Sans" w:hAnsi="Noto Sans" w:cs="Noto Sans"/>
          <w:szCs w:val="18"/>
          <w:vertAlign w:val="superscript"/>
        </w:rPr>
        <w:t>th</w:t>
      </w:r>
      <w:r w:rsidRPr="00782D98">
        <w:rPr>
          <w:rFonts w:ascii="Noto Sans" w:eastAsia="Gill Sans" w:hAnsi="Noto Sans" w:cs="Noto Sans"/>
          <w:szCs w:val="18"/>
        </w:rPr>
        <w:t xml:space="preserve"> June 2015. </w:t>
      </w:r>
      <w:r w:rsidRPr="00782D98">
        <w:rPr>
          <w:rFonts w:ascii="Noto Sans" w:eastAsia="Gill Sans" w:hAnsi="Noto Sans" w:cs="Noto Sans"/>
          <w:szCs w:val="18"/>
        </w:rPr>
        <w:br/>
      </w:r>
      <w:r w:rsidRPr="00782D98">
        <w:rPr>
          <w:rFonts w:ascii="Noto Sans" w:eastAsia="Gill Sans" w:hAnsi="Noto Sans" w:cs="Noto Sans"/>
          <w:szCs w:val="18"/>
        </w:rPr>
        <w:br/>
        <w:t xml:space="preserve">For further information on Domino, please visit </w:t>
      </w:r>
      <w:hyperlink r:id="rId15">
        <w:r w:rsidRPr="00782D98">
          <w:rPr>
            <w:rFonts w:ascii="Noto Sans" w:eastAsia="Gill Sans" w:hAnsi="Noto Sans" w:cs="Noto Sans"/>
            <w:szCs w:val="18"/>
            <w:u w:val="single"/>
          </w:rPr>
          <w:t>www.domino-printing.com</w:t>
        </w:r>
      </w:hyperlink>
      <w:r w:rsidRPr="00782D98">
        <w:rPr>
          <w:rFonts w:ascii="Noto Sans" w:eastAsia="Gill Sans" w:hAnsi="Noto Sans" w:cs="Noto Sans"/>
          <w:szCs w:val="18"/>
        </w:rPr>
        <w:t xml:space="preserve"> </w:t>
      </w:r>
      <w:r w:rsidRPr="00782D98">
        <w:rPr>
          <w:rFonts w:ascii="Noto Sans" w:eastAsia="Gill Sans" w:hAnsi="Noto Sans" w:cs="Noto Sans"/>
          <w:szCs w:val="18"/>
        </w:rPr>
        <w:br/>
      </w:r>
      <w:r w:rsidRPr="00782D98">
        <w:rPr>
          <w:rFonts w:ascii="Noto Sans" w:eastAsia="Gill Sans" w:hAnsi="Noto Sans" w:cs="Noto Sans"/>
          <w:szCs w:val="18"/>
        </w:rPr>
        <w:br/>
      </w:r>
      <w:r w:rsidRPr="00782D98">
        <w:rPr>
          <w:rFonts w:ascii="Noto Sans" w:eastAsia="Gill Sans" w:hAnsi="Noto Sans" w:cs="Noto Sans"/>
          <w:b/>
          <w:szCs w:val="18"/>
        </w:rPr>
        <w:t>Issued on behalf of Domino by Neo PR Limited</w:t>
      </w:r>
      <w:r w:rsidRPr="00782D98">
        <w:rPr>
          <w:rFonts w:ascii="Noto Sans" w:eastAsia="Gill Sans" w:hAnsi="Noto Sans" w:cs="Noto Sans"/>
          <w:szCs w:val="18"/>
        </w:rPr>
        <w:t>.</w:t>
      </w:r>
      <w:r w:rsidRPr="00782D98">
        <w:rPr>
          <w:rFonts w:ascii="Noto Sans" w:eastAsia="Gill Sans" w:hAnsi="Noto Sans" w:cs="Noto Sans"/>
          <w:szCs w:val="18"/>
        </w:rPr>
        <w:br/>
      </w:r>
      <w:r w:rsidRPr="00782D98">
        <w:rPr>
          <w:rFonts w:ascii="Noto Sans" w:eastAsia="Gill Sans" w:hAnsi="Noto Sans" w:cs="Noto Sans"/>
          <w:szCs w:val="18"/>
        </w:rPr>
        <w:br/>
      </w:r>
      <w:r w:rsidRPr="00782D98">
        <w:rPr>
          <w:rFonts w:ascii="Noto Sans" w:eastAsia="Gill Sans" w:hAnsi="Noto Sans" w:cs="Noto Sans"/>
          <w:b/>
          <w:szCs w:val="18"/>
        </w:rPr>
        <w:t>For more information, please contact:</w:t>
      </w:r>
      <w:r w:rsidRPr="00782D98">
        <w:rPr>
          <w:rFonts w:ascii="Noto Sans" w:eastAsia="Gill Sans" w:hAnsi="Noto Sans" w:cs="Noto Sans"/>
          <w:b/>
          <w:szCs w:val="18"/>
        </w:rPr>
        <w:br/>
      </w:r>
      <w:r w:rsidRPr="00782D98">
        <w:rPr>
          <w:rFonts w:ascii="Noto Sans" w:eastAsia="Gill Sans" w:hAnsi="Noto Sans" w:cs="Noto Sans"/>
          <w:b/>
          <w:szCs w:val="18"/>
        </w:rPr>
        <w:br/>
      </w:r>
      <w:r w:rsidRPr="00782D98">
        <w:rPr>
          <w:rFonts w:ascii="Noto Sans" w:hAnsi="Noto Sans" w:cs="Noto Sans"/>
          <w:szCs w:val="18"/>
        </w:rPr>
        <w:t>David Mieny</w:t>
      </w:r>
      <w:r w:rsidRPr="00782D98">
        <w:rPr>
          <w:rFonts w:ascii="Noto Sans" w:hAnsi="Noto Sans" w:cs="Noto Sans"/>
          <w:szCs w:val="18"/>
        </w:rPr>
        <w:br/>
        <w:t>PR Account Director</w:t>
      </w:r>
      <w:r w:rsidRPr="00782D98">
        <w:rPr>
          <w:rFonts w:ascii="Noto Sans" w:hAnsi="Noto Sans" w:cs="Noto Sans"/>
          <w:szCs w:val="18"/>
        </w:rPr>
        <w:br/>
        <w:t>Neo PR Limited</w:t>
      </w:r>
      <w:r w:rsidRPr="00782D98">
        <w:rPr>
          <w:rFonts w:ascii="Noto Sans" w:hAnsi="Noto Sans" w:cs="Noto Sans"/>
          <w:szCs w:val="18"/>
        </w:rPr>
        <w:br/>
        <w:t>Tel: +44 (0) 1296 733 867</w:t>
      </w:r>
      <w:r w:rsidRPr="00782D98">
        <w:rPr>
          <w:rFonts w:ascii="Noto Sans" w:hAnsi="Noto Sans" w:cs="Noto Sans"/>
          <w:szCs w:val="18"/>
        </w:rPr>
        <w:br/>
      </w:r>
      <w:hyperlink r:id="rId16" w:history="1">
        <w:r w:rsidRPr="00782D98">
          <w:rPr>
            <w:rStyle w:val="Hyperlink"/>
            <w:rFonts w:ascii="Noto Sans" w:hAnsi="Noto Sans" w:cs="Noto Sans"/>
            <w:szCs w:val="18"/>
          </w:rPr>
          <w:t>David@neopr.co.uk</w:t>
        </w:r>
      </w:hyperlink>
      <w:r w:rsidRPr="00782D98">
        <w:rPr>
          <w:rFonts w:ascii="Noto Sans" w:hAnsi="Noto Sans" w:cs="Noto Sans"/>
          <w:szCs w:val="18"/>
        </w:rPr>
        <w:t xml:space="preserve"> </w:t>
      </w:r>
      <w:r w:rsidRPr="00782D98">
        <w:rPr>
          <w:rFonts w:ascii="Noto Sans" w:hAnsi="Noto Sans" w:cs="Noto Sans"/>
          <w:szCs w:val="18"/>
        </w:rPr>
        <w:br/>
      </w:r>
      <w:r w:rsidRPr="00782D98">
        <w:rPr>
          <w:rFonts w:ascii="Noto Sans" w:hAnsi="Noto Sans" w:cs="Noto Sans"/>
          <w:szCs w:val="18"/>
        </w:rPr>
        <w:br/>
      </w:r>
      <w:r w:rsidRPr="00782D98">
        <w:rPr>
          <w:rFonts w:ascii="Noto Sans" w:hAnsi="Noto Sans" w:cs="Noto Sans"/>
          <w:szCs w:val="18"/>
        </w:rPr>
        <w:lastRenderedPageBreak/>
        <w:t>Kathrin Farr</w:t>
      </w:r>
      <w:r w:rsidRPr="00782D98">
        <w:rPr>
          <w:rFonts w:ascii="Noto Sans" w:hAnsi="Noto Sans" w:cs="Noto Sans"/>
          <w:szCs w:val="18"/>
        </w:rPr>
        <w:br/>
        <w:t xml:space="preserve">Content Executive and Copywriter  </w:t>
      </w:r>
      <w:r w:rsidRPr="00782D98">
        <w:rPr>
          <w:rFonts w:ascii="Noto Sans" w:hAnsi="Noto Sans" w:cs="Noto Sans"/>
          <w:szCs w:val="18"/>
        </w:rPr>
        <w:br/>
        <w:t>Domino Printing Sciences</w:t>
      </w:r>
      <w:r w:rsidRPr="00782D98">
        <w:rPr>
          <w:rFonts w:ascii="Noto Sans" w:hAnsi="Noto Sans" w:cs="Noto Sans"/>
          <w:szCs w:val="18"/>
        </w:rPr>
        <w:br/>
        <w:t>Tel: +44 (0) 1954 782551</w:t>
      </w:r>
      <w:r w:rsidRPr="00782D98">
        <w:rPr>
          <w:rFonts w:ascii="Noto Sans" w:hAnsi="Noto Sans" w:cs="Noto Sans"/>
          <w:szCs w:val="18"/>
        </w:rPr>
        <w:br/>
      </w:r>
      <w:hyperlink r:id="rId17" w:history="1">
        <w:r w:rsidRPr="00782D98">
          <w:rPr>
            <w:rStyle w:val="Hyperlink"/>
            <w:rFonts w:ascii="Noto Sans" w:hAnsi="Noto Sans" w:cs="Noto Sans"/>
            <w:szCs w:val="18"/>
          </w:rPr>
          <w:t>Kathrin.Farr@domino-uk.com</w:t>
        </w:r>
      </w:hyperlink>
      <w:r w:rsidRPr="00782D98">
        <w:rPr>
          <w:rFonts w:ascii="Noto Sans" w:hAnsi="Noto Sans" w:cs="Noto Sans"/>
          <w:szCs w:val="18"/>
        </w:rPr>
        <w:t xml:space="preserve"> </w:t>
      </w:r>
      <w:r w:rsidRPr="00782D98">
        <w:rPr>
          <w:rFonts w:ascii="Noto Sans" w:hAnsi="Noto Sans" w:cs="Noto Sans"/>
          <w:szCs w:val="18"/>
        </w:rPr>
        <w:br/>
      </w:r>
      <w:bookmarkEnd w:id="0"/>
      <w:bookmarkEnd w:id="1"/>
      <w:r w:rsidRPr="00782D98">
        <w:rPr>
          <w:rFonts w:ascii="Noto Sans" w:hAnsi="Noto Sans" w:cs="Noto Sans"/>
          <w:szCs w:val="18"/>
        </w:rPr>
        <w:br/>
      </w:r>
      <w:r w:rsidR="009A77CD" w:rsidRPr="00782D98">
        <w:rPr>
          <w:rFonts w:ascii="Noto Sans" w:hAnsi="Noto Sans" w:cs="Noto Sans"/>
          <w:szCs w:val="18"/>
        </w:rPr>
        <w:t xml:space="preserve">Jade Taylor-Salazar </w:t>
      </w:r>
      <w:r w:rsidR="009A77CD" w:rsidRPr="00782D98">
        <w:rPr>
          <w:rFonts w:ascii="Noto Sans" w:hAnsi="Noto Sans" w:cs="Noto Sans"/>
          <w:szCs w:val="18"/>
        </w:rPr>
        <w:br/>
        <w:t xml:space="preserve">PR and Content Manager </w:t>
      </w:r>
      <w:r w:rsidR="009A77CD" w:rsidRPr="00782D98">
        <w:rPr>
          <w:rFonts w:ascii="Noto Sans" w:hAnsi="Noto Sans" w:cs="Noto Sans"/>
          <w:szCs w:val="18"/>
        </w:rPr>
        <w:br/>
        <w:t xml:space="preserve">Domino Printing Sciences </w:t>
      </w:r>
      <w:r w:rsidR="009A77CD" w:rsidRPr="00782D98">
        <w:rPr>
          <w:rFonts w:ascii="Noto Sans" w:hAnsi="Noto Sans" w:cs="Noto Sans"/>
          <w:szCs w:val="18"/>
        </w:rPr>
        <w:br/>
        <w:t>Tel: +44 (0) 1954 778780</w:t>
      </w:r>
      <w:r w:rsidR="009A77CD" w:rsidRPr="00782D98">
        <w:rPr>
          <w:rFonts w:ascii="Noto Sans" w:hAnsi="Noto Sans" w:cs="Noto Sans"/>
          <w:szCs w:val="18"/>
        </w:rPr>
        <w:br/>
      </w:r>
      <w:hyperlink r:id="rId18" w:history="1">
        <w:r w:rsidR="009A77CD" w:rsidRPr="00782D98">
          <w:rPr>
            <w:rStyle w:val="Hyperlink"/>
            <w:rFonts w:ascii="Noto Sans" w:hAnsi="Noto Sans" w:cs="Noto Sans"/>
            <w:szCs w:val="18"/>
          </w:rPr>
          <w:t>Jade.Taylor-Salazar@domino-uk.com</w:t>
        </w:r>
      </w:hyperlink>
      <w:r w:rsidR="00F67E02" w:rsidRPr="00782D98">
        <w:rPr>
          <w:rFonts w:ascii="Noto Sans" w:hAnsi="Noto Sans" w:cs="Noto Sans"/>
          <w:szCs w:val="18"/>
        </w:rPr>
        <w:br/>
      </w:r>
    </w:p>
    <w:sectPr w:rsidR="005524DB" w:rsidRPr="00F67E02" w:rsidSect="000F6D00">
      <w:headerReference w:type="default" r:id="rId19"/>
      <w:footerReference w:type="default" r:id="rId20"/>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2C7A9" w14:textId="77777777" w:rsidR="00F21789" w:rsidRPr="00782D98" w:rsidRDefault="00F21789" w:rsidP="00785717">
      <w:pPr>
        <w:spacing w:line="240" w:lineRule="auto"/>
      </w:pPr>
      <w:r w:rsidRPr="00782D98">
        <w:separator/>
      </w:r>
    </w:p>
  </w:endnote>
  <w:endnote w:type="continuationSeparator" w:id="0">
    <w:p w14:paraId="26C905E1" w14:textId="77777777" w:rsidR="00F21789" w:rsidRPr="00782D98" w:rsidRDefault="00F21789" w:rsidP="00785717">
      <w:pPr>
        <w:spacing w:line="240" w:lineRule="auto"/>
      </w:pPr>
      <w:r w:rsidRPr="00782D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altName w:val="Nirmala UI"/>
    <w:panose1 w:val="020B0502040504020204"/>
    <w:charset w:val="00"/>
    <w:family w:val="swiss"/>
    <w:pitch w:val="variable"/>
    <w:sig w:usb0="E00082FF" w:usb1="400078F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35331" w14:textId="77777777" w:rsidR="00785717" w:rsidRPr="00782D98" w:rsidRDefault="000F6D00" w:rsidP="00785717">
    <w:pPr>
      <w:pStyle w:val="Footer"/>
    </w:pPr>
    <w:r w:rsidRPr="00782D98">
      <w:rPr>
        <w:noProof/>
      </w:rPr>
      <w:drawing>
        <wp:anchor distT="0" distB="0" distL="114300" distR="114300" simplePos="0" relativeHeight="251659264" behindDoc="0" locked="0" layoutInCell="1" allowOverlap="1" wp14:anchorId="7AA840F5" wp14:editId="23D0F4E3">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sidRPr="00782D98">
      <w:rPr>
        <w:noProof/>
      </w:rPr>
      <w:drawing>
        <wp:anchor distT="0" distB="0" distL="114300" distR="114300" simplePos="0" relativeHeight="251658240" behindDoc="1" locked="0" layoutInCell="1" allowOverlap="1" wp14:anchorId="224F61F0" wp14:editId="5A6CF3E0">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8F52A" w14:textId="77777777" w:rsidR="00F21789" w:rsidRPr="00782D98" w:rsidRDefault="00F21789" w:rsidP="00785717">
      <w:pPr>
        <w:spacing w:line="240" w:lineRule="auto"/>
      </w:pPr>
      <w:r w:rsidRPr="00782D98">
        <w:separator/>
      </w:r>
    </w:p>
  </w:footnote>
  <w:footnote w:type="continuationSeparator" w:id="0">
    <w:p w14:paraId="0E1A5870" w14:textId="77777777" w:rsidR="00F21789" w:rsidRPr="00782D98" w:rsidRDefault="00F21789" w:rsidP="00785717">
      <w:pPr>
        <w:spacing w:line="240" w:lineRule="auto"/>
      </w:pPr>
      <w:r w:rsidRPr="00782D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8458" w14:textId="77777777" w:rsidR="000F6D00" w:rsidRPr="00782D98" w:rsidRDefault="002766D9">
    <w:pPr>
      <w:pStyle w:val="Header"/>
    </w:pPr>
    <w:r w:rsidRPr="00782D98">
      <w:rPr>
        <w:noProof/>
      </w:rPr>
      <w:drawing>
        <wp:anchor distT="0" distB="0" distL="114300" distR="114300" simplePos="0" relativeHeight="251661312" behindDoc="0" locked="0" layoutInCell="1" allowOverlap="1" wp14:anchorId="4688EBAB" wp14:editId="0DC5DC7C">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E02"/>
    <w:rsid w:val="0002201E"/>
    <w:rsid w:val="00045F4C"/>
    <w:rsid w:val="00066234"/>
    <w:rsid w:val="000728C6"/>
    <w:rsid w:val="000F6D00"/>
    <w:rsid w:val="001027A9"/>
    <w:rsid w:val="001D743C"/>
    <w:rsid w:val="002202E3"/>
    <w:rsid w:val="00240801"/>
    <w:rsid w:val="002766D9"/>
    <w:rsid w:val="00320BD3"/>
    <w:rsid w:val="00372E92"/>
    <w:rsid w:val="003810AA"/>
    <w:rsid w:val="003E7580"/>
    <w:rsid w:val="005272B1"/>
    <w:rsid w:val="005524DB"/>
    <w:rsid w:val="005741C7"/>
    <w:rsid w:val="005E6C45"/>
    <w:rsid w:val="00640217"/>
    <w:rsid w:val="00647055"/>
    <w:rsid w:val="00660F46"/>
    <w:rsid w:val="00782D98"/>
    <w:rsid w:val="00785717"/>
    <w:rsid w:val="00791A4F"/>
    <w:rsid w:val="007C018A"/>
    <w:rsid w:val="007E0D37"/>
    <w:rsid w:val="00807354"/>
    <w:rsid w:val="008220B7"/>
    <w:rsid w:val="00823B77"/>
    <w:rsid w:val="008916A8"/>
    <w:rsid w:val="008B6461"/>
    <w:rsid w:val="008E5E0C"/>
    <w:rsid w:val="008F3E38"/>
    <w:rsid w:val="00931996"/>
    <w:rsid w:val="009A1716"/>
    <w:rsid w:val="009A1DEC"/>
    <w:rsid w:val="009A77CD"/>
    <w:rsid w:val="009D6280"/>
    <w:rsid w:val="00A34918"/>
    <w:rsid w:val="00AB11DA"/>
    <w:rsid w:val="00AC1D0A"/>
    <w:rsid w:val="00B15DBB"/>
    <w:rsid w:val="00B23C3C"/>
    <w:rsid w:val="00B546C5"/>
    <w:rsid w:val="00B56A1B"/>
    <w:rsid w:val="00B7088D"/>
    <w:rsid w:val="00BC7C15"/>
    <w:rsid w:val="00C03746"/>
    <w:rsid w:val="00C063FE"/>
    <w:rsid w:val="00C44603"/>
    <w:rsid w:val="00C541FE"/>
    <w:rsid w:val="00CF1AD5"/>
    <w:rsid w:val="00DB19C4"/>
    <w:rsid w:val="00DE1F9A"/>
    <w:rsid w:val="00E03029"/>
    <w:rsid w:val="00EC1C5A"/>
    <w:rsid w:val="00F21789"/>
    <w:rsid w:val="00F67E02"/>
    <w:rsid w:val="00F82F7D"/>
    <w:rsid w:val="00FF4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A5F88"/>
  <w15:chartTrackingRefBased/>
  <w15:docId w15:val="{352063F3-A9B7-4B08-ACC9-DD23E443F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styleId="CommentReference">
    <w:name w:val="annotation reference"/>
    <w:basedOn w:val="DefaultParagraphFont"/>
    <w:uiPriority w:val="99"/>
    <w:semiHidden/>
    <w:unhideWhenUsed/>
    <w:rsid w:val="00DB19C4"/>
    <w:rPr>
      <w:sz w:val="16"/>
      <w:szCs w:val="16"/>
    </w:rPr>
  </w:style>
  <w:style w:type="paragraph" w:styleId="CommentText">
    <w:name w:val="annotation text"/>
    <w:basedOn w:val="Normal"/>
    <w:link w:val="CommentTextChar"/>
    <w:uiPriority w:val="99"/>
    <w:unhideWhenUsed/>
    <w:rsid w:val="00DB19C4"/>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B19C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ckaging-gateway.com/news/eu-ppwr-regulation-schedule/" TargetMode="External"/><Relationship Id="rId13" Type="http://schemas.openxmlformats.org/officeDocument/2006/relationships/hyperlink" Target="https://www.domino-printing.com/en-gb/blog/2026/printing-qr-codes-on-gs1-compliant-labels?utm_medium=non-paid&amp;utm_source=onlinepublication&amp;utm_content=pr-dp-ppwr-check&amp;utm_campaign=2026-int-en-Global-PR-DP-FY26-Q2" TargetMode="External"/><Relationship Id="rId18" Type="http://schemas.openxmlformats.org/officeDocument/2006/relationships/hyperlink" Target="mailto:Jade.Taylor-Salazar@domino-uk.com"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packaginginsights.com/news/coca-cola-mcdonalds-ppwr-delay.html" TargetMode="External"/><Relationship Id="rId12" Type="http://schemas.openxmlformats.org/officeDocument/2006/relationships/hyperlink" Target="https://www.packagingnews.co.uk/news/environment/data-shows-many-packaging-producers-still-struggling-with-recyclability-13-07-2026" TargetMode="External"/><Relationship Id="rId17" Type="http://schemas.openxmlformats.org/officeDocument/2006/relationships/hyperlink" Target="mailto:Kathrin.Farr@domino-uk.com" TargetMode="External"/><Relationship Id="rId2" Type="http://schemas.openxmlformats.org/officeDocument/2006/relationships/settings" Target="settings.xml"/><Relationship Id="rId16" Type="http://schemas.openxmlformats.org/officeDocument/2006/relationships/hyperlink" Target="mailto:David@neopr.co.uk"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environment.ec.europa.eu/topics/waste-and-recycling/packaging-waste/packaging-packaging-waste-regulation_en" TargetMode="External"/><Relationship Id="rId11" Type="http://schemas.openxmlformats.org/officeDocument/2006/relationships/hyperlink" Target="https://thepackhub.com/innovation-news/leclerc-replaces-cardboard-with-compact-plastic-film-in-biscuit-packaging/" TargetMode="External"/><Relationship Id="rId5" Type="http://schemas.openxmlformats.org/officeDocument/2006/relationships/endnotes" Target="endnotes.xml"/><Relationship Id="rId15" Type="http://schemas.openxmlformats.org/officeDocument/2006/relationships/hyperlink" Target="http://www.domino-printing.com" TargetMode="External"/><Relationship Id="rId10" Type="http://schemas.openxmlformats.org/officeDocument/2006/relationships/hyperlink" Target="https://www.groupe-bel.com/en/newsroom/press-releases/bel-announces-global-rollout-of-babybels-paper-packaging/"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mckinsey.com/industries/packaging-and-paper/our-insights/sustainability-in-packaging-2025-inside-the-minds-of-global-consumers" TargetMode="External"/><Relationship Id="rId14" Type="http://schemas.openxmlformats.org/officeDocument/2006/relationships/hyperlink" Target="https://www.domino-printing.com/en-gb/home.aspx?utm_medium=non-paid&amp;utm_source=onlinepublication&amp;utm_content=pr-dp-ppwr-check&amp;utm_campaign=2026-int-en-Global-PR-DP-FY26-Q2"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1871</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5</cp:revision>
  <dcterms:created xsi:type="dcterms:W3CDTF">2026-08-05T12:23:00Z</dcterms:created>
  <dcterms:modified xsi:type="dcterms:W3CDTF">2026-08-06T12:45:00Z</dcterms:modified>
</cp:coreProperties>
</file>