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53C41" w14:textId="0C7BB64F" w:rsidR="00DA1737" w:rsidRDefault="0098032F" w:rsidP="00DA1737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Trwająca</w:t>
      </w:r>
      <w:r w:rsidR="00DA1737" w:rsidRPr="00DA1737">
        <w:rPr>
          <w:b/>
          <w:bCs/>
          <w:sz w:val="20"/>
          <w:szCs w:val="20"/>
        </w:rPr>
        <w:t xml:space="preserve"> luka podażowa i ewolucja w finansowaniu.</w:t>
      </w:r>
    </w:p>
    <w:p w14:paraId="5A7774BD" w14:textId="7732580A" w:rsidR="00DA1737" w:rsidRPr="00DA1737" w:rsidRDefault="00DA1737" w:rsidP="00DA1737">
      <w:pPr>
        <w:jc w:val="center"/>
        <w:rPr>
          <w:i/>
          <w:iCs/>
          <w:sz w:val="20"/>
          <w:szCs w:val="20"/>
        </w:rPr>
      </w:pPr>
      <w:r w:rsidRPr="00DA1737">
        <w:rPr>
          <w:i/>
          <w:iCs/>
          <w:sz w:val="20"/>
          <w:szCs w:val="20"/>
        </w:rPr>
        <w:t>Cushman &amp; Wakefield o rynku biurowym w I poł. 2026 r</w:t>
      </w:r>
      <w:r>
        <w:rPr>
          <w:i/>
          <w:iCs/>
          <w:sz w:val="20"/>
          <w:szCs w:val="20"/>
        </w:rPr>
        <w:t>oku</w:t>
      </w:r>
    </w:p>
    <w:p w14:paraId="4B91309D" w14:textId="1BC62DDD" w:rsidR="00B5414F" w:rsidRPr="00060B75" w:rsidRDefault="00DA1737" w:rsidP="00B5414F">
      <w:pPr>
        <w:jc w:val="both"/>
        <w:rPr>
          <w:b/>
          <w:bCs/>
          <w:sz w:val="20"/>
          <w:szCs w:val="20"/>
        </w:rPr>
      </w:pPr>
      <w:r w:rsidRPr="00DA1737">
        <w:rPr>
          <w:b/>
          <w:bCs/>
          <w:sz w:val="20"/>
          <w:szCs w:val="20"/>
        </w:rPr>
        <w:t xml:space="preserve">Skala nowych budów biurowych w Polsce skurczyła się </w:t>
      </w:r>
      <w:r w:rsidR="00A905B1">
        <w:rPr>
          <w:b/>
          <w:bCs/>
          <w:sz w:val="20"/>
          <w:szCs w:val="20"/>
        </w:rPr>
        <w:t>i utrzymuje się na poziomie</w:t>
      </w:r>
      <w:r w:rsidRPr="00DA1737">
        <w:rPr>
          <w:b/>
          <w:bCs/>
          <w:sz w:val="20"/>
          <w:szCs w:val="20"/>
        </w:rPr>
        <w:t xml:space="preserve"> notowany</w:t>
      </w:r>
      <w:r w:rsidR="00A905B1">
        <w:rPr>
          <w:b/>
          <w:bCs/>
          <w:sz w:val="20"/>
          <w:szCs w:val="20"/>
        </w:rPr>
        <w:t>m</w:t>
      </w:r>
      <w:r w:rsidRPr="00DA1737">
        <w:rPr>
          <w:b/>
          <w:bCs/>
          <w:sz w:val="20"/>
          <w:szCs w:val="20"/>
        </w:rPr>
        <w:t xml:space="preserve"> ostatnio na przełomie wieków. W Warszawie w realizacji znajduje się obecnie zaledwie ok. 130 tys. mkw. powierzchni, a w miastach regionalnych ok. 100 tys. mkw. Według </w:t>
      </w:r>
      <w:r w:rsidR="0006214A">
        <w:rPr>
          <w:b/>
          <w:bCs/>
          <w:sz w:val="20"/>
          <w:szCs w:val="20"/>
        </w:rPr>
        <w:t>wyliczeń</w:t>
      </w:r>
      <w:r w:rsidRPr="00DA1737">
        <w:rPr>
          <w:b/>
          <w:bCs/>
          <w:sz w:val="20"/>
          <w:szCs w:val="20"/>
        </w:rPr>
        <w:t>, w</w:t>
      </w:r>
      <w:r w:rsidR="00060B75">
        <w:rPr>
          <w:b/>
          <w:bCs/>
          <w:sz w:val="20"/>
          <w:szCs w:val="20"/>
        </w:rPr>
        <w:t xml:space="preserve"> latach 2026-</w:t>
      </w:r>
      <w:r w:rsidRPr="00DA1737">
        <w:rPr>
          <w:b/>
          <w:bCs/>
          <w:sz w:val="20"/>
          <w:szCs w:val="20"/>
        </w:rPr>
        <w:t>2027</w:t>
      </w:r>
      <w:r w:rsidR="00060B75">
        <w:rPr>
          <w:b/>
          <w:bCs/>
          <w:sz w:val="20"/>
          <w:szCs w:val="20"/>
        </w:rPr>
        <w:t xml:space="preserve"> </w:t>
      </w:r>
      <w:r w:rsidR="00731617">
        <w:rPr>
          <w:b/>
          <w:bCs/>
          <w:sz w:val="20"/>
          <w:szCs w:val="20"/>
        </w:rPr>
        <w:t>oddana</w:t>
      </w:r>
      <w:r w:rsidR="00060B75">
        <w:rPr>
          <w:b/>
          <w:bCs/>
          <w:sz w:val="20"/>
          <w:szCs w:val="20"/>
        </w:rPr>
        <w:t xml:space="preserve"> now</w:t>
      </w:r>
      <w:r w:rsidR="00731617">
        <w:rPr>
          <w:b/>
          <w:bCs/>
          <w:sz w:val="20"/>
          <w:szCs w:val="20"/>
        </w:rPr>
        <w:t>a</w:t>
      </w:r>
      <w:r w:rsidR="00060B75">
        <w:rPr>
          <w:b/>
          <w:bCs/>
          <w:sz w:val="20"/>
          <w:szCs w:val="20"/>
        </w:rPr>
        <w:t xml:space="preserve"> powierzchni</w:t>
      </w:r>
      <w:r w:rsidR="00731617">
        <w:rPr>
          <w:b/>
          <w:bCs/>
          <w:sz w:val="20"/>
          <w:szCs w:val="20"/>
        </w:rPr>
        <w:t>a będzie</w:t>
      </w:r>
      <w:r w:rsidR="00060B75">
        <w:rPr>
          <w:b/>
          <w:bCs/>
          <w:sz w:val="20"/>
          <w:szCs w:val="20"/>
        </w:rPr>
        <w:t xml:space="preserve"> </w:t>
      </w:r>
      <w:r w:rsidR="00731617">
        <w:rPr>
          <w:b/>
          <w:bCs/>
          <w:sz w:val="20"/>
          <w:szCs w:val="20"/>
        </w:rPr>
        <w:t xml:space="preserve">kształtować się na poziomie </w:t>
      </w:r>
      <w:r w:rsidR="00060B75">
        <w:rPr>
          <w:b/>
          <w:bCs/>
          <w:sz w:val="20"/>
          <w:szCs w:val="20"/>
        </w:rPr>
        <w:t>niecałych 200 tys. rocznie</w:t>
      </w:r>
      <w:r w:rsidR="00731617">
        <w:rPr>
          <w:b/>
          <w:bCs/>
          <w:sz w:val="20"/>
          <w:szCs w:val="20"/>
        </w:rPr>
        <w:t>.</w:t>
      </w:r>
      <w:r w:rsidR="00060B75">
        <w:rPr>
          <w:b/>
          <w:bCs/>
          <w:sz w:val="20"/>
          <w:szCs w:val="20"/>
        </w:rPr>
        <w:t xml:space="preserve"> </w:t>
      </w:r>
      <w:r w:rsidR="00731617">
        <w:rPr>
          <w:b/>
          <w:bCs/>
          <w:sz w:val="20"/>
          <w:szCs w:val="20"/>
        </w:rPr>
        <w:t>D</w:t>
      </w:r>
      <w:r w:rsidR="00060B75">
        <w:rPr>
          <w:b/>
          <w:bCs/>
          <w:sz w:val="20"/>
          <w:szCs w:val="20"/>
        </w:rPr>
        <w:t xml:space="preserve">la porównania w roku 2020 całkowity wolumen oddanej powierzchni wyniósł 700 tys. mkw. </w:t>
      </w:r>
      <w:r w:rsidRPr="00DA1737">
        <w:rPr>
          <w:b/>
          <w:bCs/>
          <w:sz w:val="20"/>
          <w:szCs w:val="20"/>
        </w:rPr>
        <w:t xml:space="preserve">Ze względu na </w:t>
      </w:r>
      <w:r w:rsidR="00731617">
        <w:rPr>
          <w:b/>
          <w:bCs/>
          <w:sz w:val="20"/>
          <w:szCs w:val="20"/>
        </w:rPr>
        <w:t>małą</w:t>
      </w:r>
      <w:r w:rsidRPr="00DA1737">
        <w:rPr>
          <w:b/>
          <w:bCs/>
          <w:sz w:val="20"/>
          <w:szCs w:val="20"/>
        </w:rPr>
        <w:t xml:space="preserve"> liczbę nowych projektów deweloperskich</w:t>
      </w:r>
      <w:r>
        <w:rPr>
          <w:b/>
          <w:bCs/>
          <w:sz w:val="20"/>
          <w:szCs w:val="20"/>
        </w:rPr>
        <w:t xml:space="preserve"> i</w:t>
      </w:r>
      <w:r w:rsidRPr="00DA1737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wysokie koszty budowy </w:t>
      </w:r>
      <w:r w:rsidRPr="00DA1737">
        <w:rPr>
          <w:b/>
          <w:bCs/>
          <w:sz w:val="20"/>
          <w:szCs w:val="20"/>
        </w:rPr>
        <w:t>instytucje finansowe przenoszą swoje zainteresowanie na transakcj</w:t>
      </w:r>
      <w:r>
        <w:rPr>
          <w:b/>
          <w:bCs/>
          <w:sz w:val="20"/>
          <w:szCs w:val="20"/>
        </w:rPr>
        <w:t>e</w:t>
      </w:r>
      <w:r w:rsidRPr="00DA1737">
        <w:rPr>
          <w:b/>
          <w:bCs/>
          <w:sz w:val="20"/>
          <w:szCs w:val="20"/>
        </w:rPr>
        <w:t xml:space="preserve"> nabycia gotowych obiektów</w:t>
      </w:r>
      <w:r w:rsidR="00BE7C3F">
        <w:rPr>
          <w:b/>
          <w:bCs/>
          <w:sz w:val="20"/>
          <w:szCs w:val="20"/>
        </w:rPr>
        <w:t>, przede wszystkim oceniając parametry jakości i lokalizacji</w:t>
      </w:r>
      <w:r w:rsidRPr="00DA1737">
        <w:rPr>
          <w:b/>
          <w:bCs/>
          <w:sz w:val="20"/>
          <w:szCs w:val="20"/>
        </w:rPr>
        <w:t>. Co więcej, banki coraz chętniej otwierają nową furtkę dla starszych nieruchomości, oferując inwestorom specjalne transze kredytowe na dekarbonizację i dostosowanie budynków do standardów ESG.</w:t>
      </w:r>
    </w:p>
    <w:p w14:paraId="17F8AE5A" w14:textId="0B763735" w:rsidR="00DA1737" w:rsidRPr="00DA1737" w:rsidRDefault="00DA1737" w:rsidP="00DA1737">
      <w:pPr>
        <w:jc w:val="both"/>
        <w:rPr>
          <w:sz w:val="20"/>
          <w:szCs w:val="20"/>
        </w:rPr>
      </w:pPr>
      <w:r w:rsidRPr="00DA1737">
        <w:rPr>
          <w:sz w:val="20"/>
          <w:szCs w:val="20"/>
        </w:rPr>
        <w:t xml:space="preserve">Z najnowszego raportu </w:t>
      </w:r>
      <w:r w:rsidRPr="00DA1737">
        <w:rPr>
          <w:i/>
          <w:iCs/>
          <w:sz w:val="20"/>
          <w:szCs w:val="20"/>
        </w:rPr>
        <w:t xml:space="preserve">MarketBeat Polska, </w:t>
      </w:r>
      <w:r w:rsidRPr="00DA1737">
        <w:rPr>
          <w:sz w:val="20"/>
          <w:szCs w:val="20"/>
        </w:rPr>
        <w:t xml:space="preserve">przygotowanego przez międzynarodową firmę doradczą Cushman &amp; Wakefield wynika, że rynek biurowy w Polsce przechodzi </w:t>
      </w:r>
      <w:r w:rsidR="00BE7C3F">
        <w:rPr>
          <w:sz w:val="20"/>
          <w:szCs w:val="20"/>
        </w:rPr>
        <w:t>dalszą fundamentalną</w:t>
      </w:r>
      <w:r w:rsidRPr="00DA1737">
        <w:rPr>
          <w:sz w:val="20"/>
          <w:szCs w:val="20"/>
        </w:rPr>
        <w:t xml:space="preserve"> transformację. Ograniczenie nowej podaży, będące wynikiem </w:t>
      </w:r>
      <w:r w:rsidR="00E26A2B">
        <w:rPr>
          <w:sz w:val="20"/>
          <w:szCs w:val="20"/>
        </w:rPr>
        <w:t>wyższego</w:t>
      </w:r>
      <w:r w:rsidRPr="00DA1737">
        <w:rPr>
          <w:sz w:val="20"/>
          <w:szCs w:val="20"/>
        </w:rPr>
        <w:t xml:space="preserve"> nasycenia rynku oraz relacji kosztów do oczekiwanych stóp zwrotu, wymusiło przedefiniowanie polityki </w:t>
      </w:r>
      <w:r w:rsidR="00976BDF">
        <w:rPr>
          <w:sz w:val="20"/>
          <w:szCs w:val="20"/>
        </w:rPr>
        <w:t>inwestycyjnej</w:t>
      </w:r>
      <w:r w:rsidRPr="00DA1737">
        <w:rPr>
          <w:sz w:val="20"/>
          <w:szCs w:val="20"/>
        </w:rPr>
        <w:t>.</w:t>
      </w:r>
    </w:p>
    <w:p w14:paraId="3A457502" w14:textId="632418F6" w:rsidR="00DA1737" w:rsidRPr="00DA1737" w:rsidRDefault="00DA1737" w:rsidP="00DA1737">
      <w:pPr>
        <w:jc w:val="both"/>
        <w:rPr>
          <w:sz w:val="20"/>
          <w:szCs w:val="20"/>
        </w:rPr>
      </w:pPr>
      <w:r w:rsidRPr="00DA1737">
        <w:rPr>
          <w:i/>
          <w:iCs/>
          <w:sz w:val="20"/>
          <w:szCs w:val="20"/>
        </w:rPr>
        <w:t xml:space="preserve">– Dzisiejszy rynek wymaga od inwestorów i instytucji finansujących nieszablonowego myślenia. Banki doskonale widzą, że środek ciężkości </w:t>
      </w:r>
      <w:r w:rsidR="00BE7C3F">
        <w:rPr>
          <w:i/>
          <w:iCs/>
          <w:sz w:val="20"/>
          <w:szCs w:val="20"/>
        </w:rPr>
        <w:t>przesuwa</w:t>
      </w:r>
      <w:r w:rsidRPr="00DA1737">
        <w:rPr>
          <w:i/>
          <w:iCs/>
          <w:sz w:val="20"/>
          <w:szCs w:val="20"/>
        </w:rPr>
        <w:t xml:space="preserve"> się z nowych inwestycji deweloperskich na rynek </w:t>
      </w:r>
      <w:r w:rsidR="00BE7C3F">
        <w:rPr>
          <w:i/>
          <w:iCs/>
          <w:sz w:val="20"/>
          <w:szCs w:val="20"/>
        </w:rPr>
        <w:t>istniejących nieruchomości</w:t>
      </w:r>
      <w:r w:rsidRPr="00DA1737">
        <w:rPr>
          <w:i/>
          <w:iCs/>
          <w:sz w:val="20"/>
          <w:szCs w:val="20"/>
        </w:rPr>
        <w:t>.</w:t>
      </w:r>
      <w:r w:rsidR="00BE7C3F">
        <w:rPr>
          <w:i/>
          <w:iCs/>
          <w:sz w:val="20"/>
          <w:szCs w:val="20"/>
        </w:rPr>
        <w:t xml:space="preserve"> </w:t>
      </w:r>
      <w:r w:rsidRPr="00DA1737">
        <w:rPr>
          <w:i/>
          <w:iCs/>
          <w:sz w:val="20"/>
          <w:szCs w:val="20"/>
        </w:rPr>
        <w:t xml:space="preserve">Dostrzegamy </w:t>
      </w:r>
      <w:r w:rsidR="00BE7C3F">
        <w:rPr>
          <w:i/>
          <w:iCs/>
          <w:sz w:val="20"/>
          <w:szCs w:val="20"/>
        </w:rPr>
        <w:t>zmieniające się</w:t>
      </w:r>
      <w:r w:rsidRPr="00DA1737">
        <w:rPr>
          <w:i/>
          <w:iCs/>
          <w:sz w:val="20"/>
          <w:szCs w:val="20"/>
        </w:rPr>
        <w:t xml:space="preserve">, ale </w:t>
      </w:r>
      <w:r w:rsidR="00BE7C3F">
        <w:rPr>
          <w:i/>
          <w:iCs/>
          <w:sz w:val="20"/>
          <w:szCs w:val="20"/>
        </w:rPr>
        <w:t>też</w:t>
      </w:r>
      <w:r w:rsidRPr="00DA1737">
        <w:rPr>
          <w:i/>
          <w:iCs/>
          <w:sz w:val="20"/>
          <w:szCs w:val="20"/>
        </w:rPr>
        <w:t xml:space="preserve"> pragmatyczne podejście sektora finansowego. Z jednej strony kapitał płynie szerokim strumieniem do bezpiecznych budynków prime z długim okresem najmu (WAULT), a z drugiej – </w:t>
      </w:r>
      <w:r w:rsidR="00BE7C3F">
        <w:rPr>
          <w:i/>
          <w:iCs/>
          <w:sz w:val="20"/>
          <w:szCs w:val="20"/>
        </w:rPr>
        <w:t xml:space="preserve">instytucje finansowe </w:t>
      </w:r>
      <w:r w:rsidRPr="00DA1737">
        <w:rPr>
          <w:i/>
          <w:iCs/>
          <w:sz w:val="20"/>
          <w:szCs w:val="20"/>
        </w:rPr>
        <w:t xml:space="preserve">zaczęły aktywnie </w:t>
      </w:r>
      <w:r w:rsidR="00BE7C3F">
        <w:rPr>
          <w:i/>
          <w:iCs/>
          <w:sz w:val="20"/>
          <w:szCs w:val="20"/>
        </w:rPr>
        <w:t xml:space="preserve">przyglądać się też starszym nieruchomościom, m. in. </w:t>
      </w:r>
      <w:r w:rsidRPr="00DA1737">
        <w:rPr>
          <w:i/>
          <w:iCs/>
          <w:sz w:val="20"/>
          <w:szCs w:val="20"/>
        </w:rPr>
        <w:t xml:space="preserve">wspierać modernizację starszych obiektów. </w:t>
      </w:r>
      <w:r w:rsidR="005B7092">
        <w:rPr>
          <w:i/>
          <w:iCs/>
          <w:sz w:val="20"/>
          <w:szCs w:val="20"/>
        </w:rPr>
        <w:t>Coraz częściej są proponowane s</w:t>
      </w:r>
      <w:r w:rsidRPr="00DA1737">
        <w:rPr>
          <w:i/>
          <w:iCs/>
          <w:sz w:val="20"/>
          <w:szCs w:val="20"/>
        </w:rPr>
        <w:t>pecjalne pakiety finansowania na działania dekarbonizacyjne, które pozwala</w:t>
      </w:r>
      <w:r w:rsidR="005B7092">
        <w:rPr>
          <w:i/>
          <w:iCs/>
          <w:sz w:val="20"/>
          <w:szCs w:val="20"/>
        </w:rPr>
        <w:t>ją</w:t>
      </w:r>
      <w:r w:rsidRPr="00DA1737">
        <w:rPr>
          <w:i/>
          <w:iCs/>
          <w:sz w:val="20"/>
          <w:szCs w:val="20"/>
        </w:rPr>
        <w:t xml:space="preserve"> dostosować istniejące biurowce do wymogów ESG, podnosząc ich konkurencyjność i wartość rynkową</w:t>
      </w:r>
      <w:r>
        <w:rPr>
          <w:i/>
          <w:iCs/>
          <w:sz w:val="20"/>
          <w:szCs w:val="20"/>
        </w:rPr>
        <w:t xml:space="preserve"> </w:t>
      </w:r>
      <w:r w:rsidRPr="00DA1737">
        <w:rPr>
          <w:sz w:val="20"/>
          <w:szCs w:val="20"/>
        </w:rPr>
        <w:t xml:space="preserve">– komentuje </w:t>
      </w:r>
      <w:r w:rsidR="008B45EB">
        <w:rPr>
          <w:b/>
          <w:bCs/>
          <w:sz w:val="20"/>
          <w:szCs w:val="20"/>
        </w:rPr>
        <w:t>Mira Kantor-Pikus</w:t>
      </w:r>
      <w:r w:rsidRPr="00DA1737">
        <w:rPr>
          <w:sz w:val="20"/>
          <w:szCs w:val="20"/>
        </w:rPr>
        <w:t xml:space="preserve">, </w:t>
      </w:r>
      <w:r w:rsidR="00A303EB" w:rsidRPr="00A303EB">
        <w:rPr>
          <w:b/>
          <w:bCs/>
          <w:sz w:val="20"/>
          <w:szCs w:val="20"/>
        </w:rPr>
        <w:t>Partner, Equity, Debt &amp; Alternative Investments, Capital Markets, Cushman &amp; Wakefield</w:t>
      </w:r>
      <w:r w:rsidRPr="00DA1737">
        <w:rPr>
          <w:sz w:val="20"/>
          <w:szCs w:val="20"/>
        </w:rPr>
        <w:t>.</w:t>
      </w:r>
    </w:p>
    <w:p w14:paraId="15A69E0D" w14:textId="77777777" w:rsidR="00DA1737" w:rsidRPr="00DA1737" w:rsidRDefault="00DA1737" w:rsidP="00DA1737">
      <w:pPr>
        <w:jc w:val="both"/>
        <w:rPr>
          <w:sz w:val="20"/>
          <w:szCs w:val="20"/>
        </w:rPr>
      </w:pPr>
      <w:r w:rsidRPr="00DA1737">
        <w:rPr>
          <w:b/>
          <w:bCs/>
          <w:sz w:val="20"/>
          <w:szCs w:val="20"/>
        </w:rPr>
        <w:t>Ożywienie transakcyjne i historyczny krok polskiego kapitału</w:t>
      </w:r>
    </w:p>
    <w:p w14:paraId="340A27C6" w14:textId="70161261" w:rsidR="00DA1737" w:rsidRPr="00DA1737" w:rsidRDefault="00DA1737" w:rsidP="00DA1737">
      <w:pPr>
        <w:jc w:val="both"/>
        <w:rPr>
          <w:sz w:val="20"/>
          <w:szCs w:val="20"/>
        </w:rPr>
      </w:pPr>
      <w:r w:rsidRPr="00DA1737">
        <w:rPr>
          <w:sz w:val="20"/>
          <w:szCs w:val="20"/>
        </w:rPr>
        <w:t xml:space="preserve">Choć nowa aktywność deweloperska znajduje się na historycznych minimach, sam rynek nieruchomości komercyjnych daleki jest od stagnacji. Wręcz przeciwnie – pierwsza połowa 2026 roku przyniosła wyraźne odbicie w wolumenach inwestycyjnych. W sektorze biurowym wyniósł on 594 mln EUR. Oznacza to wzrost o 35% rok do roku, a także wynik o 23% wyższy od średniej z ostatnich trzech lat. </w:t>
      </w:r>
    </w:p>
    <w:p w14:paraId="04A4A29C" w14:textId="77777777" w:rsidR="00DA1737" w:rsidRPr="00DA1737" w:rsidRDefault="00DA1737" w:rsidP="00DA1737">
      <w:pPr>
        <w:jc w:val="both"/>
        <w:rPr>
          <w:sz w:val="20"/>
          <w:szCs w:val="20"/>
        </w:rPr>
      </w:pPr>
      <w:r w:rsidRPr="00DA1737">
        <w:rPr>
          <w:sz w:val="20"/>
          <w:szCs w:val="20"/>
        </w:rPr>
        <w:t xml:space="preserve">Wysoka dynamika to w dużej mierze zasługa strukturalnej zmiany wśród kupujących. Obok tradycyjnie aktywnego kapitału z Europy, rynek napędza rosnący optymizm i siła nabywcza polskich inwestorów. </w:t>
      </w:r>
    </w:p>
    <w:p w14:paraId="3AFEFFAE" w14:textId="538920E9" w:rsidR="00DA1737" w:rsidRPr="00DA1737" w:rsidRDefault="00DA1737" w:rsidP="00DA1737">
      <w:pPr>
        <w:jc w:val="both"/>
        <w:rPr>
          <w:i/>
          <w:iCs/>
          <w:sz w:val="20"/>
          <w:szCs w:val="20"/>
        </w:rPr>
      </w:pPr>
      <w:r w:rsidRPr="00DA1737">
        <w:rPr>
          <w:sz w:val="20"/>
          <w:szCs w:val="20"/>
        </w:rPr>
        <w:lastRenderedPageBreak/>
        <w:t xml:space="preserve">Symbolem tej rosnącej, rodzimej profesjonalizacji i dojrzałości jest transakcja </w:t>
      </w:r>
      <w:r w:rsidR="007D3339">
        <w:rPr>
          <w:sz w:val="20"/>
          <w:szCs w:val="20"/>
        </w:rPr>
        <w:t>sprzedaży</w:t>
      </w:r>
      <w:r w:rsidRPr="00DA1737">
        <w:rPr>
          <w:sz w:val="20"/>
          <w:szCs w:val="20"/>
        </w:rPr>
        <w:t xml:space="preserve"> prestiżowego biurowca Central Point w Warszawie. Nabycie tego obiektu od dewelopera Immobel przez polską Grupę Lewandpol opiewało na kwotę ponad 100 mln EUR. Eksperci Cushman &amp; Wakefield w swoim raporcie wprost określają to wydarzenie jako jedną z największych transakcji biurowych zrealizowanych przez krajowego inwestora w historii polskiego rynku nieruchomości komercyjnych</w:t>
      </w:r>
      <w:r w:rsidRPr="00DA1737">
        <w:rPr>
          <w:i/>
          <w:iCs/>
          <w:sz w:val="20"/>
          <w:szCs w:val="20"/>
        </w:rPr>
        <w:t xml:space="preserve">. </w:t>
      </w:r>
    </w:p>
    <w:p w14:paraId="63A39B36" w14:textId="2F7E073D" w:rsidR="00DA1737" w:rsidRDefault="00DA1737" w:rsidP="00DA1737">
      <w:pPr>
        <w:jc w:val="both"/>
        <w:rPr>
          <w:sz w:val="20"/>
          <w:szCs w:val="20"/>
        </w:rPr>
      </w:pPr>
      <w:r w:rsidRPr="00DA1737">
        <w:rPr>
          <w:i/>
          <w:iCs/>
          <w:sz w:val="20"/>
          <w:szCs w:val="20"/>
        </w:rPr>
        <w:t xml:space="preserve">– Polski kapitał skutecznie przejmuje pałeczkę od zagranicznych funduszy, wykorzystując moment cyklu koniunkturalnego. Inwestorzy dysponują dziś nie tylko odpowiednimi zasobami finansowymi, ale i doskonałym wyczuciem rynku. Koncentrują się na zabezpieczaniu najlepszych aktywów, które w obliczu </w:t>
      </w:r>
      <w:r w:rsidR="007D3339">
        <w:rPr>
          <w:i/>
          <w:iCs/>
          <w:sz w:val="20"/>
          <w:szCs w:val="20"/>
        </w:rPr>
        <w:t>trwającej</w:t>
      </w:r>
      <w:r w:rsidRPr="00DA1737">
        <w:rPr>
          <w:i/>
          <w:iCs/>
          <w:sz w:val="20"/>
          <w:szCs w:val="20"/>
        </w:rPr>
        <w:t xml:space="preserve"> luki podażowej staną się produktem wysoce </w:t>
      </w:r>
      <w:r w:rsidR="007D3339">
        <w:rPr>
          <w:i/>
          <w:iCs/>
          <w:sz w:val="20"/>
          <w:szCs w:val="20"/>
        </w:rPr>
        <w:t>pożądany</w:t>
      </w:r>
      <w:r w:rsidR="007C5268">
        <w:rPr>
          <w:i/>
          <w:iCs/>
          <w:sz w:val="20"/>
          <w:szCs w:val="20"/>
        </w:rPr>
        <w:t>m</w:t>
      </w:r>
      <w:r w:rsidRPr="00DA1737">
        <w:rPr>
          <w:i/>
          <w:iCs/>
          <w:sz w:val="20"/>
          <w:szCs w:val="20"/>
        </w:rPr>
        <w:t xml:space="preserve">, gwarantującym stabilność i bezpieczeństwo w długim horyzoncie czasowym – </w:t>
      </w:r>
      <w:r w:rsidRPr="00DA1737">
        <w:rPr>
          <w:sz w:val="20"/>
          <w:szCs w:val="20"/>
        </w:rPr>
        <w:t xml:space="preserve">dodaje </w:t>
      </w:r>
      <w:r w:rsidR="00EA74B3" w:rsidRPr="00EA74B3">
        <w:rPr>
          <w:b/>
          <w:bCs/>
          <w:sz w:val="20"/>
          <w:szCs w:val="20"/>
        </w:rPr>
        <w:t>Marcin Kocerba, Partner, Capital Markets, Cushman &amp; Wakefield</w:t>
      </w:r>
      <w:r w:rsidRPr="00DA1737">
        <w:rPr>
          <w:sz w:val="20"/>
          <w:szCs w:val="20"/>
        </w:rPr>
        <w:t>.</w:t>
      </w:r>
    </w:p>
    <w:p w14:paraId="78ABFD65" w14:textId="77777777" w:rsidR="008B45EB" w:rsidRPr="008B45EB" w:rsidRDefault="008B45EB" w:rsidP="008B45EB">
      <w:pPr>
        <w:jc w:val="both"/>
        <w:rPr>
          <w:sz w:val="20"/>
          <w:szCs w:val="20"/>
        </w:rPr>
      </w:pPr>
      <w:r w:rsidRPr="008B45EB">
        <w:rPr>
          <w:b/>
          <w:bCs/>
          <w:sz w:val="20"/>
          <w:szCs w:val="20"/>
        </w:rPr>
        <w:t>Aktywność najemców i kurcząca się dostępność biur</w:t>
      </w:r>
    </w:p>
    <w:p w14:paraId="7924F4E3" w14:textId="7931464D" w:rsidR="008B45EB" w:rsidRPr="008B45EB" w:rsidRDefault="008B45EB" w:rsidP="008B45EB">
      <w:pPr>
        <w:jc w:val="both"/>
        <w:rPr>
          <w:sz w:val="20"/>
          <w:szCs w:val="20"/>
        </w:rPr>
      </w:pPr>
      <w:r w:rsidRPr="008B45EB">
        <w:rPr>
          <w:sz w:val="20"/>
          <w:szCs w:val="20"/>
        </w:rPr>
        <w:t xml:space="preserve">W pierwszej połowie 2026 roku aktywność najemców na polskim rynku biurowym utrzymała silną dynamikę. Całkowity popyt netto w kraju wzrósł o 20% rok do roku, a absorpcja wolnej powierzchni osiągnęła imponujący wzrost o 125% r/r. Głównym motorem napędowym pozostawała Warszawa, gdzie wolumen transakcji najmu osiągnął 416,6 tys. mkw. (wzrost o 38% r/r). W stolicy renegocjacje umów (48%) utrzymały minimalną przewagę nad nowymi kontraktami (46%). Na rynkach regionalnych całkowity popyt był co prawda o 21% niższy niż przed rokiem, ale tam z kolei dominowały nowe umowy (47% popytu). Tak wysokie tempo wchłaniania wolnej przestrzeni przełożyło się na spadek średniego wskaźnika pustostanów w Polsce do poziomu 13,1% (o 1,1 p.p. r/r). Najbardziej spektakularny spadek dostępności odnotowano w Warszawie, gdzie wskaźnik pustostanów stopniał do 8,5%, a także w Poznaniu (do 11,5%) i Trójmieście (do 10,4%). Wyższa dostępność biur utrzymała się </w:t>
      </w:r>
      <w:r w:rsidR="00407BFF">
        <w:rPr>
          <w:sz w:val="20"/>
          <w:szCs w:val="20"/>
        </w:rPr>
        <w:t>z kolei</w:t>
      </w:r>
      <w:r w:rsidRPr="008B45EB">
        <w:rPr>
          <w:sz w:val="20"/>
          <w:szCs w:val="20"/>
        </w:rPr>
        <w:t xml:space="preserve"> w Katowicach (22,2%) oraz Wrocławiu (21,8%).</w:t>
      </w:r>
    </w:p>
    <w:p w14:paraId="19D3A992" w14:textId="7262F1BA" w:rsidR="008B45EB" w:rsidRPr="008B45EB" w:rsidRDefault="008B45EB" w:rsidP="008B45EB">
      <w:pPr>
        <w:jc w:val="both"/>
        <w:rPr>
          <w:sz w:val="20"/>
          <w:szCs w:val="20"/>
        </w:rPr>
      </w:pPr>
      <w:r w:rsidRPr="008B45EB">
        <w:rPr>
          <w:i/>
          <w:iCs/>
          <w:sz w:val="20"/>
          <w:szCs w:val="20"/>
        </w:rPr>
        <w:t>– Obserwujemy wyraźną polaryzację polskiego rynku biurowego. Podczas gdy stolica, z wskaźnikiem pustostanów na poziomie 8,5%, zaczyna już realnie odczuwać brak dostępnej od zaraz</w:t>
      </w:r>
      <w:r w:rsidR="00731617">
        <w:rPr>
          <w:i/>
          <w:iCs/>
          <w:sz w:val="20"/>
          <w:szCs w:val="20"/>
        </w:rPr>
        <w:t>,</w:t>
      </w:r>
      <w:r w:rsidRPr="008B45EB">
        <w:rPr>
          <w:i/>
          <w:iCs/>
          <w:sz w:val="20"/>
          <w:szCs w:val="20"/>
        </w:rPr>
        <w:t xml:space="preserve"> nowoczesnej powierzchni typu prime, regiony wciąż oferują najemcom szerszy wachlarz możliwości, choć w miastach takich jak Poznań czy Trójmiasto wolne biura również szybko znikają. Co istotne, dominacja renegocjacji w Warszawie – szczególnie widoczna przy dużych transakcjach przekraczających 3000 mkw. – jasno pokazuje, że w obliczu nadchodzącej suszy deweloperskiej firmy wolą strategicznie zabezpieczać dotychczasowe lokalizacje </w:t>
      </w:r>
      <w:r w:rsidR="00200368">
        <w:rPr>
          <w:i/>
          <w:iCs/>
          <w:sz w:val="20"/>
          <w:szCs w:val="20"/>
        </w:rPr>
        <w:t>albo z wyprzedzeniem</w:t>
      </w:r>
      <w:r w:rsidRPr="008B45EB">
        <w:rPr>
          <w:i/>
          <w:iCs/>
          <w:sz w:val="20"/>
          <w:szCs w:val="20"/>
        </w:rPr>
        <w:t xml:space="preserve"> decydować się na </w:t>
      </w:r>
      <w:r w:rsidR="00200368">
        <w:rPr>
          <w:i/>
          <w:iCs/>
          <w:sz w:val="20"/>
          <w:szCs w:val="20"/>
        </w:rPr>
        <w:t xml:space="preserve">przyszłe </w:t>
      </w:r>
      <w:r w:rsidRPr="008B45EB">
        <w:rPr>
          <w:i/>
          <w:iCs/>
          <w:sz w:val="20"/>
          <w:szCs w:val="20"/>
        </w:rPr>
        <w:t>przeprowadzki</w:t>
      </w:r>
      <w:r w:rsidRPr="008B45EB">
        <w:rPr>
          <w:sz w:val="20"/>
          <w:szCs w:val="20"/>
        </w:rPr>
        <w:t xml:space="preserve"> – komentuje </w:t>
      </w:r>
      <w:r w:rsidRPr="008B45EB">
        <w:rPr>
          <w:b/>
          <w:bCs/>
          <w:sz w:val="20"/>
          <w:szCs w:val="20"/>
        </w:rPr>
        <w:t>Vitalii Arkhypenko, Research Analyst, Cushman &amp; Wakefield</w:t>
      </w:r>
      <w:r w:rsidRPr="008B45EB">
        <w:rPr>
          <w:sz w:val="20"/>
          <w:szCs w:val="20"/>
        </w:rPr>
        <w:t>.</w:t>
      </w:r>
    </w:p>
    <w:p w14:paraId="00567897" w14:textId="54761EF9" w:rsidR="00747E51" w:rsidRPr="003D1556" w:rsidRDefault="00AD6B25" w:rsidP="000C1FC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Raport do pobrania: </w:t>
      </w:r>
      <w:hyperlink r:id="rId11" w:history="1">
        <w:r w:rsidR="00507E57" w:rsidRPr="00E35D5A">
          <w:rPr>
            <w:rStyle w:val="Hyperlink"/>
            <w:sz w:val="20"/>
            <w:szCs w:val="20"/>
          </w:rPr>
          <w:t>https://cushwk.co/3YHYzu6</w:t>
        </w:r>
      </w:hyperlink>
      <w:r w:rsidR="00507E57">
        <w:rPr>
          <w:sz w:val="20"/>
          <w:szCs w:val="20"/>
        </w:rPr>
        <w:t xml:space="preserve"> </w:t>
      </w:r>
    </w:p>
    <w:p w14:paraId="6C7874CE" w14:textId="56E09239" w:rsidR="00AC62A5" w:rsidRPr="00AF11EE" w:rsidRDefault="00AC62A5" w:rsidP="00AC62A5">
      <w:pPr>
        <w:jc w:val="center"/>
        <w:rPr>
          <w:sz w:val="16"/>
          <w:szCs w:val="16"/>
        </w:rPr>
      </w:pPr>
      <w:r>
        <w:rPr>
          <w:rFonts w:eastAsia="Times New Roman"/>
          <w:sz w:val="16"/>
          <w:szCs w:val="16"/>
          <w:lang w:eastAsia="en-US"/>
        </w:rPr>
        <w:t xml:space="preserve">- </w:t>
      </w:r>
      <w:r w:rsidRPr="004E5A7E">
        <w:rPr>
          <w:rFonts w:eastAsia="Times New Roman"/>
          <w:b/>
          <w:bCs/>
          <w:sz w:val="16"/>
          <w:szCs w:val="16"/>
          <w:lang w:eastAsia="en-US"/>
        </w:rPr>
        <w:t xml:space="preserve">KONIEC </w:t>
      </w:r>
      <w:r>
        <w:rPr>
          <w:rFonts w:eastAsia="Times New Roman"/>
          <w:b/>
          <w:bCs/>
          <w:sz w:val="16"/>
          <w:szCs w:val="16"/>
          <w:lang w:eastAsia="en-US"/>
        </w:rPr>
        <w:t>-</w:t>
      </w:r>
    </w:p>
    <w:p w14:paraId="330F4936" w14:textId="77777777" w:rsidR="00AC62A5" w:rsidRPr="00CE1EF8" w:rsidRDefault="00AC62A5" w:rsidP="008C6651">
      <w:pPr>
        <w:spacing w:line="240" w:lineRule="auto"/>
        <w:jc w:val="both"/>
        <w:rPr>
          <w:rFonts w:eastAsia="Times New Roman"/>
          <w:b/>
          <w:bCs/>
          <w:sz w:val="20"/>
          <w:szCs w:val="20"/>
          <w:lang w:eastAsia="en-US"/>
        </w:rPr>
      </w:pPr>
    </w:p>
    <w:p w14:paraId="482909FA" w14:textId="239325B7" w:rsidR="004B3D1A" w:rsidRPr="00AC62A5" w:rsidRDefault="004B3D1A" w:rsidP="00AC62A5">
      <w:pPr>
        <w:spacing w:line="240" w:lineRule="auto"/>
        <w:jc w:val="both"/>
        <w:rPr>
          <w:rFonts w:eastAsia="Times New Roman"/>
          <w:b/>
          <w:bCs/>
          <w:sz w:val="20"/>
          <w:szCs w:val="20"/>
          <w:lang w:eastAsia="en-US"/>
        </w:rPr>
      </w:pPr>
      <w:r w:rsidRPr="007E6CDD">
        <w:rPr>
          <w:b/>
          <w:sz w:val="16"/>
          <w:szCs w:val="16"/>
        </w:rPr>
        <w:t>O Cushman &amp; Wakefiel</w:t>
      </w:r>
      <w:r w:rsidR="00AC6DF8" w:rsidRPr="007E6CDD">
        <w:rPr>
          <w:b/>
          <w:sz w:val="16"/>
          <w:szCs w:val="16"/>
        </w:rPr>
        <w:t>d</w:t>
      </w:r>
    </w:p>
    <w:p w14:paraId="09B0680F" w14:textId="77777777" w:rsidR="00A00486" w:rsidRDefault="00A00486" w:rsidP="00A0048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en-GB"/>
        </w:rPr>
      </w:pPr>
      <w:r w:rsidRPr="00367FE7">
        <w:rPr>
          <w:rFonts w:ascii="Arial" w:hAnsi="Arial" w:cs="Arial"/>
          <w:sz w:val="18"/>
          <w:szCs w:val="18"/>
          <w:lang w:val="pl-PL"/>
        </w:rPr>
        <w:lastRenderedPageBreak/>
        <w:t>Cushman &amp; Wakefield (NYSE: CWK) jest wiodącą na świecie firmą świadczącą usługi na rynku nieruchomości komercyjnych na rzecz najemców i inwestorów. Zatrudnia ok. 53 tys. pracowników w ponad 350 biurach i niemal 60 krajach na całym świecie. W 2025 roku jej przychody wyniosły 10,3 mld USD. Do najważniejszych usług świadczonych przez firmę należą m.in. zarządzanie nieruchomościami, obiektami i projektami, pośrednictwo w wynajmie powierzchni, obsługa transakcji na rynkach kapitałowych oraz wyceny. Za nieustanne dążenie do doskonałości zgodnie z zasadą</w:t>
      </w:r>
      <w:r w:rsidRPr="00367FE7">
        <w:rPr>
          <w:rFonts w:ascii="Arial" w:hAnsi="Arial" w:cs="Arial"/>
          <w:i/>
          <w:iCs/>
          <w:sz w:val="18"/>
          <w:szCs w:val="18"/>
          <w:lang w:val="pl-PL"/>
        </w:rPr>
        <w:t> Better never settles</w:t>
      </w:r>
      <w:r w:rsidRPr="00367FE7">
        <w:rPr>
          <w:rFonts w:ascii="Arial" w:hAnsi="Arial" w:cs="Arial"/>
          <w:sz w:val="18"/>
          <w:szCs w:val="18"/>
          <w:lang w:val="pl-PL"/>
        </w:rPr>
        <w:t xml:space="preserve"> Cushman &amp; Wakefield otrzymuje wiele wyróżnień oraz nagród w konkursach branżowych i biznesowych. </w:t>
      </w:r>
      <w:r w:rsidRPr="00367FE7">
        <w:rPr>
          <w:rFonts w:ascii="Arial" w:hAnsi="Arial" w:cs="Arial"/>
          <w:sz w:val="18"/>
          <w:szCs w:val="18"/>
          <w:lang w:val="en-GB"/>
        </w:rPr>
        <w:t>Dodatkowe informacje na stronie </w:t>
      </w:r>
      <w:hyperlink r:id="rId12" w:tgtFrame="_blank" w:history="1">
        <w:r w:rsidRPr="00367FE7">
          <w:rPr>
            <w:rStyle w:val="Hyperlink"/>
            <w:rFonts w:eastAsia="Arial"/>
            <w:sz w:val="18"/>
            <w:szCs w:val="18"/>
            <w:lang w:val="en-GB"/>
          </w:rPr>
          <w:t>www.cushmanwakefield.com</w:t>
        </w:r>
      </w:hyperlink>
      <w:r w:rsidRPr="00367FE7">
        <w:rPr>
          <w:rFonts w:ascii="Arial" w:hAnsi="Arial" w:cs="Arial"/>
          <w:sz w:val="18"/>
          <w:szCs w:val="18"/>
          <w:lang w:val="en-GB"/>
        </w:rPr>
        <w:t>.</w:t>
      </w:r>
    </w:p>
    <w:p w14:paraId="64A83442" w14:textId="5CD6CB13" w:rsidR="00BC2537" w:rsidRPr="00AF11EE" w:rsidRDefault="00BC2537" w:rsidP="0017521E">
      <w:pPr>
        <w:jc w:val="center"/>
        <w:rPr>
          <w:sz w:val="16"/>
          <w:szCs w:val="16"/>
        </w:rPr>
      </w:pPr>
    </w:p>
    <w:sectPr w:rsidR="00BC2537" w:rsidRPr="00AF11EE">
      <w:headerReference w:type="default" r:id="rId13"/>
      <w:footerReference w:type="default" r:id="rId14"/>
      <w:headerReference w:type="first" r:id="rId15"/>
      <w:footerReference w:type="first" r:id="rId16"/>
      <w:pgSz w:w="11907" w:h="16839"/>
      <w:pgMar w:top="3600" w:right="1008" w:bottom="2880" w:left="1224" w:header="1800" w:footer="43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37FE6F" w14:textId="77777777" w:rsidR="00DD242D" w:rsidRDefault="00DD242D">
      <w:pPr>
        <w:spacing w:after="0" w:line="240" w:lineRule="auto"/>
      </w:pPr>
      <w:r>
        <w:separator/>
      </w:r>
    </w:p>
  </w:endnote>
  <w:endnote w:type="continuationSeparator" w:id="0">
    <w:p w14:paraId="7537E7BD" w14:textId="77777777" w:rsidR="00DD242D" w:rsidRDefault="00DD242D">
      <w:pPr>
        <w:spacing w:after="0" w:line="240" w:lineRule="auto"/>
      </w:pPr>
      <w:r>
        <w:continuationSeparator/>
      </w:r>
    </w:p>
  </w:endnote>
  <w:endnote w:type="continuationNotice" w:id="1">
    <w:p w14:paraId="42871C23" w14:textId="77777777" w:rsidR="00DD242D" w:rsidRDefault="00DD24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0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00"/>
    </w:tblGrid>
    <w:tr w:rsidR="00C8277A" w:rsidRPr="005B2397" w14:paraId="2AD926AD" w14:textId="77777777" w:rsidTr="00B924E3">
      <w:trPr>
        <w:trHeight w:val="630"/>
      </w:trPr>
      <w:tc>
        <w:tcPr>
          <w:tcW w:w="8931" w:type="dxa"/>
          <w:vAlign w:val="bottom"/>
        </w:tcPr>
        <w:p w14:paraId="46F11C58" w14:textId="77777777" w:rsidR="00025C81" w:rsidRPr="00C8277A" w:rsidRDefault="001A4929" w:rsidP="00B924E3">
          <w:pPr>
            <w:pStyle w:val="Heading2"/>
            <w:rPr>
              <w:rFonts w:ascii="Arial" w:hAnsi="Arial" w:cs="Arial"/>
              <w:color w:val="000000" w:themeColor="text1"/>
            </w:rPr>
          </w:pPr>
          <w:r w:rsidRPr="00C8277A">
            <w:rPr>
              <w:rFonts w:ascii="Arial" w:hAnsi="Arial" w:cs="Arial"/>
              <w:color w:val="000000" w:themeColor="text1"/>
            </w:rPr>
            <w:t>Dodatkowe informacje:</w:t>
          </w:r>
        </w:p>
      </w:tc>
    </w:tr>
    <w:tr w:rsidR="00C8277A" w:rsidRPr="00731617" w14:paraId="2F690183" w14:textId="77777777" w:rsidTr="00B924E3">
      <w:trPr>
        <w:trHeight w:val="1260"/>
      </w:trPr>
      <w:tc>
        <w:tcPr>
          <w:tcW w:w="8931" w:type="dxa"/>
        </w:tcPr>
        <w:tbl>
          <w:tblPr>
            <w:tblStyle w:val="PlainTable41"/>
            <w:tblW w:w="10095" w:type="dxa"/>
            <w:tblLayout w:type="fixed"/>
            <w:tblLook w:val="04A0" w:firstRow="1" w:lastRow="0" w:firstColumn="1" w:lastColumn="0" w:noHBand="0" w:noVBand="1"/>
          </w:tblPr>
          <w:tblGrid>
            <w:gridCol w:w="8564"/>
            <w:gridCol w:w="218"/>
            <w:gridCol w:w="218"/>
          </w:tblGrid>
          <w:tr w:rsidR="00C8277A" w:rsidRPr="00731617" w14:paraId="73319B5E" w14:textId="77777777" w:rsidTr="00265F1D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116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467" w:type="dxa"/>
              </w:tcPr>
              <w:tbl>
                <w:tblPr>
                  <w:tblStyle w:val="TableGrid"/>
                  <w:tblW w:w="24344" w:type="dxa"/>
                  <w:tblInd w:w="27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ayout w:type="fixed"/>
                  <w:tblLook w:val="04A0" w:firstRow="1" w:lastRow="0" w:firstColumn="1" w:lastColumn="0" w:noHBand="0" w:noVBand="1"/>
                </w:tblPr>
                <w:tblGrid>
                  <w:gridCol w:w="6086"/>
                  <w:gridCol w:w="6086"/>
                  <w:gridCol w:w="6086"/>
                  <w:gridCol w:w="6086"/>
                </w:tblGrid>
                <w:tr w:rsidR="00C8277A" w:rsidRPr="00731617" w14:paraId="32B5F073" w14:textId="77777777" w:rsidTr="00B77D91">
                  <w:trPr>
                    <w:trHeight w:val="738"/>
                  </w:trPr>
                  <w:tc>
                    <w:tcPr>
                      <w:tcW w:w="6086" w:type="dxa"/>
                    </w:tcPr>
                    <w:p w14:paraId="67AD71FE" w14:textId="02F68497" w:rsidR="00025C81" w:rsidRPr="009D1ABC" w:rsidRDefault="00AF11EE" w:rsidP="00B924E3">
                      <w:pPr>
                        <w:pStyle w:val="ContactName"/>
                        <w:spacing w:line="240" w:lineRule="auto"/>
                        <w:rPr>
                          <w:color w:val="696B6B"/>
                          <w:szCs w:val="18"/>
                          <w:u w:color="696B6B"/>
                          <w:lang w:val="en-US"/>
                        </w:rPr>
                      </w:pPr>
                      <w:r>
                        <w:rPr>
                          <w:color w:val="696B6B"/>
                          <w:szCs w:val="18"/>
                          <w:u w:color="696B6B"/>
                          <w:lang w:val="en-US"/>
                        </w:rPr>
                        <w:t>Karolina Samczyńska-Fiślak</w:t>
                      </w:r>
                    </w:p>
                    <w:p w14:paraId="03FB117E" w14:textId="77777777" w:rsidR="00025C81" w:rsidRPr="009D1ABC" w:rsidRDefault="001A4929" w:rsidP="00B924E3">
                      <w:pPr>
                        <w:pStyle w:val="ContactName"/>
                        <w:spacing w:line="240" w:lineRule="auto"/>
                        <w:rPr>
                          <w:b w:val="0"/>
                          <w:bCs w:val="0"/>
                          <w:color w:val="696B6B"/>
                          <w:szCs w:val="18"/>
                          <w:u w:color="696B6B"/>
                          <w:lang w:val="en-US"/>
                        </w:rPr>
                      </w:pPr>
                      <w:r w:rsidRPr="009D1ABC">
                        <w:rPr>
                          <w:b w:val="0"/>
                          <w:bCs w:val="0"/>
                          <w:color w:val="696B6B"/>
                          <w:szCs w:val="18"/>
                          <w:u w:color="696B6B"/>
                          <w:lang w:val="en-US"/>
                        </w:rPr>
                        <w:t xml:space="preserve">Cushman &amp; Wakefield </w:t>
                      </w:r>
                    </w:p>
                    <w:p w14:paraId="51DAB7AF" w14:textId="799868C8" w:rsidR="00025C81" w:rsidRPr="009D1ABC" w:rsidRDefault="001A4929" w:rsidP="00B924E3">
                      <w:pPr>
                        <w:rPr>
                          <w:rFonts w:ascii="Calibri" w:eastAsia="Times New Roman" w:hAnsi="Calibri"/>
                          <w:sz w:val="18"/>
                          <w:szCs w:val="18"/>
                        </w:rPr>
                      </w:pPr>
                      <w:r w:rsidRPr="009D1ABC">
                        <w:rPr>
                          <w:rFonts w:ascii="Calibri" w:hAnsi="Calibri"/>
                          <w:color w:val="696B6B"/>
                          <w:sz w:val="18"/>
                          <w:szCs w:val="18"/>
                          <w:u w:color="696B6B"/>
                        </w:rPr>
                        <w:t xml:space="preserve">Tel: + 48 22 820 20 20; </w:t>
                      </w:r>
                      <w:r w:rsidR="00AF11EE" w:rsidRPr="00AF11EE">
                        <w:rPr>
                          <w:rFonts w:ascii="Calibri" w:hAnsi="Calibri"/>
                          <w:color w:val="696B6B"/>
                          <w:sz w:val="18"/>
                          <w:szCs w:val="18"/>
                          <w:u w:color="696B6B"/>
                        </w:rPr>
                        <w:t>691</w:t>
                      </w:r>
                      <w:r w:rsidR="00AF11EE">
                        <w:rPr>
                          <w:rFonts w:ascii="Calibri" w:hAnsi="Calibri"/>
                          <w:color w:val="696B6B"/>
                          <w:sz w:val="18"/>
                          <w:szCs w:val="18"/>
                          <w:u w:color="696B6B"/>
                        </w:rPr>
                        <w:t> </w:t>
                      </w:r>
                      <w:r w:rsidR="00AF11EE" w:rsidRPr="00AF11EE">
                        <w:rPr>
                          <w:rFonts w:ascii="Calibri" w:hAnsi="Calibri"/>
                          <w:color w:val="696B6B"/>
                          <w:sz w:val="18"/>
                          <w:szCs w:val="18"/>
                          <w:u w:color="696B6B"/>
                        </w:rPr>
                        <w:t>060</w:t>
                      </w:r>
                      <w:r w:rsidR="00AF11EE">
                        <w:rPr>
                          <w:rFonts w:ascii="Calibri" w:hAnsi="Calibri"/>
                          <w:color w:val="696B6B"/>
                          <w:sz w:val="18"/>
                          <w:szCs w:val="18"/>
                          <w:u w:color="696B6B"/>
                        </w:rPr>
                        <w:t xml:space="preserve"> </w:t>
                      </w:r>
                      <w:r w:rsidR="00AF11EE" w:rsidRPr="00AF11EE">
                        <w:rPr>
                          <w:rFonts w:ascii="Calibri" w:hAnsi="Calibri"/>
                          <w:color w:val="696B6B"/>
                          <w:sz w:val="18"/>
                          <w:szCs w:val="18"/>
                          <w:u w:color="696B6B"/>
                        </w:rPr>
                        <w:t>202</w:t>
                      </w:r>
                    </w:p>
                    <w:p w14:paraId="4EC59528" w14:textId="77777777" w:rsidR="00025C81" w:rsidRPr="009D1ABC" w:rsidRDefault="001A4929" w:rsidP="00B924E3">
                      <w:pPr>
                        <w:pStyle w:val="ContactName"/>
                        <w:tabs>
                          <w:tab w:val="right" w:pos="4688"/>
                        </w:tabs>
                        <w:spacing w:line="240" w:lineRule="auto"/>
                        <w:rPr>
                          <w:color w:val="696B6B"/>
                          <w:u w:color="696B6B"/>
                          <w:lang w:val="de-DE"/>
                        </w:rPr>
                      </w:pPr>
                      <w:r w:rsidRPr="009D1ABC">
                        <w:rPr>
                          <w:color w:val="696B6B"/>
                          <w:u w:color="696B6B"/>
                          <w:lang w:val="de-DE"/>
                        </w:rPr>
                        <w:t xml:space="preserve">e-mail: </w:t>
                      </w:r>
                      <w:hyperlink r:id="rId1" w:history="1">
                        <w:r w:rsidRPr="009D1ABC">
                          <w:rPr>
                            <w:rStyle w:val="Hyperlink0"/>
                            <w:lang w:val="de-AT"/>
                          </w:rPr>
                          <w:t>media.poland@cushwake.pl</w:t>
                        </w:r>
                      </w:hyperlink>
                    </w:p>
                  </w:tc>
                  <w:tc>
                    <w:tcPr>
                      <w:tcW w:w="6086" w:type="dxa"/>
                    </w:tcPr>
                    <w:p w14:paraId="0CF7FE8B" w14:textId="77777777" w:rsidR="00025C81" w:rsidRPr="009D1ABC" w:rsidRDefault="00025C81" w:rsidP="00B924E3">
                      <w:pPr>
                        <w:pStyle w:val="ContactDetail"/>
                        <w:spacing w:line="240" w:lineRule="auto"/>
                        <w:rPr>
                          <w:color w:val="696B6B"/>
                          <w:u w:color="696B6B"/>
                          <w:lang w:val="de-DE"/>
                        </w:rPr>
                      </w:pPr>
                    </w:p>
                  </w:tc>
                  <w:tc>
                    <w:tcPr>
                      <w:tcW w:w="6086" w:type="dxa"/>
                    </w:tcPr>
                    <w:p w14:paraId="20ECDA43" w14:textId="77777777" w:rsidR="00025C81" w:rsidRPr="00167436" w:rsidRDefault="00025C81" w:rsidP="00B924E3">
                      <w:pPr>
                        <w:pStyle w:val="ContactName"/>
                        <w:spacing w:line="240" w:lineRule="auto"/>
                        <w:rPr>
                          <w:rStyle w:val="Brak"/>
                          <w:color w:val="696B6B"/>
                          <w:u w:color="696B6B"/>
                          <w:lang w:val="de-DE"/>
                        </w:rPr>
                      </w:pPr>
                    </w:p>
                  </w:tc>
                  <w:tc>
                    <w:tcPr>
                      <w:tcW w:w="6086" w:type="dxa"/>
                    </w:tcPr>
                    <w:p w14:paraId="397E05EC" w14:textId="77777777" w:rsidR="00025C81" w:rsidRPr="00167436" w:rsidRDefault="00025C81" w:rsidP="00B924E3">
                      <w:pPr>
                        <w:pStyle w:val="ContactName"/>
                        <w:spacing w:line="240" w:lineRule="auto"/>
                        <w:rPr>
                          <w:rStyle w:val="Brak"/>
                          <w:color w:val="696B6B"/>
                          <w:u w:color="696B6B"/>
                          <w:lang w:val="de-DE"/>
                        </w:rPr>
                      </w:pPr>
                    </w:p>
                  </w:tc>
                </w:tr>
              </w:tbl>
              <w:p w14:paraId="08D62AB9" w14:textId="77777777" w:rsidR="00025C81" w:rsidRPr="009D1ABC" w:rsidRDefault="00025C81" w:rsidP="00B924E3">
                <w:pPr>
                  <w:pStyle w:val="ContactDetail"/>
                  <w:rPr>
                    <w:rFonts w:asciiTheme="minorHAnsi" w:hAnsiTheme="minorHAnsi" w:cstheme="minorHAnsi"/>
                    <w:color w:val="000000" w:themeColor="text1"/>
                    <w:lang w:val="es-ES_tradnl"/>
                  </w:rPr>
                </w:pPr>
              </w:p>
            </w:tc>
            <w:tc>
              <w:tcPr>
                <w:tcW w:w="3763" w:type="dxa"/>
              </w:tcPr>
              <w:p w14:paraId="4ED69CDE" w14:textId="77777777" w:rsidR="00025C81" w:rsidRPr="007B2741" w:rsidRDefault="00025C81" w:rsidP="00580984">
                <w:pPr>
                  <w:pStyle w:val="ContactDetail"/>
                  <w:spacing w:line="240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Style w:val="Brak"/>
                    <w:color w:val="696B6B"/>
                    <w:u w:color="696B6B"/>
                    <w:lang w:val="en-US"/>
                  </w:rPr>
                </w:pPr>
              </w:p>
            </w:tc>
            <w:tc>
              <w:tcPr>
                <w:tcW w:w="2865" w:type="dxa"/>
              </w:tcPr>
              <w:p w14:paraId="1A4CBD3A" w14:textId="77777777" w:rsidR="00025C81" w:rsidRPr="007B2741" w:rsidRDefault="00025C81" w:rsidP="00B924E3">
                <w:pPr>
                  <w:pStyle w:val="ContactDetail"/>
                  <w:spacing w:line="240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lang w:val="en-US"/>
                  </w:rPr>
                </w:pPr>
              </w:p>
              <w:p w14:paraId="0D0425FA" w14:textId="77777777" w:rsidR="00025C81" w:rsidRPr="007B2741" w:rsidRDefault="00025C81" w:rsidP="00B924E3">
                <w:pPr>
                  <w:pStyle w:val="ContactDetail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color w:val="000000" w:themeColor="text1"/>
                    <w:lang w:val="en-US"/>
                  </w:rPr>
                </w:pPr>
              </w:p>
            </w:tc>
          </w:tr>
        </w:tbl>
        <w:p w14:paraId="51226427" w14:textId="794B06BC" w:rsidR="00025C81" w:rsidRPr="007B2741" w:rsidRDefault="00025C81" w:rsidP="00B924E3">
          <w:pPr>
            <w:pStyle w:val="ContactDetail"/>
            <w:rPr>
              <w:rFonts w:asciiTheme="minorHAnsi" w:hAnsiTheme="minorHAnsi" w:cstheme="minorHAnsi"/>
              <w:color w:val="000000" w:themeColor="text1"/>
              <w:lang w:val="en-US"/>
            </w:rPr>
          </w:pPr>
        </w:p>
      </w:tc>
    </w:tr>
  </w:tbl>
  <w:p w14:paraId="6A6BD428" w14:textId="77777777" w:rsidR="00025C81" w:rsidRPr="007B2741" w:rsidRDefault="00025C81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44E79" w14:textId="77777777" w:rsidR="00025C81" w:rsidRDefault="00025C81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W w:w="9000" w:type="dxa"/>
      <w:tblLayout w:type="fixed"/>
      <w:tblLook w:val="0400" w:firstRow="0" w:lastRow="0" w:firstColumn="0" w:lastColumn="0" w:noHBand="0" w:noVBand="1"/>
    </w:tblPr>
    <w:tblGrid>
      <w:gridCol w:w="5670"/>
      <w:gridCol w:w="3330"/>
    </w:tblGrid>
    <w:tr w:rsidR="00F67554" w14:paraId="57A23F18" w14:textId="77777777">
      <w:trPr>
        <w:trHeight w:val="630"/>
      </w:trPr>
      <w:tc>
        <w:tcPr>
          <w:tcW w:w="5670" w:type="dxa"/>
          <w:vAlign w:val="bottom"/>
        </w:tcPr>
        <w:p w14:paraId="00233554" w14:textId="77777777" w:rsidR="00025C81" w:rsidRDefault="001A4929">
          <w:pPr>
            <w:pStyle w:val="Heading2"/>
            <w:rPr>
              <w:rFonts w:ascii="Arial" w:eastAsia="Arial" w:hAnsi="Arial" w:cs="Arial"/>
              <w:color w:val="696B6B"/>
            </w:rPr>
          </w:pPr>
          <w:r>
            <w:rPr>
              <w:rFonts w:ascii="Arial" w:eastAsia="Arial" w:hAnsi="Arial" w:cs="Arial"/>
              <w:color w:val="696B6B"/>
            </w:rPr>
            <w:t>Media Contact:</w:t>
          </w:r>
        </w:p>
      </w:tc>
      <w:tc>
        <w:tcPr>
          <w:tcW w:w="3330" w:type="dxa"/>
          <w:vAlign w:val="bottom"/>
        </w:tcPr>
        <w:p w14:paraId="61C181ED" w14:textId="77777777" w:rsidR="00025C81" w:rsidRDefault="00025C81">
          <w:pPr>
            <w:spacing w:after="100" w:line="240" w:lineRule="auto"/>
            <w:rPr>
              <w:b/>
              <w:color w:val="696B6B"/>
              <w:sz w:val="18"/>
              <w:szCs w:val="18"/>
            </w:rPr>
          </w:pPr>
        </w:p>
      </w:tc>
    </w:tr>
    <w:tr w:rsidR="00F67554" w:rsidRPr="00731617" w14:paraId="17458FA5" w14:textId="77777777">
      <w:trPr>
        <w:trHeight w:val="1260"/>
      </w:trPr>
      <w:tc>
        <w:tcPr>
          <w:tcW w:w="5670" w:type="dxa"/>
          <w:vAlign w:val="bottom"/>
        </w:tcPr>
        <w:p w14:paraId="065B4F91" w14:textId="77777777" w:rsidR="00025C81" w:rsidRPr="00C8277A" w:rsidRDefault="001A4929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b/>
              <w:color w:val="696B6B"/>
              <w:sz w:val="18"/>
              <w:szCs w:val="18"/>
              <w:lang w:val="en-GB"/>
            </w:rPr>
          </w:pPr>
          <w:r w:rsidRPr="00C8277A">
            <w:rPr>
              <w:b/>
              <w:color w:val="696B6B"/>
              <w:sz w:val="18"/>
              <w:szCs w:val="18"/>
              <w:lang w:val="en-GB"/>
            </w:rPr>
            <w:t>Name</w:t>
          </w:r>
        </w:p>
        <w:p w14:paraId="78082AF7" w14:textId="77777777" w:rsidR="00025C81" w:rsidRPr="00C8277A" w:rsidRDefault="001A4929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GB"/>
            </w:rPr>
          </w:pPr>
          <w:r w:rsidRPr="00C8277A">
            <w:rPr>
              <w:color w:val="696B6B"/>
              <w:sz w:val="18"/>
              <w:szCs w:val="18"/>
              <w:lang w:val="en-GB"/>
            </w:rPr>
            <w:t>Title</w:t>
          </w:r>
        </w:p>
        <w:p w14:paraId="6C6535E5" w14:textId="77777777" w:rsidR="00025C81" w:rsidRPr="00C8277A" w:rsidRDefault="001A4929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GB"/>
            </w:rPr>
          </w:pPr>
          <w:r w:rsidRPr="00C8277A">
            <w:rPr>
              <w:color w:val="696B6B"/>
              <w:sz w:val="18"/>
              <w:szCs w:val="18"/>
              <w:lang w:val="en-GB"/>
            </w:rPr>
            <w:t>+1 000 000 0000</w:t>
          </w:r>
        </w:p>
        <w:p w14:paraId="01D18F40" w14:textId="7E1FEC25" w:rsidR="00025C81" w:rsidRPr="00C8277A" w:rsidRDefault="00B77D91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GB"/>
            </w:rPr>
          </w:pPr>
          <w:hyperlink r:id="rId1" w:history="1">
            <w:r w:rsidRPr="00D4241D">
              <w:rPr>
                <w:rStyle w:val="Hyperlink"/>
                <w:sz w:val="18"/>
                <w:szCs w:val="18"/>
                <w:lang w:val="en-GB"/>
              </w:rPr>
              <w:t>first.last@cushwake.com</w:t>
            </w:r>
          </w:hyperlink>
          <w:r w:rsidR="001A4929" w:rsidRPr="00C8277A">
            <w:rPr>
              <w:color w:val="696B6B"/>
              <w:sz w:val="18"/>
              <w:szCs w:val="18"/>
              <w:lang w:val="en-GB"/>
            </w:rPr>
            <w:t xml:space="preserve"> </w:t>
          </w:r>
        </w:p>
      </w:tc>
      <w:tc>
        <w:tcPr>
          <w:tcW w:w="3330" w:type="dxa"/>
          <w:vAlign w:val="bottom"/>
        </w:tcPr>
        <w:p w14:paraId="5F7143DE" w14:textId="77777777" w:rsidR="00025C81" w:rsidRPr="00C8277A" w:rsidRDefault="00025C81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GB"/>
            </w:rPr>
          </w:pPr>
        </w:p>
      </w:tc>
    </w:tr>
  </w:tbl>
  <w:p w14:paraId="62A457F3" w14:textId="77777777" w:rsidR="00025C81" w:rsidRPr="00C8277A" w:rsidRDefault="00025C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4F978A" w14:textId="77777777" w:rsidR="00DD242D" w:rsidRDefault="00DD242D">
      <w:pPr>
        <w:spacing w:after="0" w:line="240" w:lineRule="auto"/>
      </w:pPr>
      <w:r>
        <w:separator/>
      </w:r>
    </w:p>
  </w:footnote>
  <w:footnote w:type="continuationSeparator" w:id="0">
    <w:p w14:paraId="24FEFA35" w14:textId="77777777" w:rsidR="00DD242D" w:rsidRDefault="00DD242D">
      <w:pPr>
        <w:spacing w:after="0" w:line="240" w:lineRule="auto"/>
      </w:pPr>
      <w:r>
        <w:continuationSeparator/>
      </w:r>
    </w:p>
  </w:footnote>
  <w:footnote w:type="continuationNotice" w:id="1">
    <w:p w14:paraId="55EF5122" w14:textId="77777777" w:rsidR="00DD242D" w:rsidRDefault="00DD24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7E98D" w14:textId="77777777" w:rsidR="00025C81" w:rsidRDefault="001A492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6384EC7" wp14:editId="2933026F">
          <wp:simplePos x="0" y="0"/>
          <wp:positionH relativeFrom="column">
            <wp:posOffset>43133</wp:posOffset>
          </wp:positionH>
          <wp:positionV relativeFrom="paragraph">
            <wp:posOffset>-154975</wp:posOffset>
          </wp:positionV>
          <wp:extent cx="1933575" cy="40767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3575" cy="407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F1D7A" w14:textId="77777777" w:rsidR="00025C81" w:rsidRDefault="001A492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24F12382" wp14:editId="51EBFB22">
          <wp:simplePos x="0" y="0"/>
          <wp:positionH relativeFrom="column">
            <wp:posOffset>3811</wp:posOffset>
          </wp:positionH>
          <wp:positionV relativeFrom="paragraph">
            <wp:posOffset>-201294</wp:posOffset>
          </wp:positionV>
          <wp:extent cx="1933575" cy="40767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3575" cy="407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77968"/>
    <w:multiLevelType w:val="hybridMultilevel"/>
    <w:tmpl w:val="C66CC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14EDF"/>
    <w:multiLevelType w:val="hybridMultilevel"/>
    <w:tmpl w:val="FA123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2193E"/>
    <w:multiLevelType w:val="multilevel"/>
    <w:tmpl w:val="10C83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6922B5"/>
    <w:multiLevelType w:val="hybridMultilevel"/>
    <w:tmpl w:val="EEF01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974D6"/>
    <w:multiLevelType w:val="hybridMultilevel"/>
    <w:tmpl w:val="4D4E3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378689">
    <w:abstractNumId w:val="4"/>
  </w:num>
  <w:num w:numId="2" w16cid:durableId="1580141190">
    <w:abstractNumId w:val="0"/>
  </w:num>
  <w:num w:numId="3" w16cid:durableId="2049640316">
    <w:abstractNumId w:val="3"/>
  </w:num>
  <w:num w:numId="4" w16cid:durableId="2116631385">
    <w:abstractNumId w:val="1"/>
  </w:num>
  <w:num w:numId="5" w16cid:durableId="64764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A2D"/>
    <w:rsid w:val="00001D62"/>
    <w:rsid w:val="00003988"/>
    <w:rsid w:val="00004DE1"/>
    <w:rsid w:val="00005FD5"/>
    <w:rsid w:val="00007243"/>
    <w:rsid w:val="00013F59"/>
    <w:rsid w:val="00014822"/>
    <w:rsid w:val="00014ACA"/>
    <w:rsid w:val="000163D4"/>
    <w:rsid w:val="000203A2"/>
    <w:rsid w:val="000251E4"/>
    <w:rsid w:val="00025C81"/>
    <w:rsid w:val="00025F48"/>
    <w:rsid w:val="00027F57"/>
    <w:rsid w:val="0003245E"/>
    <w:rsid w:val="00040FBF"/>
    <w:rsid w:val="00041B19"/>
    <w:rsid w:val="00044C5B"/>
    <w:rsid w:val="00051FD7"/>
    <w:rsid w:val="0005438E"/>
    <w:rsid w:val="00060B75"/>
    <w:rsid w:val="0006214A"/>
    <w:rsid w:val="000666EE"/>
    <w:rsid w:val="000669E6"/>
    <w:rsid w:val="00067FD0"/>
    <w:rsid w:val="000700E2"/>
    <w:rsid w:val="000720F5"/>
    <w:rsid w:val="00080504"/>
    <w:rsid w:val="0008371E"/>
    <w:rsid w:val="00083F43"/>
    <w:rsid w:val="00086C80"/>
    <w:rsid w:val="0008772D"/>
    <w:rsid w:val="0009018C"/>
    <w:rsid w:val="00092C27"/>
    <w:rsid w:val="00093540"/>
    <w:rsid w:val="000962DF"/>
    <w:rsid w:val="00096548"/>
    <w:rsid w:val="000A54A7"/>
    <w:rsid w:val="000A622E"/>
    <w:rsid w:val="000B142D"/>
    <w:rsid w:val="000B29DE"/>
    <w:rsid w:val="000B2DCC"/>
    <w:rsid w:val="000B57CB"/>
    <w:rsid w:val="000B76F4"/>
    <w:rsid w:val="000C1BB6"/>
    <w:rsid w:val="000C1FC6"/>
    <w:rsid w:val="000C30AD"/>
    <w:rsid w:val="000C4210"/>
    <w:rsid w:val="000C4280"/>
    <w:rsid w:val="000C4294"/>
    <w:rsid w:val="000C585C"/>
    <w:rsid w:val="000C7645"/>
    <w:rsid w:val="000D4656"/>
    <w:rsid w:val="000D5790"/>
    <w:rsid w:val="000D5FED"/>
    <w:rsid w:val="000D681E"/>
    <w:rsid w:val="000D68FD"/>
    <w:rsid w:val="000D7839"/>
    <w:rsid w:val="000E0EAC"/>
    <w:rsid w:val="000E71D0"/>
    <w:rsid w:val="000F64E0"/>
    <w:rsid w:val="000F7964"/>
    <w:rsid w:val="001013AF"/>
    <w:rsid w:val="001062D1"/>
    <w:rsid w:val="001100C1"/>
    <w:rsid w:val="00111135"/>
    <w:rsid w:val="001141D8"/>
    <w:rsid w:val="001146DD"/>
    <w:rsid w:val="00114AF8"/>
    <w:rsid w:val="0011559A"/>
    <w:rsid w:val="0012061A"/>
    <w:rsid w:val="00122668"/>
    <w:rsid w:val="00124F62"/>
    <w:rsid w:val="00132CB9"/>
    <w:rsid w:val="00132F07"/>
    <w:rsid w:val="00140D8B"/>
    <w:rsid w:val="00144415"/>
    <w:rsid w:val="00150F3F"/>
    <w:rsid w:val="00156F9C"/>
    <w:rsid w:val="0016097B"/>
    <w:rsid w:val="001635F6"/>
    <w:rsid w:val="00166861"/>
    <w:rsid w:val="00166F71"/>
    <w:rsid w:val="00167436"/>
    <w:rsid w:val="00174EBA"/>
    <w:rsid w:val="0017521E"/>
    <w:rsid w:val="00175FB4"/>
    <w:rsid w:val="00182C4F"/>
    <w:rsid w:val="00185967"/>
    <w:rsid w:val="0018688B"/>
    <w:rsid w:val="00190980"/>
    <w:rsid w:val="00190FB3"/>
    <w:rsid w:val="00196E5B"/>
    <w:rsid w:val="001A4929"/>
    <w:rsid w:val="001A56D9"/>
    <w:rsid w:val="001A70AD"/>
    <w:rsid w:val="001A7905"/>
    <w:rsid w:val="001B3599"/>
    <w:rsid w:val="001B5F5F"/>
    <w:rsid w:val="001B5FA0"/>
    <w:rsid w:val="001B6640"/>
    <w:rsid w:val="001B7AE3"/>
    <w:rsid w:val="001C0591"/>
    <w:rsid w:val="001C7005"/>
    <w:rsid w:val="001D08F3"/>
    <w:rsid w:val="001D401E"/>
    <w:rsid w:val="001D52B7"/>
    <w:rsid w:val="001E06FB"/>
    <w:rsid w:val="001E0E42"/>
    <w:rsid w:val="001E16E8"/>
    <w:rsid w:val="001E3C79"/>
    <w:rsid w:val="001E4E45"/>
    <w:rsid w:val="001E56EB"/>
    <w:rsid w:val="001F406E"/>
    <w:rsid w:val="001F7E37"/>
    <w:rsid w:val="00200368"/>
    <w:rsid w:val="00204C52"/>
    <w:rsid w:val="00206001"/>
    <w:rsid w:val="002117B9"/>
    <w:rsid w:val="002125FE"/>
    <w:rsid w:val="00212E0F"/>
    <w:rsid w:val="002145AA"/>
    <w:rsid w:val="00217577"/>
    <w:rsid w:val="00217BD6"/>
    <w:rsid w:val="002230C2"/>
    <w:rsid w:val="002240B1"/>
    <w:rsid w:val="00225B1A"/>
    <w:rsid w:val="00236B04"/>
    <w:rsid w:val="002426EF"/>
    <w:rsid w:val="0024400C"/>
    <w:rsid w:val="00246115"/>
    <w:rsid w:val="00251824"/>
    <w:rsid w:val="00251F00"/>
    <w:rsid w:val="00254581"/>
    <w:rsid w:val="00257ED3"/>
    <w:rsid w:val="0026004F"/>
    <w:rsid w:val="00260179"/>
    <w:rsid w:val="00260C7D"/>
    <w:rsid w:val="00261AA0"/>
    <w:rsid w:val="002633C5"/>
    <w:rsid w:val="00265F1D"/>
    <w:rsid w:val="0026615D"/>
    <w:rsid w:val="00266AA6"/>
    <w:rsid w:val="002730A2"/>
    <w:rsid w:val="0027355F"/>
    <w:rsid w:val="00275982"/>
    <w:rsid w:val="00275F1E"/>
    <w:rsid w:val="00275FDC"/>
    <w:rsid w:val="0028046B"/>
    <w:rsid w:val="00281BFB"/>
    <w:rsid w:val="0028223D"/>
    <w:rsid w:val="00282F09"/>
    <w:rsid w:val="00282FB7"/>
    <w:rsid w:val="00284E92"/>
    <w:rsid w:val="00285282"/>
    <w:rsid w:val="00286DC7"/>
    <w:rsid w:val="002915E5"/>
    <w:rsid w:val="00293086"/>
    <w:rsid w:val="00293E07"/>
    <w:rsid w:val="00293ED2"/>
    <w:rsid w:val="00295599"/>
    <w:rsid w:val="002958EB"/>
    <w:rsid w:val="0029652C"/>
    <w:rsid w:val="002967FF"/>
    <w:rsid w:val="0029787D"/>
    <w:rsid w:val="002A197E"/>
    <w:rsid w:val="002A37FC"/>
    <w:rsid w:val="002A43B7"/>
    <w:rsid w:val="002B212F"/>
    <w:rsid w:val="002B25EB"/>
    <w:rsid w:val="002B381B"/>
    <w:rsid w:val="002B4716"/>
    <w:rsid w:val="002B5E36"/>
    <w:rsid w:val="002B6B39"/>
    <w:rsid w:val="002C06D5"/>
    <w:rsid w:val="002C1DFF"/>
    <w:rsid w:val="002C42A4"/>
    <w:rsid w:val="002C480C"/>
    <w:rsid w:val="002C5887"/>
    <w:rsid w:val="002D0B42"/>
    <w:rsid w:val="002D4EC6"/>
    <w:rsid w:val="002D5829"/>
    <w:rsid w:val="002D7779"/>
    <w:rsid w:val="002E0BB0"/>
    <w:rsid w:val="002E1729"/>
    <w:rsid w:val="002E2D30"/>
    <w:rsid w:val="002E7F16"/>
    <w:rsid w:val="002F0666"/>
    <w:rsid w:val="002F08E1"/>
    <w:rsid w:val="002F0F48"/>
    <w:rsid w:val="002F447F"/>
    <w:rsid w:val="00300BC4"/>
    <w:rsid w:val="00302886"/>
    <w:rsid w:val="00306BFA"/>
    <w:rsid w:val="00310D2A"/>
    <w:rsid w:val="0032157F"/>
    <w:rsid w:val="0032389F"/>
    <w:rsid w:val="00325CF8"/>
    <w:rsid w:val="003278D0"/>
    <w:rsid w:val="0034418D"/>
    <w:rsid w:val="00345D04"/>
    <w:rsid w:val="00345D09"/>
    <w:rsid w:val="00346CB1"/>
    <w:rsid w:val="0035396B"/>
    <w:rsid w:val="00364117"/>
    <w:rsid w:val="00371AFD"/>
    <w:rsid w:val="00374DB8"/>
    <w:rsid w:val="00377E08"/>
    <w:rsid w:val="00385CB8"/>
    <w:rsid w:val="0038604F"/>
    <w:rsid w:val="00387CAF"/>
    <w:rsid w:val="00387E8C"/>
    <w:rsid w:val="003936DF"/>
    <w:rsid w:val="003A24D4"/>
    <w:rsid w:val="003A693E"/>
    <w:rsid w:val="003A70E2"/>
    <w:rsid w:val="003B144F"/>
    <w:rsid w:val="003B2048"/>
    <w:rsid w:val="003B2BE6"/>
    <w:rsid w:val="003B3560"/>
    <w:rsid w:val="003B78C7"/>
    <w:rsid w:val="003B78CD"/>
    <w:rsid w:val="003C1BBA"/>
    <w:rsid w:val="003C1E58"/>
    <w:rsid w:val="003C5AF3"/>
    <w:rsid w:val="003C5B29"/>
    <w:rsid w:val="003C791A"/>
    <w:rsid w:val="003D1556"/>
    <w:rsid w:val="003E003A"/>
    <w:rsid w:val="003E0201"/>
    <w:rsid w:val="003E3F99"/>
    <w:rsid w:val="003E406F"/>
    <w:rsid w:val="003F4AAD"/>
    <w:rsid w:val="003F572E"/>
    <w:rsid w:val="003F60EA"/>
    <w:rsid w:val="003F7D86"/>
    <w:rsid w:val="004001BC"/>
    <w:rsid w:val="00403626"/>
    <w:rsid w:val="00407BFF"/>
    <w:rsid w:val="00410D62"/>
    <w:rsid w:val="004112C0"/>
    <w:rsid w:val="0042183C"/>
    <w:rsid w:val="0042255F"/>
    <w:rsid w:val="004329C4"/>
    <w:rsid w:val="00432ACA"/>
    <w:rsid w:val="00433A40"/>
    <w:rsid w:val="0043767F"/>
    <w:rsid w:val="00440D65"/>
    <w:rsid w:val="00443EFE"/>
    <w:rsid w:val="00451C25"/>
    <w:rsid w:val="00452FD6"/>
    <w:rsid w:val="00454222"/>
    <w:rsid w:val="00454311"/>
    <w:rsid w:val="00455C93"/>
    <w:rsid w:val="00457545"/>
    <w:rsid w:val="00461B2F"/>
    <w:rsid w:val="00461F73"/>
    <w:rsid w:val="00462B62"/>
    <w:rsid w:val="00464434"/>
    <w:rsid w:val="00464B72"/>
    <w:rsid w:val="00466300"/>
    <w:rsid w:val="00466ABC"/>
    <w:rsid w:val="004678CA"/>
    <w:rsid w:val="004702C4"/>
    <w:rsid w:val="00471A22"/>
    <w:rsid w:val="00475534"/>
    <w:rsid w:val="00482366"/>
    <w:rsid w:val="004876E8"/>
    <w:rsid w:val="004900F3"/>
    <w:rsid w:val="00490581"/>
    <w:rsid w:val="00491EA1"/>
    <w:rsid w:val="0049367E"/>
    <w:rsid w:val="00497874"/>
    <w:rsid w:val="00497908"/>
    <w:rsid w:val="004A01E8"/>
    <w:rsid w:val="004A5B66"/>
    <w:rsid w:val="004B0979"/>
    <w:rsid w:val="004B1245"/>
    <w:rsid w:val="004B3D1A"/>
    <w:rsid w:val="004B5A43"/>
    <w:rsid w:val="004C010A"/>
    <w:rsid w:val="004C2C37"/>
    <w:rsid w:val="004C2E88"/>
    <w:rsid w:val="004D07CC"/>
    <w:rsid w:val="004D1450"/>
    <w:rsid w:val="004D16D5"/>
    <w:rsid w:val="004D62D2"/>
    <w:rsid w:val="004D68AD"/>
    <w:rsid w:val="004D6A3C"/>
    <w:rsid w:val="004D7C3B"/>
    <w:rsid w:val="004E0237"/>
    <w:rsid w:val="004E0A16"/>
    <w:rsid w:val="004E46E9"/>
    <w:rsid w:val="004E5A7E"/>
    <w:rsid w:val="004E6628"/>
    <w:rsid w:val="004E7185"/>
    <w:rsid w:val="004F39A0"/>
    <w:rsid w:val="004F64D6"/>
    <w:rsid w:val="00502E72"/>
    <w:rsid w:val="0050412F"/>
    <w:rsid w:val="00505B70"/>
    <w:rsid w:val="00506665"/>
    <w:rsid w:val="00507875"/>
    <w:rsid w:val="00507E57"/>
    <w:rsid w:val="005100DD"/>
    <w:rsid w:val="00512047"/>
    <w:rsid w:val="00512ADF"/>
    <w:rsid w:val="0051329D"/>
    <w:rsid w:val="005136A0"/>
    <w:rsid w:val="0051644B"/>
    <w:rsid w:val="005167AE"/>
    <w:rsid w:val="0051796F"/>
    <w:rsid w:val="00517B59"/>
    <w:rsid w:val="00520076"/>
    <w:rsid w:val="005229AB"/>
    <w:rsid w:val="00531CF4"/>
    <w:rsid w:val="00531D93"/>
    <w:rsid w:val="005323BE"/>
    <w:rsid w:val="005352C0"/>
    <w:rsid w:val="005369D7"/>
    <w:rsid w:val="00537747"/>
    <w:rsid w:val="00541459"/>
    <w:rsid w:val="00541512"/>
    <w:rsid w:val="00541D5B"/>
    <w:rsid w:val="00552477"/>
    <w:rsid w:val="00552FCF"/>
    <w:rsid w:val="0055434C"/>
    <w:rsid w:val="00561829"/>
    <w:rsid w:val="005631C3"/>
    <w:rsid w:val="00566AB7"/>
    <w:rsid w:val="00577005"/>
    <w:rsid w:val="00580984"/>
    <w:rsid w:val="00580A25"/>
    <w:rsid w:val="0058421C"/>
    <w:rsid w:val="00585A4F"/>
    <w:rsid w:val="005860D9"/>
    <w:rsid w:val="005878DD"/>
    <w:rsid w:val="00591DBB"/>
    <w:rsid w:val="00592299"/>
    <w:rsid w:val="005A3A4C"/>
    <w:rsid w:val="005A4560"/>
    <w:rsid w:val="005B3DBC"/>
    <w:rsid w:val="005B4D77"/>
    <w:rsid w:val="005B7092"/>
    <w:rsid w:val="005C01D2"/>
    <w:rsid w:val="005C140E"/>
    <w:rsid w:val="005C1A2F"/>
    <w:rsid w:val="005C2765"/>
    <w:rsid w:val="005C3C3C"/>
    <w:rsid w:val="005C4360"/>
    <w:rsid w:val="005C6332"/>
    <w:rsid w:val="005C6C24"/>
    <w:rsid w:val="005C72CD"/>
    <w:rsid w:val="005D05E5"/>
    <w:rsid w:val="005D06CC"/>
    <w:rsid w:val="005D3204"/>
    <w:rsid w:val="005D4DD1"/>
    <w:rsid w:val="005D5EEB"/>
    <w:rsid w:val="005E2C9B"/>
    <w:rsid w:val="005E2EC7"/>
    <w:rsid w:val="005E36C1"/>
    <w:rsid w:val="005E49BA"/>
    <w:rsid w:val="005F709A"/>
    <w:rsid w:val="005F79B5"/>
    <w:rsid w:val="00601B86"/>
    <w:rsid w:val="006020AF"/>
    <w:rsid w:val="00603782"/>
    <w:rsid w:val="00606E7D"/>
    <w:rsid w:val="00606F29"/>
    <w:rsid w:val="00607408"/>
    <w:rsid w:val="00612A79"/>
    <w:rsid w:val="00617929"/>
    <w:rsid w:val="00624E73"/>
    <w:rsid w:val="00625117"/>
    <w:rsid w:val="00625DBC"/>
    <w:rsid w:val="00626706"/>
    <w:rsid w:val="00633DEF"/>
    <w:rsid w:val="00634853"/>
    <w:rsid w:val="00634A82"/>
    <w:rsid w:val="00635B11"/>
    <w:rsid w:val="00635EC2"/>
    <w:rsid w:val="006367C0"/>
    <w:rsid w:val="0064432F"/>
    <w:rsid w:val="00647BF0"/>
    <w:rsid w:val="0065206A"/>
    <w:rsid w:val="00654588"/>
    <w:rsid w:val="00655594"/>
    <w:rsid w:val="00661892"/>
    <w:rsid w:val="00661C7D"/>
    <w:rsid w:val="00662194"/>
    <w:rsid w:val="00670CB1"/>
    <w:rsid w:val="006714A0"/>
    <w:rsid w:val="00674476"/>
    <w:rsid w:val="0067480E"/>
    <w:rsid w:val="00674AAF"/>
    <w:rsid w:val="00675B1B"/>
    <w:rsid w:val="0067607F"/>
    <w:rsid w:val="006807CC"/>
    <w:rsid w:val="00681518"/>
    <w:rsid w:val="00682F1F"/>
    <w:rsid w:val="00683345"/>
    <w:rsid w:val="0068616F"/>
    <w:rsid w:val="00686CF4"/>
    <w:rsid w:val="0069258A"/>
    <w:rsid w:val="00695E5E"/>
    <w:rsid w:val="006A32B9"/>
    <w:rsid w:val="006A67F8"/>
    <w:rsid w:val="006B114D"/>
    <w:rsid w:val="006B2EE0"/>
    <w:rsid w:val="006B3391"/>
    <w:rsid w:val="006B4422"/>
    <w:rsid w:val="006B635B"/>
    <w:rsid w:val="006B6EBE"/>
    <w:rsid w:val="006C3D4A"/>
    <w:rsid w:val="006C449A"/>
    <w:rsid w:val="006C62BD"/>
    <w:rsid w:val="006D189F"/>
    <w:rsid w:val="006D1EF1"/>
    <w:rsid w:val="006D68E0"/>
    <w:rsid w:val="006E2861"/>
    <w:rsid w:val="006E2DCD"/>
    <w:rsid w:val="006E5291"/>
    <w:rsid w:val="006E5816"/>
    <w:rsid w:val="006E5F0D"/>
    <w:rsid w:val="006F06A0"/>
    <w:rsid w:val="006F394D"/>
    <w:rsid w:val="007014E6"/>
    <w:rsid w:val="00702833"/>
    <w:rsid w:val="00703171"/>
    <w:rsid w:val="00706617"/>
    <w:rsid w:val="00706A7F"/>
    <w:rsid w:val="00710F25"/>
    <w:rsid w:val="00717182"/>
    <w:rsid w:val="00717324"/>
    <w:rsid w:val="00725B3C"/>
    <w:rsid w:val="00725E13"/>
    <w:rsid w:val="00730456"/>
    <w:rsid w:val="00730F22"/>
    <w:rsid w:val="00731617"/>
    <w:rsid w:val="007326D4"/>
    <w:rsid w:val="00736585"/>
    <w:rsid w:val="00742036"/>
    <w:rsid w:val="007434AC"/>
    <w:rsid w:val="00747126"/>
    <w:rsid w:val="00747E51"/>
    <w:rsid w:val="0075095C"/>
    <w:rsid w:val="00751E88"/>
    <w:rsid w:val="00753387"/>
    <w:rsid w:val="00754C88"/>
    <w:rsid w:val="00757A3F"/>
    <w:rsid w:val="007640FE"/>
    <w:rsid w:val="00770B4C"/>
    <w:rsid w:val="00771251"/>
    <w:rsid w:val="00773AAB"/>
    <w:rsid w:val="00775E16"/>
    <w:rsid w:val="00781238"/>
    <w:rsid w:val="00781D70"/>
    <w:rsid w:val="00782A9B"/>
    <w:rsid w:val="007838F1"/>
    <w:rsid w:val="007875F8"/>
    <w:rsid w:val="00790531"/>
    <w:rsid w:val="00790E9B"/>
    <w:rsid w:val="00791DF5"/>
    <w:rsid w:val="0079250E"/>
    <w:rsid w:val="00792ECE"/>
    <w:rsid w:val="00792F37"/>
    <w:rsid w:val="007A354E"/>
    <w:rsid w:val="007A3CFC"/>
    <w:rsid w:val="007A6E6F"/>
    <w:rsid w:val="007B0283"/>
    <w:rsid w:val="007B1B45"/>
    <w:rsid w:val="007B20DD"/>
    <w:rsid w:val="007B2567"/>
    <w:rsid w:val="007B2741"/>
    <w:rsid w:val="007B54E0"/>
    <w:rsid w:val="007B6E2A"/>
    <w:rsid w:val="007B7606"/>
    <w:rsid w:val="007C5268"/>
    <w:rsid w:val="007C69D0"/>
    <w:rsid w:val="007D2192"/>
    <w:rsid w:val="007D3339"/>
    <w:rsid w:val="007D4408"/>
    <w:rsid w:val="007D74D5"/>
    <w:rsid w:val="007E6CDD"/>
    <w:rsid w:val="007F13AB"/>
    <w:rsid w:val="007F2FE9"/>
    <w:rsid w:val="007F5890"/>
    <w:rsid w:val="007F611F"/>
    <w:rsid w:val="007F65D7"/>
    <w:rsid w:val="007F7F38"/>
    <w:rsid w:val="008014DA"/>
    <w:rsid w:val="00802ECA"/>
    <w:rsid w:val="00804652"/>
    <w:rsid w:val="00810A93"/>
    <w:rsid w:val="00810C6C"/>
    <w:rsid w:val="0081370C"/>
    <w:rsid w:val="0081778B"/>
    <w:rsid w:val="0082036C"/>
    <w:rsid w:val="00821380"/>
    <w:rsid w:val="00824654"/>
    <w:rsid w:val="00824D18"/>
    <w:rsid w:val="0083179A"/>
    <w:rsid w:val="00831919"/>
    <w:rsid w:val="00831B7D"/>
    <w:rsid w:val="00842064"/>
    <w:rsid w:val="00842687"/>
    <w:rsid w:val="0084290C"/>
    <w:rsid w:val="00843BB8"/>
    <w:rsid w:val="0085202E"/>
    <w:rsid w:val="00856BE4"/>
    <w:rsid w:val="00865458"/>
    <w:rsid w:val="00866DDD"/>
    <w:rsid w:val="00867449"/>
    <w:rsid w:val="00871766"/>
    <w:rsid w:val="00872092"/>
    <w:rsid w:val="00872873"/>
    <w:rsid w:val="00872C3F"/>
    <w:rsid w:val="00874BB3"/>
    <w:rsid w:val="008753CF"/>
    <w:rsid w:val="008772B7"/>
    <w:rsid w:val="00880E20"/>
    <w:rsid w:val="008814CE"/>
    <w:rsid w:val="00881769"/>
    <w:rsid w:val="0088277B"/>
    <w:rsid w:val="00882E1D"/>
    <w:rsid w:val="008848B1"/>
    <w:rsid w:val="00885E0C"/>
    <w:rsid w:val="00895739"/>
    <w:rsid w:val="00895809"/>
    <w:rsid w:val="00895F80"/>
    <w:rsid w:val="008972B1"/>
    <w:rsid w:val="008974F3"/>
    <w:rsid w:val="008A26A0"/>
    <w:rsid w:val="008A3A39"/>
    <w:rsid w:val="008A3F07"/>
    <w:rsid w:val="008B26B4"/>
    <w:rsid w:val="008B352B"/>
    <w:rsid w:val="008B4539"/>
    <w:rsid w:val="008B45EB"/>
    <w:rsid w:val="008B5162"/>
    <w:rsid w:val="008C14E5"/>
    <w:rsid w:val="008C390B"/>
    <w:rsid w:val="008C42CD"/>
    <w:rsid w:val="008C525E"/>
    <w:rsid w:val="008C5675"/>
    <w:rsid w:val="008C6651"/>
    <w:rsid w:val="008D009F"/>
    <w:rsid w:val="008D1B69"/>
    <w:rsid w:val="008D4FB5"/>
    <w:rsid w:val="008E34FB"/>
    <w:rsid w:val="008E5B6C"/>
    <w:rsid w:val="008E6BA5"/>
    <w:rsid w:val="008F01FC"/>
    <w:rsid w:val="008F034B"/>
    <w:rsid w:val="008F0AAC"/>
    <w:rsid w:val="008F1B4D"/>
    <w:rsid w:val="008F2C02"/>
    <w:rsid w:val="008F2CFF"/>
    <w:rsid w:val="008F7EA7"/>
    <w:rsid w:val="00901841"/>
    <w:rsid w:val="00904E04"/>
    <w:rsid w:val="00910E6A"/>
    <w:rsid w:val="00911FF4"/>
    <w:rsid w:val="00914465"/>
    <w:rsid w:val="00915B47"/>
    <w:rsid w:val="0091784B"/>
    <w:rsid w:val="00920635"/>
    <w:rsid w:val="00920BE7"/>
    <w:rsid w:val="00921FC7"/>
    <w:rsid w:val="00927365"/>
    <w:rsid w:val="00930021"/>
    <w:rsid w:val="00935219"/>
    <w:rsid w:val="00940284"/>
    <w:rsid w:val="00941B66"/>
    <w:rsid w:val="00943336"/>
    <w:rsid w:val="00945854"/>
    <w:rsid w:val="00946C47"/>
    <w:rsid w:val="009522F7"/>
    <w:rsid w:val="00953475"/>
    <w:rsid w:val="00956547"/>
    <w:rsid w:val="00962A05"/>
    <w:rsid w:val="00965609"/>
    <w:rsid w:val="0096608A"/>
    <w:rsid w:val="0096799A"/>
    <w:rsid w:val="00967B91"/>
    <w:rsid w:val="00971AF5"/>
    <w:rsid w:val="0097409A"/>
    <w:rsid w:val="009743FC"/>
    <w:rsid w:val="00976BDF"/>
    <w:rsid w:val="00976C95"/>
    <w:rsid w:val="00977641"/>
    <w:rsid w:val="00977AE0"/>
    <w:rsid w:val="0098032F"/>
    <w:rsid w:val="00981706"/>
    <w:rsid w:val="0098288E"/>
    <w:rsid w:val="00983E80"/>
    <w:rsid w:val="00984145"/>
    <w:rsid w:val="009902A1"/>
    <w:rsid w:val="00991BD2"/>
    <w:rsid w:val="00993D91"/>
    <w:rsid w:val="00994AF6"/>
    <w:rsid w:val="00997139"/>
    <w:rsid w:val="009A1D96"/>
    <w:rsid w:val="009A6059"/>
    <w:rsid w:val="009A7442"/>
    <w:rsid w:val="009B0753"/>
    <w:rsid w:val="009B11D8"/>
    <w:rsid w:val="009B52EC"/>
    <w:rsid w:val="009B7F16"/>
    <w:rsid w:val="009C075D"/>
    <w:rsid w:val="009C3E62"/>
    <w:rsid w:val="009C5621"/>
    <w:rsid w:val="009C7F14"/>
    <w:rsid w:val="009D025D"/>
    <w:rsid w:val="009D1BFE"/>
    <w:rsid w:val="009D233E"/>
    <w:rsid w:val="009D31EC"/>
    <w:rsid w:val="009D6D23"/>
    <w:rsid w:val="009E408E"/>
    <w:rsid w:val="009E4572"/>
    <w:rsid w:val="009E7575"/>
    <w:rsid w:val="009F15E7"/>
    <w:rsid w:val="009F196F"/>
    <w:rsid w:val="009F274E"/>
    <w:rsid w:val="009F35CD"/>
    <w:rsid w:val="009F389F"/>
    <w:rsid w:val="00A00486"/>
    <w:rsid w:val="00A0080F"/>
    <w:rsid w:val="00A06149"/>
    <w:rsid w:val="00A0629B"/>
    <w:rsid w:val="00A10255"/>
    <w:rsid w:val="00A12517"/>
    <w:rsid w:val="00A12551"/>
    <w:rsid w:val="00A12BAB"/>
    <w:rsid w:val="00A13F0B"/>
    <w:rsid w:val="00A1678D"/>
    <w:rsid w:val="00A17001"/>
    <w:rsid w:val="00A176AA"/>
    <w:rsid w:val="00A201A3"/>
    <w:rsid w:val="00A2466A"/>
    <w:rsid w:val="00A24875"/>
    <w:rsid w:val="00A27372"/>
    <w:rsid w:val="00A303EB"/>
    <w:rsid w:val="00A31C14"/>
    <w:rsid w:val="00A31F0C"/>
    <w:rsid w:val="00A32483"/>
    <w:rsid w:val="00A33E4A"/>
    <w:rsid w:val="00A344ED"/>
    <w:rsid w:val="00A425AB"/>
    <w:rsid w:val="00A4481B"/>
    <w:rsid w:val="00A44A37"/>
    <w:rsid w:val="00A47FCD"/>
    <w:rsid w:val="00A52218"/>
    <w:rsid w:val="00A54E85"/>
    <w:rsid w:val="00A54FA6"/>
    <w:rsid w:val="00A55BAF"/>
    <w:rsid w:val="00A56E84"/>
    <w:rsid w:val="00A63543"/>
    <w:rsid w:val="00A6616D"/>
    <w:rsid w:val="00A66644"/>
    <w:rsid w:val="00A669E5"/>
    <w:rsid w:val="00A714B6"/>
    <w:rsid w:val="00A73BB9"/>
    <w:rsid w:val="00A74CD5"/>
    <w:rsid w:val="00A74D49"/>
    <w:rsid w:val="00A758B5"/>
    <w:rsid w:val="00A77239"/>
    <w:rsid w:val="00A77A0A"/>
    <w:rsid w:val="00A840D5"/>
    <w:rsid w:val="00A905B1"/>
    <w:rsid w:val="00A91E08"/>
    <w:rsid w:val="00A93515"/>
    <w:rsid w:val="00A94F3D"/>
    <w:rsid w:val="00A959F1"/>
    <w:rsid w:val="00A964DC"/>
    <w:rsid w:val="00A97129"/>
    <w:rsid w:val="00A97D53"/>
    <w:rsid w:val="00AA15B2"/>
    <w:rsid w:val="00AA2003"/>
    <w:rsid w:val="00AA3E59"/>
    <w:rsid w:val="00AA69D2"/>
    <w:rsid w:val="00AB1473"/>
    <w:rsid w:val="00AB3146"/>
    <w:rsid w:val="00AB6698"/>
    <w:rsid w:val="00AB6E9C"/>
    <w:rsid w:val="00AB7DB1"/>
    <w:rsid w:val="00AC3A00"/>
    <w:rsid w:val="00AC5B79"/>
    <w:rsid w:val="00AC62A5"/>
    <w:rsid w:val="00AC6DF8"/>
    <w:rsid w:val="00AD08F0"/>
    <w:rsid w:val="00AD1D8B"/>
    <w:rsid w:val="00AD30C6"/>
    <w:rsid w:val="00AD3963"/>
    <w:rsid w:val="00AD4DD9"/>
    <w:rsid w:val="00AD6B25"/>
    <w:rsid w:val="00AD7B18"/>
    <w:rsid w:val="00AF11EE"/>
    <w:rsid w:val="00AF254B"/>
    <w:rsid w:val="00AF3577"/>
    <w:rsid w:val="00B01460"/>
    <w:rsid w:val="00B0179B"/>
    <w:rsid w:val="00B022DB"/>
    <w:rsid w:val="00B045BF"/>
    <w:rsid w:val="00B077A8"/>
    <w:rsid w:val="00B133BB"/>
    <w:rsid w:val="00B14FED"/>
    <w:rsid w:val="00B15D9B"/>
    <w:rsid w:val="00B15EE3"/>
    <w:rsid w:val="00B2047D"/>
    <w:rsid w:val="00B22689"/>
    <w:rsid w:val="00B25BB3"/>
    <w:rsid w:val="00B26C09"/>
    <w:rsid w:val="00B27B61"/>
    <w:rsid w:val="00B3629E"/>
    <w:rsid w:val="00B37EEB"/>
    <w:rsid w:val="00B41663"/>
    <w:rsid w:val="00B44499"/>
    <w:rsid w:val="00B4722F"/>
    <w:rsid w:val="00B53CF6"/>
    <w:rsid w:val="00B5414F"/>
    <w:rsid w:val="00B57D96"/>
    <w:rsid w:val="00B60EBB"/>
    <w:rsid w:val="00B619C5"/>
    <w:rsid w:val="00B61A36"/>
    <w:rsid w:val="00B62C50"/>
    <w:rsid w:val="00B6594B"/>
    <w:rsid w:val="00B65DD4"/>
    <w:rsid w:val="00B6706E"/>
    <w:rsid w:val="00B70FF6"/>
    <w:rsid w:val="00B71EE8"/>
    <w:rsid w:val="00B77D91"/>
    <w:rsid w:val="00B807B3"/>
    <w:rsid w:val="00B807FC"/>
    <w:rsid w:val="00B812E5"/>
    <w:rsid w:val="00B834FC"/>
    <w:rsid w:val="00B83758"/>
    <w:rsid w:val="00B86C86"/>
    <w:rsid w:val="00B930BE"/>
    <w:rsid w:val="00B95B93"/>
    <w:rsid w:val="00B96FB6"/>
    <w:rsid w:val="00B970B4"/>
    <w:rsid w:val="00BA3EE9"/>
    <w:rsid w:val="00BA6FD6"/>
    <w:rsid w:val="00BB2BB5"/>
    <w:rsid w:val="00BB562E"/>
    <w:rsid w:val="00BB5E4C"/>
    <w:rsid w:val="00BB61E0"/>
    <w:rsid w:val="00BC1E2F"/>
    <w:rsid w:val="00BC2537"/>
    <w:rsid w:val="00BC40B8"/>
    <w:rsid w:val="00BD0CEC"/>
    <w:rsid w:val="00BD1331"/>
    <w:rsid w:val="00BD14D7"/>
    <w:rsid w:val="00BD2944"/>
    <w:rsid w:val="00BD36A0"/>
    <w:rsid w:val="00BD495A"/>
    <w:rsid w:val="00BE0588"/>
    <w:rsid w:val="00BE1BE1"/>
    <w:rsid w:val="00BE3533"/>
    <w:rsid w:val="00BE4E4B"/>
    <w:rsid w:val="00BE65D4"/>
    <w:rsid w:val="00BE7960"/>
    <w:rsid w:val="00BE7C3F"/>
    <w:rsid w:val="00BF1FC1"/>
    <w:rsid w:val="00BF4150"/>
    <w:rsid w:val="00C01F9F"/>
    <w:rsid w:val="00C02E1C"/>
    <w:rsid w:val="00C0604F"/>
    <w:rsid w:val="00C06706"/>
    <w:rsid w:val="00C11029"/>
    <w:rsid w:val="00C11181"/>
    <w:rsid w:val="00C12505"/>
    <w:rsid w:val="00C166DD"/>
    <w:rsid w:val="00C16F46"/>
    <w:rsid w:val="00C22606"/>
    <w:rsid w:val="00C238C5"/>
    <w:rsid w:val="00C247D4"/>
    <w:rsid w:val="00C303DB"/>
    <w:rsid w:val="00C308E0"/>
    <w:rsid w:val="00C31642"/>
    <w:rsid w:val="00C32131"/>
    <w:rsid w:val="00C33DDD"/>
    <w:rsid w:val="00C40209"/>
    <w:rsid w:val="00C41803"/>
    <w:rsid w:val="00C45FBA"/>
    <w:rsid w:val="00C473D1"/>
    <w:rsid w:val="00C50CBE"/>
    <w:rsid w:val="00C54EBE"/>
    <w:rsid w:val="00C566FF"/>
    <w:rsid w:val="00C57B80"/>
    <w:rsid w:val="00C61185"/>
    <w:rsid w:val="00C64BA5"/>
    <w:rsid w:val="00C651A2"/>
    <w:rsid w:val="00C679F5"/>
    <w:rsid w:val="00C75D9E"/>
    <w:rsid w:val="00C80B91"/>
    <w:rsid w:val="00C8288B"/>
    <w:rsid w:val="00C83CC8"/>
    <w:rsid w:val="00C84B50"/>
    <w:rsid w:val="00C85469"/>
    <w:rsid w:val="00C859F9"/>
    <w:rsid w:val="00C87432"/>
    <w:rsid w:val="00C92A7E"/>
    <w:rsid w:val="00C93DDE"/>
    <w:rsid w:val="00CA19DF"/>
    <w:rsid w:val="00CA4EB4"/>
    <w:rsid w:val="00CA63F9"/>
    <w:rsid w:val="00CA7DF7"/>
    <w:rsid w:val="00CB2B36"/>
    <w:rsid w:val="00CB2FB2"/>
    <w:rsid w:val="00CB35A5"/>
    <w:rsid w:val="00CB3CE8"/>
    <w:rsid w:val="00CB7946"/>
    <w:rsid w:val="00CB7A18"/>
    <w:rsid w:val="00CC60E7"/>
    <w:rsid w:val="00CC6FC3"/>
    <w:rsid w:val="00CC7487"/>
    <w:rsid w:val="00CD1E75"/>
    <w:rsid w:val="00CD34FC"/>
    <w:rsid w:val="00CD706B"/>
    <w:rsid w:val="00CE1EF8"/>
    <w:rsid w:val="00CE213B"/>
    <w:rsid w:val="00CE2AE1"/>
    <w:rsid w:val="00CF0AA6"/>
    <w:rsid w:val="00CF0E46"/>
    <w:rsid w:val="00CF1D2A"/>
    <w:rsid w:val="00CF59BB"/>
    <w:rsid w:val="00CF5A2C"/>
    <w:rsid w:val="00CF6633"/>
    <w:rsid w:val="00D00B7B"/>
    <w:rsid w:val="00D02817"/>
    <w:rsid w:val="00D031A5"/>
    <w:rsid w:val="00D076D0"/>
    <w:rsid w:val="00D134B7"/>
    <w:rsid w:val="00D13894"/>
    <w:rsid w:val="00D17052"/>
    <w:rsid w:val="00D17A41"/>
    <w:rsid w:val="00D20FAA"/>
    <w:rsid w:val="00D21D09"/>
    <w:rsid w:val="00D23948"/>
    <w:rsid w:val="00D27A28"/>
    <w:rsid w:val="00D30573"/>
    <w:rsid w:val="00D36A8C"/>
    <w:rsid w:val="00D428F4"/>
    <w:rsid w:val="00D42A56"/>
    <w:rsid w:val="00D43181"/>
    <w:rsid w:val="00D43DF0"/>
    <w:rsid w:val="00D44D7F"/>
    <w:rsid w:val="00D4536C"/>
    <w:rsid w:val="00D45C41"/>
    <w:rsid w:val="00D461DE"/>
    <w:rsid w:val="00D50DE5"/>
    <w:rsid w:val="00D54B27"/>
    <w:rsid w:val="00D54CC0"/>
    <w:rsid w:val="00D62796"/>
    <w:rsid w:val="00D63173"/>
    <w:rsid w:val="00D63DA8"/>
    <w:rsid w:val="00D67658"/>
    <w:rsid w:val="00D73A86"/>
    <w:rsid w:val="00D74BA3"/>
    <w:rsid w:val="00D804D2"/>
    <w:rsid w:val="00D81E2F"/>
    <w:rsid w:val="00D83060"/>
    <w:rsid w:val="00D84A2D"/>
    <w:rsid w:val="00D8749B"/>
    <w:rsid w:val="00D9138B"/>
    <w:rsid w:val="00DA1737"/>
    <w:rsid w:val="00DA4CF2"/>
    <w:rsid w:val="00DA7FE8"/>
    <w:rsid w:val="00DB11D4"/>
    <w:rsid w:val="00DB227F"/>
    <w:rsid w:val="00DB38FC"/>
    <w:rsid w:val="00DB61A6"/>
    <w:rsid w:val="00DC3AC1"/>
    <w:rsid w:val="00DC401A"/>
    <w:rsid w:val="00DC4D4D"/>
    <w:rsid w:val="00DC5105"/>
    <w:rsid w:val="00DD20D1"/>
    <w:rsid w:val="00DD242D"/>
    <w:rsid w:val="00DD51F8"/>
    <w:rsid w:val="00DD64C5"/>
    <w:rsid w:val="00DE14E2"/>
    <w:rsid w:val="00DE15AC"/>
    <w:rsid w:val="00DE2C36"/>
    <w:rsid w:val="00DE2F94"/>
    <w:rsid w:val="00DE3500"/>
    <w:rsid w:val="00DE4595"/>
    <w:rsid w:val="00DE6B35"/>
    <w:rsid w:val="00DE6C59"/>
    <w:rsid w:val="00DE70C2"/>
    <w:rsid w:val="00DF0675"/>
    <w:rsid w:val="00DF4FE6"/>
    <w:rsid w:val="00DF580D"/>
    <w:rsid w:val="00DF6FDA"/>
    <w:rsid w:val="00DF764B"/>
    <w:rsid w:val="00DF7E2B"/>
    <w:rsid w:val="00E05885"/>
    <w:rsid w:val="00E05CB1"/>
    <w:rsid w:val="00E10BFB"/>
    <w:rsid w:val="00E1249A"/>
    <w:rsid w:val="00E12880"/>
    <w:rsid w:val="00E14D9E"/>
    <w:rsid w:val="00E16DA6"/>
    <w:rsid w:val="00E21904"/>
    <w:rsid w:val="00E21E99"/>
    <w:rsid w:val="00E2228E"/>
    <w:rsid w:val="00E23E56"/>
    <w:rsid w:val="00E26A2B"/>
    <w:rsid w:val="00E30FFC"/>
    <w:rsid w:val="00E327A1"/>
    <w:rsid w:val="00E33EF0"/>
    <w:rsid w:val="00E370BF"/>
    <w:rsid w:val="00E37CB8"/>
    <w:rsid w:val="00E4016D"/>
    <w:rsid w:val="00E42243"/>
    <w:rsid w:val="00E510C4"/>
    <w:rsid w:val="00E530B7"/>
    <w:rsid w:val="00E54066"/>
    <w:rsid w:val="00E57168"/>
    <w:rsid w:val="00E611A2"/>
    <w:rsid w:val="00E61BAB"/>
    <w:rsid w:val="00E729CB"/>
    <w:rsid w:val="00E73C50"/>
    <w:rsid w:val="00E73EA6"/>
    <w:rsid w:val="00E75C22"/>
    <w:rsid w:val="00E777C8"/>
    <w:rsid w:val="00E77FC4"/>
    <w:rsid w:val="00E8011B"/>
    <w:rsid w:val="00E80544"/>
    <w:rsid w:val="00E81EE4"/>
    <w:rsid w:val="00E8250A"/>
    <w:rsid w:val="00E82DCD"/>
    <w:rsid w:val="00E83444"/>
    <w:rsid w:val="00E849E6"/>
    <w:rsid w:val="00E84DD9"/>
    <w:rsid w:val="00E870C1"/>
    <w:rsid w:val="00E909E6"/>
    <w:rsid w:val="00E90B70"/>
    <w:rsid w:val="00E924EC"/>
    <w:rsid w:val="00E93BB0"/>
    <w:rsid w:val="00EA27C3"/>
    <w:rsid w:val="00EA2BEE"/>
    <w:rsid w:val="00EA440F"/>
    <w:rsid w:val="00EA5F36"/>
    <w:rsid w:val="00EA74B3"/>
    <w:rsid w:val="00EA7A70"/>
    <w:rsid w:val="00EB15F9"/>
    <w:rsid w:val="00EB2AAE"/>
    <w:rsid w:val="00EB57CA"/>
    <w:rsid w:val="00EC07F6"/>
    <w:rsid w:val="00EC07FA"/>
    <w:rsid w:val="00EC1D7F"/>
    <w:rsid w:val="00EC5B03"/>
    <w:rsid w:val="00ED7B80"/>
    <w:rsid w:val="00EE087B"/>
    <w:rsid w:val="00EE0CC2"/>
    <w:rsid w:val="00EE18F8"/>
    <w:rsid w:val="00EE1DDC"/>
    <w:rsid w:val="00EE31D9"/>
    <w:rsid w:val="00EF0C53"/>
    <w:rsid w:val="00EF368A"/>
    <w:rsid w:val="00EF4FE0"/>
    <w:rsid w:val="00EF6F9D"/>
    <w:rsid w:val="00EF7495"/>
    <w:rsid w:val="00F038F0"/>
    <w:rsid w:val="00F04E2C"/>
    <w:rsid w:val="00F06CE8"/>
    <w:rsid w:val="00F0783D"/>
    <w:rsid w:val="00F1223A"/>
    <w:rsid w:val="00F12E5F"/>
    <w:rsid w:val="00F14E08"/>
    <w:rsid w:val="00F203B0"/>
    <w:rsid w:val="00F20CD7"/>
    <w:rsid w:val="00F210E9"/>
    <w:rsid w:val="00F2150A"/>
    <w:rsid w:val="00F22AF0"/>
    <w:rsid w:val="00F264C0"/>
    <w:rsid w:val="00F33929"/>
    <w:rsid w:val="00F35767"/>
    <w:rsid w:val="00F35BB4"/>
    <w:rsid w:val="00F42C1C"/>
    <w:rsid w:val="00F4744B"/>
    <w:rsid w:val="00F504FB"/>
    <w:rsid w:val="00F53D7B"/>
    <w:rsid w:val="00F55691"/>
    <w:rsid w:val="00F55B87"/>
    <w:rsid w:val="00F6361F"/>
    <w:rsid w:val="00F65724"/>
    <w:rsid w:val="00F65FE3"/>
    <w:rsid w:val="00F66561"/>
    <w:rsid w:val="00F66B56"/>
    <w:rsid w:val="00F71390"/>
    <w:rsid w:val="00F72F62"/>
    <w:rsid w:val="00F73E1F"/>
    <w:rsid w:val="00F75F73"/>
    <w:rsid w:val="00F77459"/>
    <w:rsid w:val="00F805A5"/>
    <w:rsid w:val="00F809EE"/>
    <w:rsid w:val="00F82484"/>
    <w:rsid w:val="00F82A3D"/>
    <w:rsid w:val="00F844E6"/>
    <w:rsid w:val="00F849DE"/>
    <w:rsid w:val="00F84BE4"/>
    <w:rsid w:val="00F865A3"/>
    <w:rsid w:val="00F909DB"/>
    <w:rsid w:val="00F92342"/>
    <w:rsid w:val="00F93104"/>
    <w:rsid w:val="00F9314E"/>
    <w:rsid w:val="00F9432D"/>
    <w:rsid w:val="00F9475F"/>
    <w:rsid w:val="00F951BA"/>
    <w:rsid w:val="00FA2531"/>
    <w:rsid w:val="00FA4C1B"/>
    <w:rsid w:val="00FA5355"/>
    <w:rsid w:val="00FA6946"/>
    <w:rsid w:val="00FB35B4"/>
    <w:rsid w:val="00FB4542"/>
    <w:rsid w:val="00FB6C2F"/>
    <w:rsid w:val="00FC0091"/>
    <w:rsid w:val="00FC10E9"/>
    <w:rsid w:val="00FC23CC"/>
    <w:rsid w:val="00FC4FF0"/>
    <w:rsid w:val="00FC57BC"/>
    <w:rsid w:val="00FC5D7E"/>
    <w:rsid w:val="00FC6812"/>
    <w:rsid w:val="00FD01DC"/>
    <w:rsid w:val="00FD01E1"/>
    <w:rsid w:val="00FD13B2"/>
    <w:rsid w:val="00FD4DFC"/>
    <w:rsid w:val="00FD6173"/>
    <w:rsid w:val="00FE0A40"/>
    <w:rsid w:val="00FE3132"/>
    <w:rsid w:val="00FE47F2"/>
    <w:rsid w:val="00FE64F7"/>
    <w:rsid w:val="00FE6C0D"/>
    <w:rsid w:val="00FF10DD"/>
    <w:rsid w:val="00FF3240"/>
    <w:rsid w:val="00FF3C70"/>
    <w:rsid w:val="00FF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89817EE"/>
  <w15:docId w15:val="{E74CE97A-50E6-4BCC-AC12-AFDA3263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FBF"/>
    <w:pPr>
      <w:spacing w:after="200" w:line="276" w:lineRule="auto"/>
    </w:pPr>
    <w:rPr>
      <w:rFonts w:ascii="Arial" w:eastAsia="Arial" w:hAnsi="Arial" w:cs="Arial"/>
      <w:lang w:eastAsia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31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4A2D"/>
    <w:pPr>
      <w:keepNext/>
      <w:keepLines/>
      <w:spacing w:after="100"/>
      <w:outlineLvl w:val="1"/>
    </w:pPr>
    <w:rPr>
      <w:rFonts w:ascii="Calibri" w:eastAsia="Calibri" w:hAnsi="Calibri" w:cs="Calibri"/>
      <w:b/>
      <w:smallCaps/>
      <w:color w:val="008B98"/>
      <w:sz w:val="18"/>
      <w:szCs w:val="1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A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414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84A2D"/>
    <w:rPr>
      <w:rFonts w:ascii="Calibri" w:eastAsia="Calibri" w:hAnsi="Calibri" w:cs="Calibri"/>
      <w:b/>
      <w:smallCaps/>
      <w:color w:val="008B98"/>
      <w:sz w:val="18"/>
      <w:szCs w:val="18"/>
      <w:lang w:eastAsia="pl-PL"/>
    </w:rPr>
  </w:style>
  <w:style w:type="paragraph" w:styleId="Footer">
    <w:name w:val="footer"/>
    <w:basedOn w:val="Normal"/>
    <w:link w:val="FooterChar"/>
    <w:uiPriority w:val="99"/>
    <w:unhideWhenUsed/>
    <w:rsid w:val="00D84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A2D"/>
    <w:rPr>
      <w:rFonts w:ascii="Arial" w:eastAsia="Arial" w:hAnsi="Arial" w:cs="Arial"/>
      <w:lang w:eastAsia="pl-PL"/>
    </w:rPr>
  </w:style>
  <w:style w:type="character" w:styleId="Hyperlink">
    <w:name w:val="Hyperlink"/>
    <w:basedOn w:val="DefaultParagraphFont"/>
    <w:unhideWhenUsed/>
    <w:qFormat/>
    <w:rsid w:val="00D84A2D"/>
    <w:rPr>
      <w:color w:val="4472C4" w:themeColor="accent1"/>
      <w:u w:val="single"/>
    </w:rPr>
  </w:style>
  <w:style w:type="table" w:styleId="TableGrid">
    <w:name w:val="Table Grid"/>
    <w:basedOn w:val="TableNormal"/>
    <w:uiPriority w:val="59"/>
    <w:rsid w:val="00D84A2D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Name">
    <w:name w:val="ContactName"/>
    <w:basedOn w:val="Heading3"/>
    <w:qFormat/>
    <w:rsid w:val="00D84A2D"/>
    <w:pPr>
      <w:spacing w:before="0" w:line="216" w:lineRule="atLeast"/>
    </w:pPr>
    <w:rPr>
      <w:rFonts w:ascii="Calibri" w:eastAsia="Times New Roman" w:hAnsi="Calibri" w:cs="Times New Roman"/>
      <w:b/>
      <w:bCs/>
      <w:color w:val="008B98"/>
      <w:sz w:val="18"/>
      <w:lang w:val="en-GB" w:eastAsia="en-GB"/>
    </w:rPr>
  </w:style>
  <w:style w:type="paragraph" w:customStyle="1" w:styleId="ContactDetail">
    <w:name w:val="ContactDetail"/>
    <w:basedOn w:val="Normal"/>
    <w:rsid w:val="00D84A2D"/>
    <w:pPr>
      <w:spacing w:after="0" w:line="216" w:lineRule="atLeast"/>
    </w:pPr>
    <w:rPr>
      <w:rFonts w:ascii="Calibri" w:eastAsia="Times New Roman" w:hAnsi="Calibri" w:cs="Times New Roman"/>
      <w:color w:val="000000"/>
      <w:sz w:val="18"/>
      <w:szCs w:val="24"/>
      <w:lang w:val="en-GB" w:eastAsia="en-GB"/>
    </w:rPr>
  </w:style>
  <w:style w:type="character" w:customStyle="1" w:styleId="Brak">
    <w:name w:val="Brak"/>
    <w:rsid w:val="00D84A2D"/>
  </w:style>
  <w:style w:type="character" w:customStyle="1" w:styleId="Hyperlink0">
    <w:name w:val="Hyperlink.0"/>
    <w:basedOn w:val="Brak"/>
    <w:rsid w:val="00D84A2D"/>
  </w:style>
  <w:style w:type="table" w:customStyle="1" w:styleId="PlainTable41">
    <w:name w:val="Plain Table 41"/>
    <w:basedOn w:val="TableNormal"/>
    <w:uiPriority w:val="44"/>
    <w:rsid w:val="00D84A2D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D84A2D"/>
    <w:pPr>
      <w:spacing w:after="0" w:line="240" w:lineRule="auto"/>
    </w:pPr>
    <w:rPr>
      <w:rFonts w:ascii="Calibri" w:eastAsia="Times New Roman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84A2D"/>
    <w:rPr>
      <w:rFonts w:ascii="Calibri" w:eastAsia="Times New Roman" w:hAnsi="Calibri" w:cs="Consolas"/>
      <w:szCs w:val="21"/>
      <w:lang w:eastAsia="pl-P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A2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CB2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2F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2FB2"/>
    <w:rPr>
      <w:rFonts w:ascii="Arial" w:eastAsia="Arial" w:hAnsi="Arial" w:cs="Arial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2FB2"/>
    <w:rPr>
      <w:rFonts w:ascii="Arial" w:eastAsia="Arial" w:hAnsi="Arial" w:cs="Arial"/>
      <w:b/>
      <w:bCs/>
      <w:sz w:val="20"/>
      <w:szCs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FB2"/>
    <w:rPr>
      <w:rFonts w:ascii="Segoe UI" w:eastAsia="Arial" w:hAnsi="Segoe UI" w:cs="Segoe UI"/>
      <w:sz w:val="18"/>
      <w:szCs w:val="18"/>
      <w:lang w:eastAsia="pl-PL"/>
    </w:rPr>
  </w:style>
  <w:style w:type="paragraph" w:styleId="Revision">
    <w:name w:val="Revision"/>
    <w:hidden/>
    <w:uiPriority w:val="99"/>
    <w:semiHidden/>
    <w:rsid w:val="005323BE"/>
    <w:pPr>
      <w:spacing w:after="0" w:line="240" w:lineRule="auto"/>
    </w:pPr>
    <w:rPr>
      <w:rFonts w:ascii="Arial" w:eastAsia="Arial" w:hAnsi="Arial" w:cs="Arial"/>
      <w:lang w:eastAsia="pl-P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76C9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76C95"/>
    <w:rPr>
      <w:rFonts w:ascii="Arial" w:eastAsia="Arial" w:hAnsi="Arial" w:cs="Arial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976C9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77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D91"/>
    <w:rPr>
      <w:rFonts w:ascii="Arial" w:eastAsia="Arial" w:hAnsi="Arial" w:cs="Arial"/>
      <w:lang w:eastAsia="pl-PL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B77D91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6B635B"/>
    <w:rPr>
      <w:color w:val="605E5C"/>
      <w:shd w:val="clear" w:color="auto" w:fill="E1DFDD"/>
    </w:rPr>
  </w:style>
  <w:style w:type="paragraph" w:customStyle="1" w:styleId="western">
    <w:name w:val="western"/>
    <w:basedOn w:val="Normal"/>
    <w:rsid w:val="00FE3132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Strong">
    <w:name w:val="Strong"/>
    <w:basedOn w:val="DefaultParagraphFont"/>
    <w:uiPriority w:val="22"/>
    <w:qFormat/>
    <w:rsid w:val="00FE313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E313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styleId="Emphasis">
    <w:name w:val="Emphasis"/>
    <w:basedOn w:val="DefaultParagraphFont"/>
    <w:uiPriority w:val="20"/>
    <w:qFormat/>
    <w:rsid w:val="00E909E6"/>
    <w:rPr>
      <w:i/>
      <w:iCs/>
    </w:rPr>
  </w:style>
  <w:style w:type="character" w:customStyle="1" w:styleId="cf01">
    <w:name w:val="cf01"/>
    <w:basedOn w:val="DefaultParagraphFont"/>
    <w:rsid w:val="00167436"/>
    <w:rPr>
      <w:rFonts w:ascii="Segoe UI" w:hAnsi="Segoe UI" w:cs="Segoe UI" w:hint="default"/>
      <w:sz w:val="18"/>
      <w:szCs w:val="18"/>
    </w:rPr>
  </w:style>
  <w:style w:type="character" w:customStyle="1" w:styleId="apple-converted-space">
    <w:name w:val="apple-converted-space"/>
    <w:basedOn w:val="DefaultParagraphFont"/>
    <w:rsid w:val="00775E16"/>
  </w:style>
  <w:style w:type="paragraph" w:styleId="ListParagraph">
    <w:name w:val="List Paragraph"/>
    <w:basedOn w:val="Normal"/>
    <w:uiPriority w:val="34"/>
    <w:qFormat/>
    <w:rsid w:val="00AF11EE"/>
    <w:pPr>
      <w:spacing w:after="0" w:line="240" w:lineRule="auto"/>
      <w:ind w:left="720"/>
    </w:pPr>
    <w:rPr>
      <w:rFonts w:ascii="Calibri" w:eastAsiaTheme="minorHAnsi" w:hAnsi="Calibri" w:cs="Calibri"/>
      <w:lang w:val="en-GB" w:eastAsia="en-GB"/>
      <w14:ligatures w14:val="standardContextual"/>
    </w:rPr>
  </w:style>
  <w:style w:type="paragraph" w:styleId="NormalWeb">
    <w:name w:val="Normal (Web)"/>
    <w:basedOn w:val="Normal"/>
    <w:uiPriority w:val="99"/>
    <w:unhideWhenUsed/>
    <w:rsid w:val="00AF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11E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11E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11EE"/>
    <w:rPr>
      <w:vertAlign w:val="superscript"/>
    </w:rPr>
  </w:style>
  <w:style w:type="character" w:customStyle="1" w:styleId="normaltextrun">
    <w:name w:val="normaltextrun"/>
    <w:basedOn w:val="DefaultParagraphFont"/>
    <w:rsid w:val="00C0604F"/>
  </w:style>
  <w:style w:type="character" w:customStyle="1" w:styleId="eop">
    <w:name w:val="eop"/>
    <w:basedOn w:val="DefaultParagraphFont"/>
    <w:rsid w:val="00C0604F"/>
  </w:style>
  <w:style w:type="paragraph" w:customStyle="1" w:styleId="pf0">
    <w:name w:val="pf0"/>
    <w:basedOn w:val="Normal"/>
    <w:rsid w:val="00A1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C62B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0FF6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414F"/>
    <w:rPr>
      <w:rFonts w:asciiTheme="majorHAnsi" w:eastAsiaTheme="majorEastAsia" w:hAnsiTheme="majorHAnsi" w:cstheme="majorBidi"/>
      <w:i/>
      <w:iCs/>
      <w:color w:val="2F5496" w:themeColor="accent1" w:themeShade="B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1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1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3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2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491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9595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6581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1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1578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8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5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2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31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2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5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8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ushmanwakefield.com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shwk.co/3YHYzu6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dia.poland@cushwake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irst.last@cushwak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6bc716-2ef2-42ff-a34e-e437c0f24fe9" xsi:nil="true"/>
    <lcf76f155ced4ddcb4097134ff3c332f xmlns="5927d1f9-8819-4dd8-877c-e9f8844f957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618526F10DA64CBE3916EAA4716759" ma:contentTypeVersion="13" ma:contentTypeDescription="Create a new document." ma:contentTypeScope="" ma:versionID="8f38994234cec2c17946699ec4ef8f31">
  <xsd:schema xmlns:xsd="http://www.w3.org/2001/XMLSchema" xmlns:xs="http://www.w3.org/2001/XMLSchema" xmlns:p="http://schemas.microsoft.com/office/2006/metadata/properties" xmlns:ns2="5927d1f9-8819-4dd8-877c-e9f8844f9576" xmlns:ns3="016bc716-2ef2-42ff-a34e-e437c0f24fe9" targetNamespace="http://schemas.microsoft.com/office/2006/metadata/properties" ma:root="true" ma:fieldsID="dc0dc1a018ddf67e9e3acf63985829fe" ns2:_="" ns3:_="">
    <xsd:import namespace="5927d1f9-8819-4dd8-877c-e9f8844f9576"/>
    <xsd:import namespace="016bc716-2ef2-42ff-a34e-e437c0f24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7d1f9-8819-4dd8-877c-e9f8844f9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a8603ae-3637-436a-adfc-4f3f468c95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bc716-2ef2-42ff-a34e-e437c0f24fe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cb88db-cc8f-49c6-a577-6708ad005284}" ma:internalName="TaxCatchAll" ma:showField="CatchAllData" ma:web="016bc716-2ef2-42ff-a34e-e437c0f24f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303DC5-36C3-4D01-A699-677E7E9556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22DD7A-76A6-40A8-8556-74F891675D7E}">
  <ds:schemaRefs>
    <ds:schemaRef ds:uri="http://schemas.microsoft.com/office/2006/metadata/properties"/>
    <ds:schemaRef ds:uri="http://schemas.microsoft.com/office/infopath/2007/PartnerControls"/>
    <ds:schemaRef ds:uri="016bc716-2ef2-42ff-a34e-e437c0f24fe9"/>
    <ds:schemaRef ds:uri="5927d1f9-8819-4dd8-877c-e9f8844f9576"/>
  </ds:schemaRefs>
</ds:datastoreItem>
</file>

<file path=customXml/itemProps3.xml><?xml version="1.0" encoding="utf-8"?>
<ds:datastoreItem xmlns:ds="http://schemas.openxmlformats.org/officeDocument/2006/customXml" ds:itemID="{ACEA6107-656D-4D01-9627-337AEBCBC0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7BC97A-3F98-4379-AC5E-E8A74E277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27d1f9-8819-4dd8-877c-e9f8844f9576"/>
    <ds:schemaRef ds:uri="016bc716-2ef2-42ff-a34e-e437c0f24f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977</Words>
  <Characters>5570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</dc:creator>
  <cp:lastModifiedBy>magdalena ossowska</cp:lastModifiedBy>
  <cp:revision>5</cp:revision>
  <dcterms:created xsi:type="dcterms:W3CDTF">2026-08-05T12:26:00Z</dcterms:created>
  <dcterms:modified xsi:type="dcterms:W3CDTF">2026-08-06T11:35:00Z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01c4386eb9a1dc9de2fec12738f87015bcc4ef4c8803dccae430c9e60e042de1</vt:lpwstr>
  </property>
  <property fmtid="{D5CDD505-2E9C-101B-9397-08002B2CF9AE}" pid="3" name="ContentTypeId">
    <vt:lpwstr>0x010100EC618526F10DA64CBE3916EAA4716759</vt:lpwstr>
  </property>
  <property fmtid="{D5CDD505-2E9C-101B-9397-08002B2CF9AE}" pid="4" name="MediaServiceImageTags">
    <vt:lpwstr/>
  </property>
</Properties>
</file>