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DCB83" w14:textId="77777777" w:rsidR="00F44E04" w:rsidRDefault="00F44E04">
      <w:pPr>
        <w:jc w:val="center"/>
        <w:rPr>
          <w:rFonts w:ascii="Arial" w:eastAsia="Arial" w:hAnsi="Arial" w:cs="Arial"/>
          <w:b/>
          <w:bCs/>
          <w:sz w:val="28"/>
          <w:szCs w:val="28"/>
        </w:rPr>
      </w:pPr>
    </w:p>
    <w:p w14:paraId="737DCB84" w14:textId="77777777" w:rsidR="00F44E04" w:rsidRDefault="00000000">
      <w:pPr>
        <w:jc w:val="right"/>
        <w:rPr>
          <w:rFonts w:ascii="Arial" w:eastAsia="Arial" w:hAnsi="Arial" w:cs="Arial"/>
          <w:i/>
          <w:iCs/>
          <w:sz w:val="20"/>
          <w:szCs w:val="20"/>
        </w:rPr>
      </w:pPr>
      <w:r>
        <w:rPr>
          <w:rFonts w:ascii="Arial" w:eastAsia="Arial" w:hAnsi="Arial" w:cs="Arial"/>
          <w:i/>
          <w:iCs/>
          <w:sz w:val="20"/>
          <w:szCs w:val="20"/>
        </w:rPr>
        <w:t>Warszawa, 6 sierpnia 2026 r.</w:t>
      </w:r>
    </w:p>
    <w:p w14:paraId="737DCB85" w14:textId="77777777" w:rsidR="00F44E04" w:rsidRDefault="00F44E04">
      <w:pPr>
        <w:jc w:val="center"/>
        <w:rPr>
          <w:rFonts w:ascii="Arial" w:eastAsia="Arial" w:hAnsi="Arial" w:cs="Arial"/>
          <w:b/>
          <w:bCs/>
          <w:sz w:val="28"/>
          <w:szCs w:val="28"/>
        </w:rPr>
      </w:pPr>
    </w:p>
    <w:p w14:paraId="737DCB86" w14:textId="77777777" w:rsidR="00F44E04" w:rsidRDefault="00000000">
      <w:pPr>
        <w:jc w:val="center"/>
        <w:rPr>
          <w:rFonts w:ascii="Arial" w:eastAsia="Arial" w:hAnsi="Arial" w:cs="Arial"/>
          <w:b/>
          <w:bCs/>
          <w:sz w:val="28"/>
          <w:szCs w:val="28"/>
        </w:rPr>
      </w:pPr>
      <w:proofErr w:type="spellStart"/>
      <w:r>
        <w:rPr>
          <w:rFonts w:ascii="Arial" w:eastAsia="Arial" w:hAnsi="Arial" w:cs="Arial"/>
          <w:b/>
          <w:bCs/>
          <w:sz w:val="28"/>
          <w:szCs w:val="28"/>
        </w:rPr>
        <w:t>Future</w:t>
      </w:r>
      <w:proofErr w:type="spellEnd"/>
      <w:r>
        <w:rPr>
          <w:rFonts w:ascii="Arial" w:eastAsia="Arial" w:hAnsi="Arial" w:cs="Arial"/>
          <w:b/>
          <w:bCs/>
          <w:sz w:val="28"/>
          <w:szCs w:val="28"/>
        </w:rPr>
        <w:t xml:space="preserve"> </w:t>
      </w:r>
      <w:proofErr w:type="spellStart"/>
      <w:r>
        <w:rPr>
          <w:rFonts w:ascii="Arial" w:eastAsia="Arial" w:hAnsi="Arial" w:cs="Arial"/>
          <w:b/>
          <w:bCs/>
          <w:sz w:val="28"/>
          <w:szCs w:val="28"/>
        </w:rPr>
        <w:t>Mind</w:t>
      </w:r>
      <w:proofErr w:type="spellEnd"/>
      <w:r>
        <w:rPr>
          <w:rFonts w:ascii="Arial" w:eastAsia="Arial" w:hAnsi="Arial" w:cs="Arial"/>
          <w:b/>
          <w:bCs/>
          <w:sz w:val="28"/>
          <w:szCs w:val="28"/>
        </w:rPr>
        <w:t xml:space="preserve">: </w:t>
      </w:r>
      <w:proofErr w:type="spellStart"/>
      <w:r>
        <w:rPr>
          <w:rFonts w:ascii="Arial" w:eastAsia="Arial" w:hAnsi="Arial" w:cs="Arial"/>
          <w:b/>
          <w:bCs/>
          <w:sz w:val="28"/>
          <w:szCs w:val="28"/>
        </w:rPr>
        <w:t>TpayGO</w:t>
      </w:r>
      <w:proofErr w:type="spellEnd"/>
      <w:r>
        <w:rPr>
          <w:rFonts w:ascii="Arial" w:eastAsia="Arial" w:hAnsi="Arial" w:cs="Arial"/>
          <w:b/>
          <w:bCs/>
          <w:sz w:val="28"/>
          <w:szCs w:val="28"/>
        </w:rPr>
        <w:t xml:space="preserve"> przenosi wygodę e-commerce do sprzedaży stacjonarnej</w:t>
      </w:r>
    </w:p>
    <w:p w14:paraId="737DCB87" w14:textId="3BADAFBB" w:rsidR="00F44E04" w:rsidRDefault="00000000">
      <w:pPr>
        <w:jc w:val="both"/>
        <w:rPr>
          <w:rFonts w:ascii="Arial" w:eastAsia="Arial" w:hAnsi="Arial" w:cs="Arial"/>
          <w:b/>
          <w:bCs/>
          <w:sz w:val="22"/>
          <w:szCs w:val="22"/>
        </w:rPr>
      </w:pPr>
      <w:proofErr w:type="spellStart"/>
      <w:r>
        <w:rPr>
          <w:rFonts w:ascii="Arial" w:eastAsia="Arial" w:hAnsi="Arial" w:cs="Arial"/>
          <w:b/>
          <w:bCs/>
          <w:sz w:val="22"/>
          <w:szCs w:val="22"/>
        </w:rPr>
        <w:t>Tpay</w:t>
      </w:r>
      <w:proofErr w:type="spellEnd"/>
      <w:r>
        <w:rPr>
          <w:rFonts w:ascii="Arial" w:eastAsia="Arial" w:hAnsi="Arial" w:cs="Arial"/>
          <w:b/>
          <w:bCs/>
          <w:sz w:val="22"/>
          <w:szCs w:val="22"/>
        </w:rPr>
        <w:t xml:space="preserve">, jeden z czołowych operatorów płatności online w Polsce, rozwija aplikację mobilną stworzoną we współpracy z firmą doradczo-technologiczną </w:t>
      </w:r>
      <w:proofErr w:type="spellStart"/>
      <w:r>
        <w:rPr>
          <w:rFonts w:ascii="Arial" w:eastAsia="Arial" w:hAnsi="Arial" w:cs="Arial"/>
          <w:b/>
          <w:bCs/>
          <w:sz w:val="22"/>
          <w:szCs w:val="22"/>
        </w:rPr>
        <w:t>Future</w:t>
      </w:r>
      <w:proofErr w:type="spellEnd"/>
      <w:r>
        <w:rPr>
          <w:rFonts w:ascii="Arial" w:eastAsia="Arial" w:hAnsi="Arial" w:cs="Arial"/>
          <w:b/>
          <w:bCs/>
          <w:sz w:val="22"/>
          <w:szCs w:val="22"/>
        </w:rPr>
        <w:t xml:space="preserve"> </w:t>
      </w:r>
      <w:proofErr w:type="spellStart"/>
      <w:r>
        <w:rPr>
          <w:rFonts w:ascii="Arial" w:eastAsia="Arial" w:hAnsi="Arial" w:cs="Arial"/>
          <w:b/>
          <w:bCs/>
          <w:sz w:val="22"/>
          <w:szCs w:val="22"/>
        </w:rPr>
        <w:t>Mind</w:t>
      </w:r>
      <w:proofErr w:type="spellEnd"/>
      <w:r>
        <w:rPr>
          <w:rFonts w:ascii="Arial" w:eastAsia="Arial" w:hAnsi="Arial" w:cs="Arial"/>
          <w:b/>
          <w:bCs/>
          <w:sz w:val="22"/>
          <w:szCs w:val="22"/>
        </w:rPr>
        <w:t xml:space="preserve">. Nowe rozwiązanie </w:t>
      </w:r>
      <w:proofErr w:type="spellStart"/>
      <w:r>
        <w:rPr>
          <w:rFonts w:ascii="Arial" w:eastAsia="Arial" w:hAnsi="Arial" w:cs="Arial"/>
          <w:b/>
          <w:bCs/>
          <w:sz w:val="22"/>
          <w:szCs w:val="22"/>
        </w:rPr>
        <w:t>TpayGO</w:t>
      </w:r>
      <w:proofErr w:type="spellEnd"/>
      <w:r>
        <w:rPr>
          <w:rFonts w:ascii="Arial" w:eastAsia="Arial" w:hAnsi="Arial" w:cs="Arial"/>
          <w:b/>
          <w:bCs/>
          <w:sz w:val="22"/>
          <w:szCs w:val="22"/>
        </w:rPr>
        <w:t xml:space="preserve"> pozwala sprzedawcom przyjmować płatności bez tradycyjnego terminalu. Wystarczy wykorzystać smartfon i specjalny kod QR. To kolejny etap budowy mobilnego ekosystemu </w:t>
      </w:r>
      <w:proofErr w:type="spellStart"/>
      <w:r>
        <w:rPr>
          <w:rFonts w:ascii="Arial" w:eastAsia="Arial" w:hAnsi="Arial" w:cs="Arial"/>
          <w:b/>
          <w:bCs/>
          <w:sz w:val="22"/>
          <w:szCs w:val="22"/>
        </w:rPr>
        <w:t>Tpay</w:t>
      </w:r>
      <w:proofErr w:type="spellEnd"/>
      <w:r>
        <w:rPr>
          <w:rFonts w:ascii="Arial" w:eastAsia="Arial" w:hAnsi="Arial" w:cs="Arial"/>
          <w:b/>
          <w:bCs/>
          <w:sz w:val="22"/>
          <w:szCs w:val="22"/>
        </w:rPr>
        <w:t xml:space="preserve">, który łączy zarządzanie płatnościami online z obsługą transakcji w stacjonarnych punktach sprzedaży i odpowiada na potrzeby przedsiębiorców działających w modelu </w:t>
      </w:r>
      <w:proofErr w:type="spellStart"/>
      <w:r>
        <w:rPr>
          <w:rFonts w:ascii="Arial" w:eastAsia="Arial" w:hAnsi="Arial" w:cs="Arial"/>
          <w:b/>
          <w:bCs/>
          <w:sz w:val="22"/>
          <w:szCs w:val="22"/>
        </w:rPr>
        <w:t>omnichannel</w:t>
      </w:r>
      <w:proofErr w:type="spellEnd"/>
      <w:r>
        <w:rPr>
          <w:rFonts w:ascii="Arial" w:eastAsia="Arial" w:hAnsi="Arial" w:cs="Arial"/>
          <w:b/>
          <w:bCs/>
          <w:sz w:val="22"/>
          <w:szCs w:val="22"/>
        </w:rPr>
        <w:t>.</w:t>
      </w:r>
    </w:p>
    <w:p w14:paraId="737DCB88" w14:textId="77777777" w:rsidR="00F44E04" w:rsidRDefault="00000000">
      <w:pPr>
        <w:jc w:val="both"/>
        <w:rPr>
          <w:rFonts w:ascii="Arial" w:eastAsia="Arial" w:hAnsi="Arial" w:cs="Arial"/>
          <w:b/>
          <w:bCs/>
          <w:sz w:val="22"/>
          <w:szCs w:val="22"/>
        </w:rPr>
      </w:pPr>
      <w:r>
        <w:rPr>
          <w:rFonts w:ascii="Arial" w:eastAsia="Arial" w:hAnsi="Arial" w:cs="Arial"/>
          <w:b/>
          <w:bCs/>
          <w:sz w:val="22"/>
          <w:szCs w:val="22"/>
        </w:rPr>
        <w:t>Od zarządzania płatnościami do przyjmowania ich w dowolnym miejscu</w:t>
      </w:r>
    </w:p>
    <w:p w14:paraId="737DCB89" w14:textId="77777777" w:rsidR="00F44E04" w:rsidRDefault="00000000">
      <w:pPr>
        <w:jc w:val="both"/>
        <w:rPr>
          <w:rFonts w:ascii="Arial" w:eastAsia="Arial" w:hAnsi="Arial" w:cs="Arial"/>
          <w:sz w:val="22"/>
          <w:szCs w:val="22"/>
        </w:rPr>
      </w:pPr>
      <w:r>
        <w:rPr>
          <w:rFonts w:ascii="Arial" w:eastAsia="Arial" w:hAnsi="Arial" w:cs="Arial"/>
          <w:sz w:val="22"/>
          <w:szCs w:val="22"/>
        </w:rPr>
        <w:t xml:space="preserve">Jeszcze niedawno </w:t>
      </w:r>
      <w:proofErr w:type="spellStart"/>
      <w:r>
        <w:rPr>
          <w:rFonts w:ascii="Arial" w:eastAsia="Arial" w:hAnsi="Arial" w:cs="Arial"/>
          <w:sz w:val="22"/>
          <w:szCs w:val="22"/>
        </w:rPr>
        <w:t>Tpay</w:t>
      </w:r>
      <w:proofErr w:type="spellEnd"/>
      <w:r>
        <w:rPr>
          <w:rFonts w:ascii="Arial" w:eastAsia="Arial" w:hAnsi="Arial" w:cs="Arial"/>
          <w:sz w:val="22"/>
          <w:szCs w:val="22"/>
        </w:rPr>
        <w:t xml:space="preserve"> i </w:t>
      </w:r>
      <w:proofErr w:type="spellStart"/>
      <w:r>
        <w:rPr>
          <w:rFonts w:ascii="Arial" w:eastAsia="Arial" w:hAnsi="Arial" w:cs="Arial"/>
          <w:sz w:val="22"/>
          <w:szCs w:val="22"/>
        </w:rPr>
        <w:t>Future</w:t>
      </w:r>
      <w:proofErr w:type="spellEnd"/>
      <w:r>
        <w:rPr>
          <w:rFonts w:ascii="Arial" w:eastAsia="Arial" w:hAnsi="Arial" w:cs="Arial"/>
          <w:sz w:val="22"/>
          <w:szCs w:val="22"/>
        </w:rPr>
        <w:t xml:space="preserve"> </w:t>
      </w:r>
      <w:proofErr w:type="spellStart"/>
      <w:r>
        <w:rPr>
          <w:rFonts w:ascii="Arial" w:eastAsia="Arial" w:hAnsi="Arial" w:cs="Arial"/>
          <w:sz w:val="22"/>
          <w:szCs w:val="22"/>
        </w:rPr>
        <w:t>Mind</w:t>
      </w:r>
      <w:proofErr w:type="spellEnd"/>
      <w:r>
        <w:rPr>
          <w:rFonts w:ascii="Arial" w:eastAsia="Arial" w:hAnsi="Arial" w:cs="Arial"/>
          <w:sz w:val="22"/>
          <w:szCs w:val="22"/>
        </w:rPr>
        <w:t xml:space="preserve"> zaprezentowały aplikację mobilną </w:t>
      </w:r>
      <w:proofErr w:type="spellStart"/>
      <w:r>
        <w:rPr>
          <w:rFonts w:ascii="Arial" w:eastAsia="Arial" w:hAnsi="Arial" w:cs="Arial"/>
          <w:sz w:val="22"/>
          <w:szCs w:val="22"/>
        </w:rPr>
        <w:t>Tpay</w:t>
      </w:r>
      <w:proofErr w:type="spellEnd"/>
      <w:r>
        <w:rPr>
          <w:rFonts w:ascii="Arial" w:eastAsia="Arial" w:hAnsi="Arial" w:cs="Arial"/>
          <w:sz w:val="22"/>
          <w:szCs w:val="22"/>
        </w:rPr>
        <w:t xml:space="preserve">, która umożliwia sprzedawcom zarządzanie płatnościami z dowolnego miejsca i o każdej porze. Rozwiązanie powstało jako odpowiedź na potrzeby przedsiębiorców, którzy oczekują stałego dostępu do danych, możliwości monitorowania transakcji, zarządzania saldem, zlecania zwrotów czy generowania linków do płatności poza środowiskiem sklepu internetowego. Aplikację zaprojektował i wdrożył </w:t>
      </w:r>
      <w:proofErr w:type="spellStart"/>
      <w:r>
        <w:rPr>
          <w:rFonts w:ascii="Arial" w:eastAsia="Arial" w:hAnsi="Arial" w:cs="Arial"/>
          <w:sz w:val="22"/>
          <w:szCs w:val="22"/>
        </w:rPr>
        <w:t>Future</w:t>
      </w:r>
      <w:proofErr w:type="spellEnd"/>
      <w:r>
        <w:rPr>
          <w:rFonts w:ascii="Arial" w:eastAsia="Arial" w:hAnsi="Arial" w:cs="Arial"/>
          <w:sz w:val="22"/>
          <w:szCs w:val="22"/>
        </w:rPr>
        <w:t xml:space="preserve"> </w:t>
      </w:r>
      <w:proofErr w:type="spellStart"/>
      <w:r>
        <w:rPr>
          <w:rFonts w:ascii="Arial" w:eastAsia="Arial" w:hAnsi="Arial" w:cs="Arial"/>
          <w:sz w:val="22"/>
          <w:szCs w:val="22"/>
        </w:rPr>
        <w:t>Mind</w:t>
      </w:r>
      <w:proofErr w:type="spellEnd"/>
      <w:r>
        <w:rPr>
          <w:rFonts w:ascii="Arial" w:eastAsia="Arial" w:hAnsi="Arial" w:cs="Arial"/>
          <w:sz w:val="22"/>
          <w:szCs w:val="22"/>
        </w:rPr>
        <w:t xml:space="preserve"> na systemy iOS oraz Android, z myślą o bezpiecznym i elastycznym rozwoju produktu. </w:t>
      </w:r>
    </w:p>
    <w:p w14:paraId="737DCB8A" w14:textId="15A922FB" w:rsidR="00F44E04" w:rsidRDefault="00000000">
      <w:pPr>
        <w:jc w:val="both"/>
        <w:rPr>
          <w:rFonts w:ascii="Arial" w:eastAsia="Arial" w:hAnsi="Arial" w:cs="Arial"/>
          <w:sz w:val="22"/>
          <w:szCs w:val="22"/>
        </w:rPr>
      </w:pPr>
      <w:r>
        <w:rPr>
          <w:rFonts w:ascii="Arial" w:eastAsia="Arial" w:hAnsi="Arial" w:cs="Arial"/>
          <w:sz w:val="22"/>
          <w:szCs w:val="22"/>
        </w:rPr>
        <w:t xml:space="preserve">Szybko przyszedł czas na </w:t>
      </w:r>
      <w:proofErr w:type="spellStart"/>
      <w:r>
        <w:rPr>
          <w:rFonts w:ascii="Arial" w:eastAsia="Arial" w:hAnsi="Arial" w:cs="Arial"/>
          <w:sz w:val="22"/>
          <w:szCs w:val="22"/>
        </w:rPr>
        <w:t>TpayGO</w:t>
      </w:r>
      <w:proofErr w:type="spellEnd"/>
      <w:r>
        <w:rPr>
          <w:rFonts w:ascii="Arial" w:eastAsia="Arial" w:hAnsi="Arial" w:cs="Arial"/>
          <w:sz w:val="22"/>
          <w:szCs w:val="22"/>
        </w:rPr>
        <w:t xml:space="preserve"> - naturalną kontynuację tej strategii. To nowa funkcjonalność dostępna w aplikacji </w:t>
      </w:r>
      <w:proofErr w:type="spellStart"/>
      <w:r>
        <w:rPr>
          <w:rFonts w:ascii="Arial" w:eastAsia="Arial" w:hAnsi="Arial" w:cs="Arial"/>
          <w:sz w:val="22"/>
          <w:szCs w:val="22"/>
        </w:rPr>
        <w:t>Tpay</w:t>
      </w:r>
      <w:proofErr w:type="spellEnd"/>
      <w:r>
        <w:rPr>
          <w:rFonts w:ascii="Arial" w:eastAsia="Arial" w:hAnsi="Arial" w:cs="Arial"/>
          <w:sz w:val="22"/>
          <w:szCs w:val="22"/>
        </w:rPr>
        <w:t xml:space="preserve">, która rozszerza jej zastosowanie poza e-commerce i umożliwia przyjmowanie płatności w naziemnych punktach sprzedaży, podczas spotkań z klientami, wydarzeń branżowych czy w każdym innym miejscu, w którym sprzedawca prowadzi działalność. Zamiast tradycyjnego terminalu wystarczy smartfon, na którym generowany jest kod QR prowadzący do płatności. Klient skanuje go swoim telefonem, wybiera preferowaną metodę płatności </w:t>
      </w:r>
      <w:r w:rsidR="00881ACD">
        <w:rPr>
          <w:rFonts w:ascii="Arial" w:eastAsia="Arial" w:hAnsi="Arial" w:cs="Arial"/>
          <w:sz w:val="22"/>
          <w:szCs w:val="22"/>
        </w:rPr>
        <w:t>-</w:t>
      </w:r>
      <w:r>
        <w:rPr>
          <w:rFonts w:ascii="Arial" w:eastAsia="Arial" w:hAnsi="Arial" w:cs="Arial"/>
          <w:sz w:val="22"/>
          <w:szCs w:val="22"/>
        </w:rPr>
        <w:t xml:space="preserve"> podobnie jak w sklepie internetowym </w:t>
      </w:r>
      <w:r w:rsidR="00881ACD">
        <w:rPr>
          <w:rFonts w:ascii="Arial" w:eastAsia="Arial" w:hAnsi="Arial" w:cs="Arial"/>
          <w:sz w:val="22"/>
          <w:szCs w:val="22"/>
        </w:rPr>
        <w:t>-</w:t>
      </w:r>
      <w:r>
        <w:rPr>
          <w:rFonts w:ascii="Arial" w:eastAsia="Arial" w:hAnsi="Arial" w:cs="Arial"/>
          <w:sz w:val="22"/>
          <w:szCs w:val="22"/>
        </w:rPr>
        <w:t xml:space="preserve"> i finalizuje transakcję. </w:t>
      </w:r>
    </w:p>
    <w:p w14:paraId="737DCB8B" w14:textId="77777777" w:rsidR="00F44E04" w:rsidRDefault="00000000">
      <w:pPr>
        <w:jc w:val="both"/>
        <w:rPr>
          <w:rFonts w:ascii="Arial" w:eastAsia="Arial" w:hAnsi="Arial" w:cs="Arial"/>
          <w:b/>
          <w:bCs/>
          <w:sz w:val="22"/>
          <w:szCs w:val="22"/>
        </w:rPr>
      </w:pPr>
      <w:r>
        <w:rPr>
          <w:rFonts w:ascii="Arial" w:eastAsia="Arial" w:hAnsi="Arial" w:cs="Arial"/>
          <w:b/>
          <w:bCs/>
          <w:sz w:val="22"/>
          <w:szCs w:val="22"/>
        </w:rPr>
        <w:t>Płatności stacjonarne w standardzie znanym z e-commerce</w:t>
      </w:r>
    </w:p>
    <w:p w14:paraId="737DCB8C" w14:textId="77777777" w:rsidR="00F44E04" w:rsidRDefault="00000000">
      <w:pPr>
        <w:jc w:val="both"/>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i/>
          <w:iCs/>
          <w:sz w:val="22"/>
          <w:szCs w:val="22"/>
        </w:rPr>
        <w:t xml:space="preserve">Klienci coraz częściej oczekują takiej samej wygody płatności niezależnie od tego, czy kupują online, w aplikacji mobilnej, czy w punkcie stacjonarnym. Sprzedawcy natomiast potrzebują narzędzi, które nie tylko obsłużą transakcję, ale będą wspierać efektywność sprzedaży i zapewnią dostęp do metod płatności znanych z e-commerce </w:t>
      </w:r>
      <w:r>
        <w:rPr>
          <w:rFonts w:ascii="Arial" w:eastAsia="Arial" w:hAnsi="Arial" w:cs="Arial"/>
          <w:sz w:val="22"/>
          <w:szCs w:val="22"/>
        </w:rPr>
        <w:t xml:space="preserve">– mówi </w:t>
      </w:r>
      <w:r>
        <w:rPr>
          <w:rFonts w:ascii="Arial" w:eastAsia="Arial" w:hAnsi="Arial" w:cs="Arial"/>
          <w:b/>
          <w:bCs/>
          <w:sz w:val="22"/>
          <w:szCs w:val="22"/>
        </w:rPr>
        <w:t xml:space="preserve">Klaudia Krajewska, Product Manager w </w:t>
      </w:r>
      <w:proofErr w:type="spellStart"/>
      <w:r>
        <w:rPr>
          <w:rFonts w:ascii="Arial" w:eastAsia="Arial" w:hAnsi="Arial" w:cs="Arial"/>
          <w:b/>
          <w:bCs/>
          <w:sz w:val="22"/>
          <w:szCs w:val="22"/>
        </w:rPr>
        <w:t>Tpay</w:t>
      </w:r>
      <w:proofErr w:type="spellEnd"/>
      <w:r>
        <w:rPr>
          <w:rFonts w:ascii="Arial" w:eastAsia="Arial" w:hAnsi="Arial" w:cs="Arial"/>
          <w:b/>
          <w:bCs/>
          <w:sz w:val="22"/>
          <w:szCs w:val="22"/>
        </w:rPr>
        <w:t>.</w:t>
      </w:r>
    </w:p>
    <w:p w14:paraId="737DCB8D" w14:textId="77777777" w:rsidR="00F44E04" w:rsidRDefault="00000000">
      <w:pPr>
        <w:jc w:val="both"/>
        <w:rPr>
          <w:rFonts w:ascii="Arial" w:eastAsia="Arial" w:hAnsi="Arial" w:cs="Arial"/>
          <w:sz w:val="22"/>
          <w:szCs w:val="22"/>
        </w:rPr>
      </w:pPr>
      <w:r>
        <w:rPr>
          <w:rFonts w:ascii="Arial" w:eastAsia="Arial" w:hAnsi="Arial" w:cs="Arial"/>
          <w:sz w:val="22"/>
          <w:szCs w:val="22"/>
        </w:rPr>
        <w:t xml:space="preserve">Rozwiązanie stworzone przez </w:t>
      </w:r>
      <w:proofErr w:type="spellStart"/>
      <w:r>
        <w:rPr>
          <w:rFonts w:ascii="Arial" w:eastAsia="Arial" w:hAnsi="Arial" w:cs="Arial"/>
          <w:sz w:val="22"/>
          <w:szCs w:val="22"/>
        </w:rPr>
        <w:t>Tpay</w:t>
      </w:r>
      <w:proofErr w:type="spellEnd"/>
      <w:r>
        <w:rPr>
          <w:rFonts w:ascii="Arial" w:eastAsia="Arial" w:hAnsi="Arial" w:cs="Arial"/>
          <w:sz w:val="22"/>
          <w:szCs w:val="22"/>
        </w:rPr>
        <w:t xml:space="preserve"> oraz </w:t>
      </w:r>
      <w:proofErr w:type="spellStart"/>
      <w:r>
        <w:rPr>
          <w:rFonts w:ascii="Arial" w:eastAsia="Arial" w:hAnsi="Arial" w:cs="Arial"/>
          <w:sz w:val="22"/>
          <w:szCs w:val="22"/>
        </w:rPr>
        <w:t>Future</w:t>
      </w:r>
      <w:proofErr w:type="spellEnd"/>
      <w:r>
        <w:rPr>
          <w:rFonts w:ascii="Arial" w:eastAsia="Arial" w:hAnsi="Arial" w:cs="Arial"/>
          <w:sz w:val="22"/>
          <w:szCs w:val="22"/>
        </w:rPr>
        <w:t xml:space="preserve"> </w:t>
      </w:r>
      <w:proofErr w:type="spellStart"/>
      <w:r>
        <w:rPr>
          <w:rFonts w:ascii="Arial" w:eastAsia="Arial" w:hAnsi="Arial" w:cs="Arial"/>
          <w:sz w:val="22"/>
          <w:szCs w:val="22"/>
        </w:rPr>
        <w:t>Mind</w:t>
      </w:r>
      <w:proofErr w:type="spellEnd"/>
      <w:r>
        <w:rPr>
          <w:rFonts w:ascii="Arial" w:eastAsia="Arial" w:hAnsi="Arial" w:cs="Arial"/>
          <w:sz w:val="22"/>
          <w:szCs w:val="22"/>
        </w:rPr>
        <w:t xml:space="preserve"> umożliwia korzystanie z metod, które nie są powszechnie dostępne w tradycyjnych terminalach, takich jak płatności odroczone czy raty. Klient może wybrać m.in. BLIKA, Apple </w:t>
      </w:r>
      <w:proofErr w:type="spellStart"/>
      <w:r>
        <w:rPr>
          <w:rFonts w:ascii="Arial" w:eastAsia="Arial" w:hAnsi="Arial" w:cs="Arial"/>
          <w:sz w:val="22"/>
          <w:szCs w:val="22"/>
        </w:rPr>
        <w:t>Pay</w:t>
      </w:r>
      <w:proofErr w:type="spellEnd"/>
      <w:r>
        <w:rPr>
          <w:rFonts w:ascii="Arial" w:eastAsia="Arial" w:hAnsi="Arial" w:cs="Arial"/>
          <w:sz w:val="22"/>
          <w:szCs w:val="22"/>
        </w:rPr>
        <w:t xml:space="preserve">, Google </w:t>
      </w:r>
      <w:proofErr w:type="spellStart"/>
      <w:r>
        <w:rPr>
          <w:rFonts w:ascii="Arial" w:eastAsia="Arial" w:hAnsi="Arial" w:cs="Arial"/>
          <w:sz w:val="22"/>
          <w:szCs w:val="22"/>
        </w:rPr>
        <w:t>Pay</w:t>
      </w:r>
      <w:proofErr w:type="spellEnd"/>
      <w:r>
        <w:rPr>
          <w:rFonts w:ascii="Arial" w:eastAsia="Arial" w:hAnsi="Arial" w:cs="Arial"/>
          <w:sz w:val="22"/>
          <w:szCs w:val="22"/>
        </w:rPr>
        <w:t xml:space="preserve">, a także przejść do panelu transakcyjnego i skorzystać z metod aktywowanych przez sprzedawcę, takich jak </w:t>
      </w:r>
      <w:proofErr w:type="spellStart"/>
      <w:r>
        <w:rPr>
          <w:rFonts w:ascii="Arial" w:eastAsia="Arial" w:hAnsi="Arial" w:cs="Arial"/>
          <w:sz w:val="22"/>
          <w:szCs w:val="22"/>
        </w:rPr>
        <w:t>PayPo</w:t>
      </w:r>
      <w:proofErr w:type="spellEnd"/>
      <w:r>
        <w:rPr>
          <w:rFonts w:ascii="Arial" w:eastAsia="Arial" w:hAnsi="Arial" w:cs="Arial"/>
          <w:sz w:val="22"/>
          <w:szCs w:val="22"/>
        </w:rPr>
        <w:t xml:space="preserve">, </w:t>
      </w:r>
      <w:proofErr w:type="spellStart"/>
      <w:r>
        <w:rPr>
          <w:rFonts w:ascii="Arial" w:eastAsia="Arial" w:hAnsi="Arial" w:cs="Arial"/>
          <w:sz w:val="22"/>
          <w:szCs w:val="22"/>
        </w:rPr>
        <w:t>Twisto</w:t>
      </w:r>
      <w:proofErr w:type="spellEnd"/>
      <w:r>
        <w:rPr>
          <w:rFonts w:ascii="Arial" w:eastAsia="Arial" w:hAnsi="Arial" w:cs="Arial"/>
          <w:sz w:val="22"/>
          <w:szCs w:val="22"/>
        </w:rPr>
        <w:t xml:space="preserve">, Raty Pekao czy </w:t>
      </w:r>
      <w:proofErr w:type="spellStart"/>
      <w:r>
        <w:rPr>
          <w:rFonts w:ascii="Arial" w:eastAsia="Arial" w:hAnsi="Arial" w:cs="Arial"/>
          <w:sz w:val="22"/>
          <w:szCs w:val="22"/>
        </w:rPr>
        <w:t>PragmaPay</w:t>
      </w:r>
      <w:proofErr w:type="spellEnd"/>
      <w:r>
        <w:rPr>
          <w:rFonts w:ascii="Arial" w:eastAsia="Arial" w:hAnsi="Arial" w:cs="Arial"/>
          <w:sz w:val="22"/>
          <w:szCs w:val="22"/>
        </w:rPr>
        <w:t xml:space="preserve">. </w:t>
      </w:r>
    </w:p>
    <w:p w14:paraId="737DCB8E" w14:textId="77777777" w:rsidR="00F44E04" w:rsidRDefault="00000000">
      <w:pPr>
        <w:jc w:val="both"/>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i/>
          <w:iCs/>
          <w:sz w:val="22"/>
          <w:szCs w:val="22"/>
        </w:rPr>
        <w:t xml:space="preserve">Rozwój </w:t>
      </w:r>
      <w:proofErr w:type="spellStart"/>
      <w:r>
        <w:rPr>
          <w:rFonts w:ascii="Arial" w:eastAsia="Arial" w:hAnsi="Arial" w:cs="Arial"/>
          <w:i/>
          <w:iCs/>
          <w:sz w:val="22"/>
          <w:szCs w:val="22"/>
        </w:rPr>
        <w:t>TpayGO</w:t>
      </w:r>
      <w:proofErr w:type="spellEnd"/>
      <w:r>
        <w:rPr>
          <w:rFonts w:ascii="Arial" w:eastAsia="Arial" w:hAnsi="Arial" w:cs="Arial"/>
          <w:i/>
          <w:iCs/>
          <w:sz w:val="22"/>
          <w:szCs w:val="22"/>
        </w:rPr>
        <w:t xml:space="preserve"> pokazuje, że mobilna transformacja płatności nie kończy się na e-commerce. Przeciwnie, coraz wyraźniej obejmuje cały proces sprzedaży, niezależnie od </w:t>
      </w:r>
      <w:r>
        <w:rPr>
          <w:rFonts w:ascii="Arial" w:eastAsia="Arial" w:hAnsi="Arial" w:cs="Arial"/>
          <w:i/>
          <w:iCs/>
          <w:sz w:val="22"/>
          <w:szCs w:val="22"/>
        </w:rPr>
        <w:lastRenderedPageBreak/>
        <w:t xml:space="preserve">kanału. Aplikacja </w:t>
      </w:r>
      <w:proofErr w:type="spellStart"/>
      <w:r>
        <w:rPr>
          <w:rFonts w:ascii="Arial" w:eastAsia="Arial" w:hAnsi="Arial" w:cs="Arial"/>
          <w:i/>
          <w:iCs/>
          <w:sz w:val="22"/>
          <w:szCs w:val="22"/>
        </w:rPr>
        <w:t>Tpay</w:t>
      </w:r>
      <w:proofErr w:type="spellEnd"/>
      <w:r>
        <w:rPr>
          <w:rFonts w:ascii="Arial" w:eastAsia="Arial" w:hAnsi="Arial" w:cs="Arial"/>
          <w:i/>
          <w:iCs/>
          <w:sz w:val="22"/>
          <w:szCs w:val="22"/>
        </w:rPr>
        <w:t xml:space="preserve">, która początkowo wspierała przede wszystkim zarządzanie płatnościami online, staje się narzędziem łączącym świat cyfrowy i fizyczny. Tym samym </w:t>
      </w:r>
      <w:proofErr w:type="spellStart"/>
      <w:r>
        <w:rPr>
          <w:rFonts w:ascii="Arial" w:eastAsia="Arial" w:hAnsi="Arial" w:cs="Arial"/>
          <w:i/>
          <w:iCs/>
          <w:sz w:val="22"/>
          <w:szCs w:val="22"/>
        </w:rPr>
        <w:t>Tpay</w:t>
      </w:r>
      <w:proofErr w:type="spellEnd"/>
      <w:r>
        <w:rPr>
          <w:rFonts w:ascii="Arial" w:eastAsia="Arial" w:hAnsi="Arial" w:cs="Arial"/>
          <w:i/>
          <w:iCs/>
          <w:sz w:val="22"/>
          <w:szCs w:val="22"/>
        </w:rPr>
        <w:t xml:space="preserve"> konsekwentnie buduje rozwiązanie dla przedsiębiorców, którzy chcą mieć pełną kontrolę nad płatnościami, a jednocześnie oferować klientom wygodę znaną z zakupów internetowych</w:t>
      </w:r>
      <w:r>
        <w:rPr>
          <w:rFonts w:ascii="Arial" w:eastAsia="Arial" w:hAnsi="Arial" w:cs="Arial"/>
          <w:sz w:val="22"/>
          <w:szCs w:val="22"/>
        </w:rPr>
        <w:t xml:space="preserve"> – mówi </w:t>
      </w:r>
      <w:r>
        <w:rPr>
          <w:rFonts w:ascii="Arial" w:eastAsia="Arial" w:hAnsi="Arial" w:cs="Arial"/>
          <w:b/>
          <w:bCs/>
          <w:sz w:val="22"/>
          <w:szCs w:val="22"/>
        </w:rPr>
        <w:t xml:space="preserve">Karol </w:t>
      </w:r>
      <w:proofErr w:type="spellStart"/>
      <w:r>
        <w:rPr>
          <w:rFonts w:ascii="Arial" w:eastAsia="Arial" w:hAnsi="Arial" w:cs="Arial"/>
          <w:b/>
          <w:bCs/>
          <w:sz w:val="22"/>
          <w:szCs w:val="22"/>
        </w:rPr>
        <w:t>Szmaj</w:t>
      </w:r>
      <w:proofErr w:type="spellEnd"/>
      <w:r>
        <w:rPr>
          <w:rFonts w:ascii="Arial" w:eastAsia="Arial" w:hAnsi="Arial" w:cs="Arial"/>
          <w:b/>
          <w:bCs/>
          <w:sz w:val="22"/>
          <w:szCs w:val="22"/>
        </w:rPr>
        <w:t xml:space="preserve">, VP </w:t>
      </w:r>
      <w:proofErr w:type="spellStart"/>
      <w:r>
        <w:rPr>
          <w:rFonts w:ascii="Arial" w:eastAsia="Arial" w:hAnsi="Arial" w:cs="Arial"/>
          <w:b/>
          <w:bCs/>
          <w:sz w:val="22"/>
          <w:szCs w:val="22"/>
        </w:rPr>
        <w:t>Strategy</w:t>
      </w:r>
      <w:proofErr w:type="spellEnd"/>
      <w:r>
        <w:rPr>
          <w:rFonts w:ascii="Arial" w:eastAsia="Arial" w:hAnsi="Arial" w:cs="Arial"/>
          <w:b/>
          <w:bCs/>
          <w:sz w:val="22"/>
          <w:szCs w:val="22"/>
        </w:rPr>
        <w:t xml:space="preserve"> &amp; Design w </w:t>
      </w:r>
      <w:proofErr w:type="spellStart"/>
      <w:r>
        <w:rPr>
          <w:rFonts w:ascii="Arial" w:eastAsia="Arial" w:hAnsi="Arial" w:cs="Arial"/>
          <w:b/>
          <w:bCs/>
          <w:sz w:val="22"/>
          <w:szCs w:val="22"/>
        </w:rPr>
        <w:t>Future</w:t>
      </w:r>
      <w:proofErr w:type="spellEnd"/>
      <w:r>
        <w:rPr>
          <w:rFonts w:ascii="Arial" w:eastAsia="Arial" w:hAnsi="Arial" w:cs="Arial"/>
          <w:b/>
          <w:bCs/>
          <w:sz w:val="22"/>
          <w:szCs w:val="22"/>
        </w:rPr>
        <w:t xml:space="preserve"> </w:t>
      </w:r>
      <w:proofErr w:type="spellStart"/>
      <w:r>
        <w:rPr>
          <w:rFonts w:ascii="Arial" w:eastAsia="Arial" w:hAnsi="Arial" w:cs="Arial"/>
          <w:b/>
          <w:bCs/>
          <w:sz w:val="22"/>
          <w:szCs w:val="22"/>
        </w:rPr>
        <w:t>Mind</w:t>
      </w:r>
      <w:proofErr w:type="spellEnd"/>
      <w:r>
        <w:rPr>
          <w:rFonts w:ascii="Arial" w:eastAsia="Arial" w:hAnsi="Arial" w:cs="Arial"/>
          <w:b/>
          <w:bCs/>
          <w:sz w:val="22"/>
          <w:szCs w:val="22"/>
        </w:rPr>
        <w:t xml:space="preserve">, a </w:t>
      </w:r>
      <w:proofErr w:type="spellStart"/>
      <w:r>
        <w:rPr>
          <w:rFonts w:ascii="Arial" w:eastAsia="Arial" w:hAnsi="Arial" w:cs="Arial"/>
          <w:b/>
          <w:bCs/>
          <w:sz w:val="22"/>
          <w:szCs w:val="22"/>
        </w:rPr>
        <w:t>Solita</w:t>
      </w:r>
      <w:proofErr w:type="spellEnd"/>
      <w:r>
        <w:rPr>
          <w:rFonts w:ascii="Arial" w:eastAsia="Arial" w:hAnsi="Arial" w:cs="Arial"/>
          <w:b/>
          <w:bCs/>
          <w:sz w:val="22"/>
          <w:szCs w:val="22"/>
        </w:rPr>
        <w:t xml:space="preserve"> Company.</w:t>
      </w:r>
    </w:p>
    <w:p w14:paraId="737DCB8F" w14:textId="77777777" w:rsidR="00F44E04" w:rsidRDefault="00000000">
      <w:pPr>
        <w:jc w:val="both"/>
        <w:rPr>
          <w:rFonts w:ascii="Arial" w:eastAsia="Arial" w:hAnsi="Arial" w:cs="Arial"/>
          <w:b/>
          <w:bCs/>
          <w:sz w:val="22"/>
          <w:szCs w:val="22"/>
        </w:rPr>
      </w:pPr>
      <w:r>
        <w:rPr>
          <w:rFonts w:ascii="Arial" w:eastAsia="Arial" w:hAnsi="Arial" w:cs="Arial"/>
          <w:b/>
          <w:bCs/>
          <w:sz w:val="22"/>
          <w:szCs w:val="22"/>
        </w:rPr>
        <w:t>Sprzedaż bez kolejek i bez przestojów</w:t>
      </w:r>
    </w:p>
    <w:p w14:paraId="737DCB90" w14:textId="5346141C" w:rsidR="00F44E04" w:rsidRDefault="00000000">
      <w:pPr>
        <w:jc w:val="both"/>
        <w:rPr>
          <w:rFonts w:ascii="Arial" w:eastAsia="Arial" w:hAnsi="Arial" w:cs="Arial"/>
          <w:b/>
          <w:bCs/>
          <w:sz w:val="22"/>
          <w:szCs w:val="22"/>
        </w:rPr>
      </w:pPr>
      <w:r>
        <w:rPr>
          <w:rFonts w:ascii="Arial" w:eastAsia="Arial" w:hAnsi="Arial" w:cs="Arial"/>
          <w:sz w:val="22"/>
          <w:szCs w:val="22"/>
        </w:rPr>
        <w:t xml:space="preserve">Z </w:t>
      </w:r>
      <w:proofErr w:type="spellStart"/>
      <w:r>
        <w:rPr>
          <w:rFonts w:ascii="Arial" w:eastAsia="Arial" w:hAnsi="Arial" w:cs="Arial"/>
          <w:sz w:val="22"/>
          <w:szCs w:val="22"/>
        </w:rPr>
        <w:t>TpayGO</w:t>
      </w:r>
      <w:proofErr w:type="spellEnd"/>
      <w:r>
        <w:rPr>
          <w:rFonts w:ascii="Arial" w:eastAsia="Arial" w:hAnsi="Arial" w:cs="Arial"/>
          <w:sz w:val="22"/>
          <w:szCs w:val="22"/>
        </w:rPr>
        <w:t xml:space="preserve"> może korzystać kilka osób obsługujących klientów w danej firmie, a funkcja schowka pozwala zminimalizować aktywną transakcję, rozpocząć kolejną i wrócić do tej niedokończonej w dogodnym momencie. To szczególnie ważne w sytuacjach, gdy klient potrzebuje więcej czasu na sfinalizowanie procesu </w:t>
      </w:r>
      <w:r w:rsidR="00881ACD">
        <w:rPr>
          <w:rFonts w:ascii="Arial" w:eastAsia="Arial" w:hAnsi="Arial" w:cs="Arial"/>
          <w:sz w:val="22"/>
          <w:szCs w:val="22"/>
        </w:rPr>
        <w:t>-</w:t>
      </w:r>
      <w:r>
        <w:rPr>
          <w:rFonts w:ascii="Arial" w:eastAsia="Arial" w:hAnsi="Arial" w:cs="Arial"/>
          <w:sz w:val="22"/>
          <w:szCs w:val="22"/>
        </w:rPr>
        <w:t xml:space="preserve"> na przykład przy wyborze płatności ratalnej </w:t>
      </w:r>
      <w:r w:rsidR="00881ACD">
        <w:rPr>
          <w:rFonts w:ascii="Arial" w:eastAsia="Arial" w:hAnsi="Arial" w:cs="Arial"/>
          <w:sz w:val="22"/>
          <w:szCs w:val="22"/>
        </w:rPr>
        <w:t>-</w:t>
      </w:r>
      <w:r>
        <w:rPr>
          <w:rFonts w:ascii="Arial" w:eastAsia="Arial" w:hAnsi="Arial" w:cs="Arial"/>
          <w:sz w:val="22"/>
          <w:szCs w:val="22"/>
        </w:rPr>
        <w:t xml:space="preserve"> a sprzedawca może w tym czasie obsługiwać następne osoby. </w:t>
      </w:r>
    </w:p>
    <w:p w14:paraId="737DCB91" w14:textId="77777777" w:rsidR="00F44E04" w:rsidRDefault="00000000">
      <w:pPr>
        <w:jc w:val="both"/>
        <w:rPr>
          <w:rFonts w:ascii="Arial" w:eastAsia="Arial" w:hAnsi="Arial" w:cs="Arial"/>
          <w:b/>
          <w:bCs/>
          <w:sz w:val="22"/>
          <w:szCs w:val="22"/>
        </w:rPr>
      </w:pPr>
      <w:r>
        <w:rPr>
          <w:rFonts w:ascii="Arial" w:eastAsia="Arial" w:hAnsi="Arial" w:cs="Arial"/>
          <w:b/>
          <w:bCs/>
          <w:sz w:val="22"/>
          <w:szCs w:val="22"/>
        </w:rPr>
        <w:t xml:space="preserve">BLIK </w:t>
      </w:r>
      <w:proofErr w:type="spellStart"/>
      <w:r>
        <w:rPr>
          <w:rFonts w:ascii="Arial" w:eastAsia="Arial" w:hAnsi="Arial" w:cs="Arial"/>
          <w:b/>
          <w:bCs/>
          <w:sz w:val="22"/>
          <w:szCs w:val="22"/>
        </w:rPr>
        <w:t>level</w:t>
      </w:r>
      <w:proofErr w:type="spellEnd"/>
      <w:r>
        <w:rPr>
          <w:rFonts w:ascii="Arial" w:eastAsia="Arial" w:hAnsi="Arial" w:cs="Arial"/>
          <w:b/>
          <w:bCs/>
          <w:sz w:val="22"/>
          <w:szCs w:val="22"/>
        </w:rPr>
        <w:t xml:space="preserve"> 0 i większa przejrzystość transakcji</w:t>
      </w:r>
    </w:p>
    <w:p w14:paraId="737DCB92" w14:textId="77777777" w:rsidR="00F44E04" w:rsidRDefault="00000000">
      <w:pPr>
        <w:jc w:val="both"/>
        <w:rPr>
          <w:rFonts w:ascii="Arial" w:eastAsia="Arial" w:hAnsi="Arial" w:cs="Arial"/>
          <w:sz w:val="22"/>
          <w:szCs w:val="22"/>
        </w:rPr>
      </w:pPr>
      <w:r>
        <w:rPr>
          <w:rFonts w:ascii="Arial" w:eastAsia="Arial" w:hAnsi="Arial" w:cs="Arial"/>
          <w:sz w:val="22"/>
          <w:szCs w:val="22"/>
        </w:rPr>
        <w:t xml:space="preserve">Nowa funkcjonalność w aplikacji </w:t>
      </w:r>
      <w:proofErr w:type="spellStart"/>
      <w:r>
        <w:rPr>
          <w:rFonts w:ascii="Arial" w:eastAsia="Arial" w:hAnsi="Arial" w:cs="Arial"/>
          <w:sz w:val="22"/>
          <w:szCs w:val="22"/>
        </w:rPr>
        <w:t>Tpay</w:t>
      </w:r>
      <w:proofErr w:type="spellEnd"/>
      <w:r>
        <w:rPr>
          <w:rFonts w:ascii="Arial" w:eastAsia="Arial" w:hAnsi="Arial" w:cs="Arial"/>
          <w:sz w:val="22"/>
          <w:szCs w:val="22"/>
        </w:rPr>
        <w:t xml:space="preserve"> pozwala także na obsługę płatności BLIK </w:t>
      </w:r>
      <w:proofErr w:type="spellStart"/>
      <w:r>
        <w:rPr>
          <w:rFonts w:ascii="Arial" w:eastAsia="Arial" w:hAnsi="Arial" w:cs="Arial"/>
          <w:sz w:val="22"/>
          <w:szCs w:val="22"/>
        </w:rPr>
        <w:t>level</w:t>
      </w:r>
      <w:proofErr w:type="spellEnd"/>
      <w:r>
        <w:rPr>
          <w:rFonts w:ascii="Arial" w:eastAsia="Arial" w:hAnsi="Arial" w:cs="Arial"/>
          <w:sz w:val="22"/>
          <w:szCs w:val="22"/>
        </w:rPr>
        <w:t xml:space="preserve"> 0, tzw. on-</w:t>
      </w:r>
      <w:proofErr w:type="spellStart"/>
      <w:r>
        <w:rPr>
          <w:rFonts w:ascii="Arial" w:eastAsia="Arial" w:hAnsi="Arial" w:cs="Arial"/>
          <w:sz w:val="22"/>
          <w:szCs w:val="22"/>
        </w:rPr>
        <w:t>site</w:t>
      </w:r>
      <w:proofErr w:type="spellEnd"/>
      <w:r>
        <w:rPr>
          <w:rFonts w:ascii="Arial" w:eastAsia="Arial" w:hAnsi="Arial" w:cs="Arial"/>
          <w:sz w:val="22"/>
          <w:szCs w:val="22"/>
        </w:rPr>
        <w:t xml:space="preserve">. Oznacza to, że klient może zrealizować płatność poprzez wpisanie kodu BLIK bezpośrednio w aplikacji u sprzedawcy. Co istotne, w przypadku odrzucenia transakcji, </w:t>
      </w:r>
      <w:proofErr w:type="spellStart"/>
      <w:r>
        <w:rPr>
          <w:rFonts w:ascii="Arial" w:eastAsia="Arial" w:hAnsi="Arial" w:cs="Arial"/>
          <w:sz w:val="22"/>
          <w:szCs w:val="22"/>
        </w:rPr>
        <w:t>TpayGO</w:t>
      </w:r>
      <w:proofErr w:type="spellEnd"/>
      <w:r>
        <w:rPr>
          <w:rFonts w:ascii="Arial" w:eastAsia="Arial" w:hAnsi="Arial" w:cs="Arial"/>
          <w:sz w:val="22"/>
          <w:szCs w:val="22"/>
        </w:rPr>
        <w:t xml:space="preserve"> pokazuje konkretną przyczynę niepowodzenia, na przykład błędny kod lub przekroczony limit. To informacja, której tradycyjne terminale często nie dostarczają, a która może znacząco usprawnić komunikację z klientem i przyspieszyć zakończenie sprzedaży. </w:t>
      </w:r>
    </w:p>
    <w:p w14:paraId="737DCB93" w14:textId="77777777" w:rsidR="00F44E04" w:rsidRDefault="00000000">
      <w:pPr>
        <w:jc w:val="center"/>
        <w:rPr>
          <w:rFonts w:ascii="Arial" w:eastAsia="Arial" w:hAnsi="Arial" w:cs="Arial"/>
          <w:sz w:val="22"/>
          <w:szCs w:val="22"/>
        </w:rPr>
      </w:pPr>
      <w:r>
        <w:rPr>
          <w:rFonts w:ascii="Arial" w:eastAsia="Arial" w:hAnsi="Arial" w:cs="Arial"/>
          <w:sz w:val="22"/>
          <w:szCs w:val="22"/>
        </w:rPr>
        <w:t>***</w:t>
      </w:r>
    </w:p>
    <w:p w14:paraId="737DCB94" w14:textId="77777777" w:rsidR="00F44E04" w:rsidRDefault="00000000">
      <w:pPr>
        <w:jc w:val="both"/>
        <w:rPr>
          <w:rFonts w:ascii="Arial" w:eastAsia="Arial" w:hAnsi="Arial" w:cs="Arial"/>
          <w:sz w:val="18"/>
          <w:szCs w:val="18"/>
        </w:rPr>
      </w:pPr>
      <w:proofErr w:type="spellStart"/>
      <w:r>
        <w:rPr>
          <w:rFonts w:ascii="Arial" w:eastAsia="Arial" w:hAnsi="Arial" w:cs="Arial"/>
          <w:b/>
          <w:bCs/>
          <w:sz w:val="18"/>
          <w:szCs w:val="18"/>
        </w:rPr>
        <w:t>Future</w:t>
      </w:r>
      <w:proofErr w:type="spellEnd"/>
      <w:r>
        <w:rPr>
          <w:rFonts w:ascii="Arial" w:eastAsia="Arial" w:hAnsi="Arial" w:cs="Arial"/>
          <w:b/>
          <w:bCs/>
          <w:sz w:val="18"/>
          <w:szCs w:val="18"/>
        </w:rPr>
        <w:t xml:space="preserve"> </w:t>
      </w:r>
      <w:proofErr w:type="spellStart"/>
      <w:r>
        <w:rPr>
          <w:rFonts w:ascii="Arial" w:eastAsia="Arial" w:hAnsi="Arial" w:cs="Arial"/>
          <w:b/>
          <w:bCs/>
          <w:sz w:val="18"/>
          <w:szCs w:val="18"/>
        </w:rPr>
        <w:t>Mind</w:t>
      </w:r>
      <w:proofErr w:type="spellEnd"/>
      <w:r>
        <w:rPr>
          <w:rFonts w:ascii="Arial" w:eastAsia="Arial" w:hAnsi="Arial" w:cs="Arial"/>
          <w:b/>
          <w:bCs/>
          <w:sz w:val="18"/>
          <w:szCs w:val="18"/>
        </w:rPr>
        <w:t xml:space="preserve">, część grupy </w:t>
      </w:r>
      <w:proofErr w:type="spellStart"/>
      <w:r>
        <w:rPr>
          <w:rFonts w:ascii="Arial" w:eastAsia="Arial" w:hAnsi="Arial" w:cs="Arial"/>
          <w:b/>
          <w:bCs/>
          <w:sz w:val="18"/>
          <w:szCs w:val="18"/>
        </w:rPr>
        <w:t>Solita</w:t>
      </w:r>
      <w:proofErr w:type="spellEnd"/>
      <w:r>
        <w:rPr>
          <w:rFonts w:ascii="Arial" w:eastAsia="Arial" w:hAnsi="Arial" w:cs="Arial"/>
          <w:b/>
          <w:bCs/>
          <w:sz w:val="18"/>
          <w:szCs w:val="18"/>
        </w:rPr>
        <w:t xml:space="preserve">, </w:t>
      </w:r>
      <w:r>
        <w:rPr>
          <w:rFonts w:ascii="Arial" w:eastAsia="Arial" w:hAnsi="Arial" w:cs="Arial"/>
          <w:sz w:val="18"/>
          <w:szCs w:val="18"/>
        </w:rPr>
        <w:t xml:space="preserve">to nagradzana spółka doradczo-technologiczna, która od 18 lat tworzy innowacyjne produkty cyfrowe. Zespół </w:t>
      </w:r>
      <w:proofErr w:type="spellStart"/>
      <w:r>
        <w:rPr>
          <w:rFonts w:ascii="Arial" w:eastAsia="Arial" w:hAnsi="Arial" w:cs="Arial"/>
          <w:sz w:val="18"/>
          <w:szCs w:val="18"/>
        </w:rPr>
        <w:t>Future</w:t>
      </w:r>
      <w:proofErr w:type="spellEnd"/>
      <w:r>
        <w:rPr>
          <w:rFonts w:ascii="Arial" w:eastAsia="Arial" w:hAnsi="Arial" w:cs="Arial"/>
          <w:sz w:val="18"/>
          <w:szCs w:val="18"/>
        </w:rPr>
        <w:t xml:space="preserve"> </w:t>
      </w:r>
      <w:proofErr w:type="spellStart"/>
      <w:r>
        <w:rPr>
          <w:rFonts w:ascii="Arial" w:eastAsia="Arial" w:hAnsi="Arial" w:cs="Arial"/>
          <w:sz w:val="18"/>
          <w:szCs w:val="18"/>
        </w:rPr>
        <w:t>Mind</w:t>
      </w:r>
      <w:proofErr w:type="spellEnd"/>
      <w:r>
        <w:rPr>
          <w:rFonts w:ascii="Arial" w:eastAsia="Arial" w:hAnsi="Arial" w:cs="Arial"/>
          <w:sz w:val="18"/>
          <w:szCs w:val="18"/>
        </w:rPr>
        <w:t xml:space="preserve"> składa się z ponad 300 specjalistów, w tym doradców biznesowych i technologicznych, analityków, programistów oraz projektantów UX i UI. Dzięki eksperckiej wiedzy i doświadczeniu firma wspiera największe marki w podejmowaniu decyzji strategicznych i zarządzaniu zmianą w obszarze </w:t>
      </w:r>
      <w:proofErr w:type="spellStart"/>
      <w:r>
        <w:rPr>
          <w:rFonts w:ascii="Arial" w:eastAsia="Arial" w:hAnsi="Arial" w:cs="Arial"/>
          <w:sz w:val="18"/>
          <w:szCs w:val="18"/>
        </w:rPr>
        <w:t>digital</w:t>
      </w:r>
      <w:proofErr w:type="spellEnd"/>
      <w:r>
        <w:rPr>
          <w:rFonts w:ascii="Arial" w:eastAsia="Arial" w:hAnsi="Arial" w:cs="Arial"/>
          <w:sz w:val="18"/>
          <w:szCs w:val="18"/>
        </w:rPr>
        <w:t xml:space="preserve"> oraz rozwoju i utrzymaniu produktów cyfrowych. W projektach łączy potencjał technologii mobilnych i </w:t>
      </w:r>
      <w:proofErr w:type="spellStart"/>
      <w:r>
        <w:rPr>
          <w:rFonts w:ascii="Arial" w:eastAsia="Arial" w:hAnsi="Arial" w:cs="Arial"/>
          <w:sz w:val="18"/>
          <w:szCs w:val="18"/>
        </w:rPr>
        <w:t>backendowych</w:t>
      </w:r>
      <w:proofErr w:type="spellEnd"/>
      <w:r>
        <w:rPr>
          <w:rFonts w:ascii="Arial" w:eastAsia="Arial" w:hAnsi="Arial" w:cs="Arial"/>
          <w:sz w:val="18"/>
          <w:szCs w:val="18"/>
        </w:rPr>
        <w:t xml:space="preserve"> z silnym zapleczem rozwiązań chmurowych, Data i AI. Współpraca z wyspecjalizowanymi partnerami technologicznymi z całego świata gwarantuje klientom najwyższą jakość w każdym projekcie. Tworzone przez ekspertów </w:t>
      </w:r>
      <w:proofErr w:type="spellStart"/>
      <w:r>
        <w:rPr>
          <w:rFonts w:ascii="Arial" w:eastAsia="Arial" w:hAnsi="Arial" w:cs="Arial"/>
          <w:sz w:val="18"/>
          <w:szCs w:val="18"/>
        </w:rPr>
        <w:t>Future</w:t>
      </w:r>
      <w:proofErr w:type="spellEnd"/>
      <w:r>
        <w:rPr>
          <w:rFonts w:ascii="Arial" w:eastAsia="Arial" w:hAnsi="Arial" w:cs="Arial"/>
          <w:sz w:val="18"/>
          <w:szCs w:val="18"/>
        </w:rPr>
        <w:t xml:space="preserve"> </w:t>
      </w:r>
      <w:proofErr w:type="spellStart"/>
      <w:r>
        <w:rPr>
          <w:rFonts w:ascii="Arial" w:eastAsia="Arial" w:hAnsi="Arial" w:cs="Arial"/>
          <w:sz w:val="18"/>
          <w:szCs w:val="18"/>
        </w:rPr>
        <w:t>Mind</w:t>
      </w:r>
      <w:proofErr w:type="spellEnd"/>
      <w:r>
        <w:rPr>
          <w:rFonts w:ascii="Arial" w:eastAsia="Arial" w:hAnsi="Arial" w:cs="Arial"/>
          <w:sz w:val="18"/>
          <w:szCs w:val="18"/>
        </w:rPr>
        <w:t xml:space="preserve"> rozwiązania były wielokrotnie doceniane w konkursach branżowych, a dynamiczny wzrost firmy został wyróżniony przez takie magazyny jak Forbes i Financial Times.</w:t>
      </w:r>
    </w:p>
    <w:p w14:paraId="737DCB95" w14:textId="77777777" w:rsidR="00F44E04" w:rsidRPr="00881ACD" w:rsidRDefault="00000000">
      <w:pPr>
        <w:jc w:val="both"/>
        <w:rPr>
          <w:lang w:val="en-GB"/>
        </w:rPr>
      </w:pPr>
      <w:proofErr w:type="spellStart"/>
      <w:r w:rsidRPr="00881ACD">
        <w:rPr>
          <w:rFonts w:ascii="Arial" w:eastAsia="Arial" w:hAnsi="Arial" w:cs="Arial"/>
          <w:sz w:val="18"/>
          <w:szCs w:val="18"/>
          <w:lang w:val="en-GB"/>
        </w:rPr>
        <w:t>Więcej</w:t>
      </w:r>
      <w:proofErr w:type="spellEnd"/>
      <w:r w:rsidRPr="00881ACD">
        <w:rPr>
          <w:rFonts w:ascii="Arial" w:eastAsia="Arial" w:hAnsi="Arial" w:cs="Arial"/>
          <w:sz w:val="18"/>
          <w:szCs w:val="18"/>
          <w:lang w:val="en-GB"/>
        </w:rPr>
        <w:t xml:space="preserve"> </w:t>
      </w:r>
      <w:proofErr w:type="spellStart"/>
      <w:r w:rsidRPr="00881ACD">
        <w:rPr>
          <w:rFonts w:ascii="Arial" w:eastAsia="Arial" w:hAnsi="Arial" w:cs="Arial"/>
          <w:sz w:val="18"/>
          <w:szCs w:val="18"/>
          <w:lang w:val="en-GB"/>
        </w:rPr>
        <w:t>na</w:t>
      </w:r>
      <w:proofErr w:type="spellEnd"/>
      <w:r w:rsidRPr="00881ACD">
        <w:rPr>
          <w:rFonts w:ascii="Arial" w:eastAsia="Arial" w:hAnsi="Arial" w:cs="Arial"/>
          <w:sz w:val="18"/>
          <w:szCs w:val="18"/>
          <w:lang w:val="en-GB"/>
        </w:rPr>
        <w:t xml:space="preserve"> </w:t>
      </w:r>
      <w:proofErr w:type="spellStart"/>
      <w:r w:rsidRPr="00881ACD">
        <w:rPr>
          <w:rFonts w:ascii="Arial" w:eastAsia="Arial" w:hAnsi="Arial" w:cs="Arial"/>
          <w:sz w:val="18"/>
          <w:szCs w:val="18"/>
          <w:lang w:val="en-GB"/>
        </w:rPr>
        <w:t>stronie</w:t>
      </w:r>
      <w:proofErr w:type="spellEnd"/>
      <w:r w:rsidRPr="00881ACD">
        <w:rPr>
          <w:rFonts w:ascii="Arial" w:eastAsia="Arial" w:hAnsi="Arial" w:cs="Arial"/>
          <w:sz w:val="18"/>
          <w:szCs w:val="18"/>
          <w:lang w:val="en-GB"/>
        </w:rPr>
        <w:t>:</w:t>
      </w:r>
      <w:r w:rsidRPr="00881ACD">
        <w:rPr>
          <w:rFonts w:ascii="Arial" w:eastAsia="Arial" w:hAnsi="Arial" w:cs="Arial"/>
          <w:b/>
          <w:bCs/>
          <w:sz w:val="18"/>
          <w:szCs w:val="18"/>
          <w:lang w:val="en-GB"/>
        </w:rPr>
        <w:t xml:space="preserve"> </w:t>
      </w:r>
      <w:hyperlink r:id="rId9">
        <w:r w:rsidRPr="00881ACD">
          <w:rPr>
            <w:rFonts w:ascii="Arial" w:eastAsia="Arial" w:hAnsi="Arial" w:cs="Arial"/>
            <w:b/>
            <w:bCs/>
            <w:color w:val="0000FF"/>
            <w:sz w:val="18"/>
            <w:szCs w:val="18"/>
            <w:u w:val="single"/>
            <w:lang w:val="en-GB"/>
          </w:rPr>
          <w:t>Future Mind • Digital Advisory &amp; Delivery</w:t>
        </w:r>
      </w:hyperlink>
    </w:p>
    <w:p w14:paraId="737DCB96" w14:textId="77777777" w:rsidR="00F44E04" w:rsidRDefault="00000000">
      <w:pPr>
        <w:jc w:val="both"/>
        <w:rPr>
          <w:rFonts w:ascii="Arial" w:eastAsia="Arial" w:hAnsi="Arial" w:cs="Arial"/>
          <w:b/>
          <w:bCs/>
          <w:sz w:val="18"/>
          <w:szCs w:val="18"/>
        </w:rPr>
      </w:pPr>
      <w:r>
        <w:rPr>
          <w:rFonts w:ascii="Arial" w:eastAsia="Arial" w:hAnsi="Arial" w:cs="Arial"/>
          <w:b/>
          <w:bCs/>
          <w:sz w:val="18"/>
          <w:szCs w:val="18"/>
        </w:rPr>
        <w:t xml:space="preserve">O </w:t>
      </w:r>
      <w:proofErr w:type="spellStart"/>
      <w:r>
        <w:rPr>
          <w:rFonts w:ascii="Arial" w:eastAsia="Arial" w:hAnsi="Arial" w:cs="Arial"/>
          <w:b/>
          <w:bCs/>
          <w:sz w:val="18"/>
          <w:szCs w:val="18"/>
        </w:rPr>
        <w:t>Tpay</w:t>
      </w:r>
      <w:proofErr w:type="spellEnd"/>
    </w:p>
    <w:p w14:paraId="737DCB97" w14:textId="77777777" w:rsidR="00F44E04" w:rsidRDefault="00000000">
      <w:pPr>
        <w:jc w:val="both"/>
        <w:rPr>
          <w:rFonts w:ascii="Arial" w:eastAsia="Arial" w:hAnsi="Arial" w:cs="Arial"/>
          <w:sz w:val="18"/>
          <w:szCs w:val="18"/>
        </w:rPr>
      </w:pPr>
      <w:proofErr w:type="spellStart"/>
      <w:r>
        <w:rPr>
          <w:rFonts w:ascii="Arial" w:eastAsia="Arial" w:hAnsi="Arial" w:cs="Arial"/>
          <w:sz w:val="18"/>
          <w:szCs w:val="18"/>
        </w:rPr>
        <w:t>Tpay</w:t>
      </w:r>
      <w:proofErr w:type="spellEnd"/>
      <w:r>
        <w:rPr>
          <w:rFonts w:ascii="Arial" w:eastAsia="Arial" w:hAnsi="Arial" w:cs="Arial"/>
          <w:sz w:val="18"/>
          <w:szCs w:val="18"/>
        </w:rPr>
        <w:t xml:space="preserve"> to operator płatności w 100% z polskim kapitałem, który zapewnia wygodne i bezpieczne płatności za zakupy w </w:t>
      </w:r>
      <w:proofErr w:type="spellStart"/>
      <w:r>
        <w:rPr>
          <w:rFonts w:ascii="Arial" w:eastAsia="Arial" w:hAnsi="Arial" w:cs="Arial"/>
          <w:sz w:val="18"/>
          <w:szCs w:val="18"/>
        </w:rPr>
        <w:t>internecie</w:t>
      </w:r>
      <w:proofErr w:type="spellEnd"/>
      <w:r>
        <w:rPr>
          <w:rFonts w:ascii="Arial" w:eastAsia="Arial" w:hAnsi="Arial" w:cs="Arial"/>
          <w:sz w:val="18"/>
          <w:szCs w:val="18"/>
        </w:rPr>
        <w:t xml:space="preserve">, dbając także o komfort sprzedawców. To marka Krajowego Integratora Płatności S.A., który działa na polskim rynku płatności online od ponad 15 lat. Spółka ma status Krajowej Instytucji Płatniczej i posiada rozszerzoną licencję przyznaną przez Komisję Nadzoru Finansowego. </w:t>
      </w:r>
    </w:p>
    <w:p w14:paraId="737DCB98" w14:textId="77777777" w:rsidR="00F44E04" w:rsidRDefault="00000000">
      <w:pPr>
        <w:jc w:val="both"/>
        <w:rPr>
          <w:rFonts w:ascii="Arial" w:eastAsia="Arial" w:hAnsi="Arial" w:cs="Arial"/>
          <w:sz w:val="18"/>
          <w:szCs w:val="18"/>
        </w:rPr>
      </w:pPr>
      <w:proofErr w:type="spellStart"/>
      <w:r>
        <w:rPr>
          <w:rFonts w:ascii="Arial" w:eastAsia="Arial" w:hAnsi="Arial" w:cs="Arial"/>
          <w:sz w:val="18"/>
          <w:szCs w:val="18"/>
        </w:rPr>
        <w:t>Tpay</w:t>
      </w:r>
      <w:proofErr w:type="spellEnd"/>
      <w:r>
        <w:rPr>
          <w:rFonts w:ascii="Arial" w:eastAsia="Arial" w:hAnsi="Arial" w:cs="Arial"/>
          <w:sz w:val="18"/>
          <w:szCs w:val="18"/>
        </w:rPr>
        <w:t xml:space="preserve"> zapewnia płatności w sklepach internetowych i stacjonarnych, a także w mobilnych aplikacjach. Intuicyjna bramka płatności umożliwia wygodne i bezpieczne zakupy z wykorzystaniem szeregu metod płatności, m.in. BLIKA, przelewu online, karty płatniczej, portfeli elektronicznych (</w:t>
      </w:r>
      <w:proofErr w:type="spellStart"/>
      <w:r>
        <w:rPr>
          <w:rFonts w:ascii="Arial" w:eastAsia="Arial" w:hAnsi="Arial" w:cs="Arial"/>
          <w:sz w:val="18"/>
          <w:szCs w:val="18"/>
        </w:rPr>
        <w:t>PayPal</w:t>
      </w:r>
      <w:proofErr w:type="spellEnd"/>
      <w:r>
        <w:rPr>
          <w:rFonts w:ascii="Arial" w:eastAsia="Arial" w:hAnsi="Arial" w:cs="Arial"/>
          <w:sz w:val="18"/>
          <w:szCs w:val="18"/>
        </w:rPr>
        <w:t xml:space="preserve">, Google </w:t>
      </w:r>
      <w:proofErr w:type="spellStart"/>
      <w:r>
        <w:rPr>
          <w:rFonts w:ascii="Arial" w:eastAsia="Arial" w:hAnsi="Arial" w:cs="Arial"/>
          <w:sz w:val="18"/>
          <w:szCs w:val="18"/>
        </w:rPr>
        <w:t>Pay</w:t>
      </w:r>
      <w:proofErr w:type="spellEnd"/>
      <w:r>
        <w:rPr>
          <w:rFonts w:ascii="Arial" w:eastAsia="Arial" w:hAnsi="Arial" w:cs="Arial"/>
          <w:sz w:val="18"/>
          <w:szCs w:val="18"/>
        </w:rPr>
        <w:t xml:space="preserve">, Apple </w:t>
      </w:r>
      <w:proofErr w:type="spellStart"/>
      <w:r>
        <w:rPr>
          <w:rFonts w:ascii="Arial" w:eastAsia="Arial" w:hAnsi="Arial" w:cs="Arial"/>
          <w:sz w:val="18"/>
          <w:szCs w:val="18"/>
        </w:rPr>
        <w:t>Pay</w:t>
      </w:r>
      <w:proofErr w:type="spellEnd"/>
      <w:r>
        <w:rPr>
          <w:rFonts w:ascii="Arial" w:eastAsia="Arial" w:hAnsi="Arial" w:cs="Arial"/>
          <w:sz w:val="18"/>
          <w:szCs w:val="18"/>
        </w:rPr>
        <w:t xml:space="preserve">), </w:t>
      </w:r>
      <w:proofErr w:type="spellStart"/>
      <w:r>
        <w:rPr>
          <w:rFonts w:ascii="Arial" w:eastAsia="Arial" w:hAnsi="Arial" w:cs="Arial"/>
          <w:sz w:val="18"/>
          <w:szCs w:val="18"/>
        </w:rPr>
        <w:t>Click</w:t>
      </w:r>
      <w:proofErr w:type="spellEnd"/>
      <w:r>
        <w:rPr>
          <w:rFonts w:ascii="Arial" w:eastAsia="Arial" w:hAnsi="Arial" w:cs="Arial"/>
          <w:sz w:val="18"/>
          <w:szCs w:val="18"/>
        </w:rPr>
        <w:t xml:space="preserve"> to </w:t>
      </w:r>
      <w:proofErr w:type="spellStart"/>
      <w:r>
        <w:rPr>
          <w:rFonts w:ascii="Arial" w:eastAsia="Arial" w:hAnsi="Arial" w:cs="Arial"/>
          <w:sz w:val="18"/>
          <w:szCs w:val="18"/>
        </w:rPr>
        <w:t>Pay</w:t>
      </w:r>
      <w:proofErr w:type="spellEnd"/>
      <w:r>
        <w:rPr>
          <w:rFonts w:ascii="Arial" w:eastAsia="Arial" w:hAnsi="Arial" w:cs="Arial"/>
          <w:sz w:val="18"/>
          <w:szCs w:val="18"/>
        </w:rPr>
        <w:t>, Visa Mobile, płatności odroczonych (</w:t>
      </w:r>
      <w:proofErr w:type="spellStart"/>
      <w:r>
        <w:rPr>
          <w:rFonts w:ascii="Arial" w:eastAsia="Arial" w:hAnsi="Arial" w:cs="Arial"/>
          <w:sz w:val="18"/>
          <w:szCs w:val="18"/>
        </w:rPr>
        <w:t>PayPo</w:t>
      </w:r>
      <w:proofErr w:type="spellEnd"/>
      <w:r>
        <w:rPr>
          <w:rFonts w:ascii="Arial" w:eastAsia="Arial" w:hAnsi="Arial" w:cs="Arial"/>
          <w:sz w:val="18"/>
          <w:szCs w:val="18"/>
        </w:rPr>
        <w:t xml:space="preserve">, </w:t>
      </w:r>
      <w:proofErr w:type="spellStart"/>
      <w:r>
        <w:rPr>
          <w:rFonts w:ascii="Arial" w:eastAsia="Arial" w:hAnsi="Arial" w:cs="Arial"/>
          <w:sz w:val="18"/>
          <w:szCs w:val="18"/>
        </w:rPr>
        <w:t>Twisto</w:t>
      </w:r>
      <w:proofErr w:type="spellEnd"/>
      <w:r>
        <w:rPr>
          <w:rFonts w:ascii="Arial" w:eastAsia="Arial" w:hAnsi="Arial" w:cs="Arial"/>
          <w:sz w:val="18"/>
          <w:szCs w:val="18"/>
        </w:rPr>
        <w:t xml:space="preserve">, BLIK Płacę Później), płatności cyklicznych (m.in. BLIK Płatności powtarzalne), płatności ratalnych Banku Pekao. </w:t>
      </w:r>
    </w:p>
    <w:p w14:paraId="737DCB99" w14:textId="77777777" w:rsidR="00F44E04" w:rsidRDefault="00000000">
      <w:pPr>
        <w:jc w:val="both"/>
        <w:rPr>
          <w:rFonts w:ascii="Arial" w:eastAsia="Arial" w:hAnsi="Arial" w:cs="Arial"/>
          <w:sz w:val="18"/>
          <w:szCs w:val="18"/>
        </w:rPr>
      </w:pPr>
      <w:proofErr w:type="spellStart"/>
      <w:r>
        <w:rPr>
          <w:rFonts w:ascii="Arial" w:eastAsia="Arial" w:hAnsi="Arial" w:cs="Arial"/>
          <w:sz w:val="18"/>
          <w:szCs w:val="18"/>
        </w:rPr>
        <w:t>Tpay</w:t>
      </w:r>
      <w:proofErr w:type="spellEnd"/>
      <w:r>
        <w:rPr>
          <w:rFonts w:ascii="Arial" w:eastAsia="Arial" w:hAnsi="Arial" w:cs="Arial"/>
          <w:sz w:val="18"/>
          <w:szCs w:val="18"/>
        </w:rPr>
        <w:t xml:space="preserve"> od 2020 r. wprowadza do e-commerce Bank Pekao S.A. To historyczne partnerstwo zapewniające przedsiębiorcom kompleksowy ekosystem usług płatniczo-finansowych. </w:t>
      </w:r>
    </w:p>
    <w:p w14:paraId="737DCB9A" w14:textId="77777777" w:rsidR="00F44E04" w:rsidRDefault="00000000">
      <w:pPr>
        <w:jc w:val="both"/>
        <w:rPr>
          <w:rFonts w:ascii="Arial" w:eastAsia="Arial" w:hAnsi="Arial" w:cs="Arial"/>
          <w:sz w:val="18"/>
          <w:szCs w:val="18"/>
        </w:rPr>
      </w:pPr>
      <w:r>
        <w:rPr>
          <w:rFonts w:ascii="Arial" w:eastAsia="Arial" w:hAnsi="Arial" w:cs="Arial"/>
          <w:sz w:val="18"/>
          <w:szCs w:val="18"/>
        </w:rPr>
        <w:t xml:space="preserve">Kontakt dla mediów: </w:t>
      </w:r>
      <w:hyperlink r:id="rId10">
        <w:r>
          <w:rPr>
            <w:rFonts w:ascii="Arial" w:eastAsia="Arial" w:hAnsi="Arial" w:cs="Arial"/>
            <w:color w:val="0000FF"/>
            <w:sz w:val="18"/>
            <w:szCs w:val="18"/>
            <w:u w:val="single"/>
          </w:rPr>
          <w:t>marketing@tpay.com</w:t>
        </w:r>
      </w:hyperlink>
      <w:r>
        <w:rPr>
          <w:rFonts w:ascii="Arial" w:eastAsia="Arial" w:hAnsi="Arial" w:cs="Arial"/>
          <w:sz w:val="18"/>
          <w:szCs w:val="18"/>
        </w:rPr>
        <w:t xml:space="preserve"> </w:t>
      </w:r>
    </w:p>
    <w:sectPr w:rsidR="00F44E04">
      <w:head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82DFF" w14:textId="77777777" w:rsidR="00541958" w:rsidRDefault="00541958">
      <w:pPr>
        <w:spacing w:after="0" w:line="240" w:lineRule="auto"/>
      </w:pPr>
      <w:r>
        <w:separator/>
      </w:r>
    </w:p>
  </w:endnote>
  <w:endnote w:type="continuationSeparator" w:id="0">
    <w:p w14:paraId="4DCF2F87" w14:textId="77777777" w:rsidR="00541958" w:rsidRDefault="00541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2112A50F-7D00-4E6F-B2B9-2CB3A65FFD18}"/>
    <w:embedItalic r:id="rId2" w:fontKey="{25C8DDB4-D82F-4A03-B877-AB4DABEE11FE}"/>
  </w:font>
  <w:font w:name="Play">
    <w:charset w:val="00"/>
    <w:family w:val="auto"/>
    <w:pitch w:val="default"/>
    <w:embedRegular r:id="rId3" w:fontKey="{204E1F7D-D0D4-49D1-90E4-147853F81DA9}"/>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4" w:fontKey="{F9B84EC9-002D-4A8E-905E-5AAB9532BB37}"/>
  </w:font>
  <w:font w:name="Cambria">
    <w:panose1 w:val="02040503050406030204"/>
    <w:charset w:val="EE"/>
    <w:family w:val="roman"/>
    <w:pitch w:val="variable"/>
    <w:sig w:usb0="E00006FF" w:usb1="420024FF" w:usb2="02000000" w:usb3="00000000" w:csb0="0000019F" w:csb1="00000000"/>
    <w:embedRegular r:id="rId5" w:fontKey="{F46B1905-94CD-439E-BD43-D9B403D3B47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66C25" w14:textId="77777777" w:rsidR="00541958" w:rsidRDefault="00541958">
      <w:pPr>
        <w:spacing w:after="0" w:line="240" w:lineRule="auto"/>
      </w:pPr>
      <w:r>
        <w:separator/>
      </w:r>
    </w:p>
  </w:footnote>
  <w:footnote w:type="continuationSeparator" w:id="0">
    <w:p w14:paraId="72142EBD" w14:textId="77777777" w:rsidR="00541958" w:rsidRDefault="00541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CB9B" w14:textId="77777777" w:rsidR="00F44E04" w:rsidRDefault="00000000">
    <w:pPr>
      <w:pBdr>
        <w:top w:val="nil"/>
        <w:left w:val="nil"/>
        <w:bottom w:val="nil"/>
        <w:right w:val="nil"/>
        <w:between w:val="nil"/>
      </w:pBdr>
      <w:tabs>
        <w:tab w:val="center" w:pos="4536"/>
        <w:tab w:val="right" w:pos="9072"/>
      </w:tabs>
      <w:spacing w:after="0" w:line="240" w:lineRule="auto"/>
      <w:rPr>
        <w:color w:val="000000"/>
      </w:rPr>
    </w:pPr>
    <w:r>
      <w:rPr>
        <w:rFonts w:ascii="Calibri" w:eastAsia="Calibri" w:hAnsi="Calibri" w:cs="Calibri"/>
        <w:noProof/>
        <w:color w:val="000000"/>
      </w:rPr>
      <w:drawing>
        <wp:anchor distT="0" distB="0" distL="114300" distR="114300" simplePos="0" relativeHeight="251658240" behindDoc="0" locked="0" layoutInCell="1" hidden="0" allowOverlap="1" wp14:anchorId="737DCB9C" wp14:editId="61733B9D">
          <wp:simplePos x="0" y="0"/>
          <wp:positionH relativeFrom="margin">
            <wp:align>right</wp:align>
          </wp:positionH>
          <wp:positionV relativeFrom="margin">
            <wp:posOffset>-553720</wp:posOffset>
          </wp:positionV>
          <wp:extent cx="2973070" cy="358140"/>
          <wp:effectExtent l="0" t="0" r="0" b="381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973070" cy="35814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E04"/>
    <w:rsid w:val="00541958"/>
    <w:rsid w:val="00881ACD"/>
    <w:rsid w:val="00F44E04"/>
    <w:rsid w:val="00F554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DCB83"/>
  <w15:docId w15:val="{BEE2B539-8883-4DB6-A344-F9BC1CE77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l" w:eastAsia="pl-P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rFonts w:ascii="Play" w:eastAsia="Play" w:hAnsi="Play" w:cs="Play"/>
      <w:color w:val="0F4761"/>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Play" w:eastAsia="Play" w:hAnsi="Play" w:cs="Play"/>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0F4761"/>
    </w:rPr>
  </w:style>
  <w:style w:type="paragraph" w:styleId="Nagwek5">
    <w:name w:val="heading 5"/>
    <w:basedOn w:val="Normalny"/>
    <w:next w:val="Normalny"/>
    <w:uiPriority w:val="9"/>
    <w:semiHidden/>
    <w:unhideWhenUsed/>
    <w:qFormat/>
    <w:pPr>
      <w:keepNext/>
      <w:keepLines/>
      <w:spacing w:before="80" w:after="40"/>
      <w:outlineLvl w:val="4"/>
    </w:pPr>
    <w:rPr>
      <w:color w:val="0F4761"/>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rFonts w:ascii="Play" w:eastAsia="Play" w:hAnsi="Play" w:cs="Play"/>
      <w:sz w:val="56"/>
      <w:szCs w:val="56"/>
    </w:rPr>
  </w:style>
  <w:style w:type="paragraph" w:styleId="Podtytu">
    <w:name w:val="Subtitle"/>
    <w:basedOn w:val="Normalny"/>
    <w:next w:val="Normalny"/>
    <w:uiPriority w:val="11"/>
    <w:qFormat/>
    <w:rPr>
      <w:color w:val="595959"/>
      <w:sz w:val="28"/>
      <w:szCs w:val="28"/>
    </w:rPr>
  </w:style>
  <w:style w:type="paragraph" w:styleId="Nagwek">
    <w:name w:val="header"/>
    <w:basedOn w:val="Normalny"/>
    <w:link w:val="NagwekZnak"/>
    <w:uiPriority w:val="99"/>
    <w:unhideWhenUsed/>
    <w:rsid w:val="00881A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1ACD"/>
  </w:style>
  <w:style w:type="paragraph" w:styleId="Stopka">
    <w:name w:val="footer"/>
    <w:basedOn w:val="Normalny"/>
    <w:link w:val="StopkaZnak"/>
    <w:uiPriority w:val="99"/>
    <w:unhideWhenUsed/>
    <w:rsid w:val="00881A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1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arketing@tpay.com" TargetMode="External"/><Relationship Id="rId4" Type="http://schemas.openxmlformats.org/officeDocument/2006/relationships/styles" Target="styles.xml"/><Relationship Id="rId9" Type="http://schemas.openxmlformats.org/officeDocument/2006/relationships/hyperlink" Target="http://www.futuremind.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6332A36832A0A41A9315B265E6415BB" ma:contentTypeVersion="17" ma:contentTypeDescription="Utwórz nowy dokument." ma:contentTypeScope="" ma:versionID="b39062b9af66d92f09ad22651d37b132">
  <xsd:schema xmlns:xsd="http://www.w3.org/2001/XMLSchema" xmlns:xs="http://www.w3.org/2001/XMLSchema" xmlns:p="http://schemas.microsoft.com/office/2006/metadata/properties" xmlns:ns2="8a011db4-53a2-4d1b-82ae-320485071b7a" xmlns:ns3="deeda2bc-8a38-4937-ba20-8ba6d0b056de" targetNamespace="http://schemas.microsoft.com/office/2006/metadata/properties" ma:root="true" ma:fieldsID="0478fde6ddbccf5c66e6d194a9438999" ns2:_="" ns3:_="">
    <xsd:import namespace="8a011db4-53a2-4d1b-82ae-320485071b7a"/>
    <xsd:import namespace="deeda2bc-8a38-4937-ba20-8ba6d0b056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2:MediaServiceAutoKeyPoints" minOccurs="0"/>
                <xsd:element ref="ns2:MediaServiceKeyPoint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11db4-53a2-4d1b-82ae-320485071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8452cbc4-2314-4220-9d01-4e90849f7cdd"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da2bc-8a38-4937-ba20-8ba6d0b056de"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011db4-53a2-4d1b-82ae-320485071b7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5A034D-B495-43DD-BAF1-7B3AC429D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11db4-53a2-4d1b-82ae-320485071b7a"/>
    <ds:schemaRef ds:uri="deeda2bc-8a38-4937-ba20-8ba6d0b05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10777F-91C7-4375-98DE-F7FD80B0E2A2}">
  <ds:schemaRefs>
    <ds:schemaRef ds:uri="http://schemas.microsoft.com/office/2006/metadata/properties"/>
    <ds:schemaRef ds:uri="http://schemas.microsoft.com/office/infopath/2007/PartnerControls"/>
    <ds:schemaRef ds:uri="8a011db4-53a2-4d1b-82ae-320485071b7a"/>
  </ds:schemaRefs>
</ds:datastoreItem>
</file>

<file path=customXml/itemProps3.xml><?xml version="1.0" encoding="utf-8"?>
<ds:datastoreItem xmlns:ds="http://schemas.openxmlformats.org/officeDocument/2006/customXml" ds:itemID="{5F5549F9-FAB0-4B98-8CF0-89C811EADB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923</Words>
  <Characters>5539</Characters>
  <Application>Microsoft Office Word</Application>
  <DocSecurity>0</DocSecurity>
  <Lines>46</Lines>
  <Paragraphs>12</Paragraphs>
  <ScaleCrop>false</ScaleCrop>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Katarzyna Traczyk CCG</cp:lastModifiedBy>
  <cp:revision>2</cp:revision>
  <dcterms:created xsi:type="dcterms:W3CDTF">2026-08-06T06:22:00Z</dcterms:created>
  <dcterms:modified xsi:type="dcterms:W3CDTF">2026-08-06T06:23:00Z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0x01010026332A36832A0A41A9315B265E6415BB</vt:lpwstr>
  </property>
  <property fmtid="{D5CDD505-2E9C-101B-9397-08002B2CF9AE}" pid="3" name="MediaServiceImageTags">
    <vt:lpwstr>MediaServiceImageTags</vt:lpwstr>
  </property>
</Properties>
</file>