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8F2A8D" w14:textId="24E407D6" w:rsidR="00093633" w:rsidRPr="00093633" w:rsidRDefault="00093633" w:rsidP="00093633">
      <w:pPr>
        <w:spacing w:line="240" w:lineRule="auto"/>
        <w:jc w:val="center"/>
        <w:rPr>
          <w:b/>
          <w:bCs/>
          <w:sz w:val="20"/>
          <w:szCs w:val="20"/>
          <w:lang w:val="pl-PL"/>
        </w:rPr>
      </w:pPr>
      <w:r w:rsidRPr="00093633">
        <w:rPr>
          <w:b/>
          <w:bCs/>
          <w:sz w:val="20"/>
          <w:szCs w:val="20"/>
          <w:lang w:val="pl-PL"/>
        </w:rPr>
        <w:t>Popyt na mieszkania przyspiesza. Warszawa przekracza próg 20 tys. PLN za mkw.</w:t>
      </w:r>
    </w:p>
    <w:p w14:paraId="5B2F3B5A" w14:textId="06767E9C" w:rsidR="00FF13C6" w:rsidRDefault="00FF13C6" w:rsidP="00A056FD">
      <w:pPr>
        <w:spacing w:line="240" w:lineRule="auto"/>
        <w:jc w:val="both"/>
        <w:rPr>
          <w:b/>
          <w:bCs/>
          <w:sz w:val="20"/>
          <w:szCs w:val="20"/>
        </w:rPr>
      </w:pPr>
      <w:r w:rsidRPr="00FF13C6">
        <w:rPr>
          <w:b/>
          <w:bCs/>
          <w:sz w:val="20"/>
          <w:szCs w:val="20"/>
        </w:rPr>
        <w:t xml:space="preserve">Drugi kwartał 2026 roku przyniósł wyraźne ożywienie na polskim rynku mieszkaniowym, napędzane rosnącą aktywnością kredytobiorców oraz odbudową podaży deweloperskiej. Jak wynika z najnowszej analizy firmy doradczej </w:t>
      </w:r>
      <w:proofErr w:type="spellStart"/>
      <w:r w:rsidRPr="00FF13C6">
        <w:rPr>
          <w:b/>
          <w:bCs/>
          <w:sz w:val="20"/>
          <w:szCs w:val="20"/>
        </w:rPr>
        <w:t>Cushman</w:t>
      </w:r>
      <w:proofErr w:type="spellEnd"/>
      <w:r w:rsidRPr="00FF13C6">
        <w:rPr>
          <w:b/>
          <w:bCs/>
          <w:sz w:val="20"/>
          <w:szCs w:val="20"/>
        </w:rPr>
        <w:t xml:space="preserve"> &amp; Wakefield</w:t>
      </w:r>
      <w:r>
        <w:rPr>
          <w:b/>
          <w:bCs/>
          <w:sz w:val="20"/>
          <w:szCs w:val="20"/>
        </w:rPr>
        <w:t xml:space="preserve"> </w:t>
      </w:r>
      <w:r w:rsidR="00BA7B86">
        <w:rPr>
          <w:b/>
          <w:bCs/>
          <w:sz w:val="20"/>
          <w:szCs w:val="20"/>
        </w:rPr>
        <w:t>P</w:t>
      </w:r>
      <w:r>
        <w:rPr>
          <w:b/>
          <w:bCs/>
          <w:sz w:val="20"/>
          <w:szCs w:val="20"/>
        </w:rPr>
        <w:t>oland</w:t>
      </w:r>
      <w:r w:rsidRPr="00FF13C6">
        <w:rPr>
          <w:b/>
          <w:bCs/>
          <w:sz w:val="20"/>
          <w:szCs w:val="20"/>
        </w:rPr>
        <w:t xml:space="preserve">, w samym czerwcu sprzedaż mieszkań wzrosła o 48% r/r, a wartość zapytań o kredyty hipotetyczne skoczyła o 15,8% r/r. </w:t>
      </w:r>
      <w:r>
        <w:rPr>
          <w:b/>
          <w:bCs/>
          <w:sz w:val="20"/>
          <w:szCs w:val="20"/>
        </w:rPr>
        <w:t>Rosnącemu popytowi</w:t>
      </w:r>
      <w:r w:rsidRPr="00FF13C6">
        <w:rPr>
          <w:b/>
          <w:bCs/>
          <w:sz w:val="20"/>
          <w:szCs w:val="20"/>
        </w:rPr>
        <w:t xml:space="preserve"> towarzyszył dalszy wzrost cen ofertowych na rynku pierwotnym, którego symbolicznym punktem zwrotnym było przekroczenie przez Warszawę średniego poziomu 20 tys. PLN za mkw.</w:t>
      </w:r>
      <w:r>
        <w:rPr>
          <w:b/>
          <w:bCs/>
          <w:sz w:val="20"/>
          <w:szCs w:val="20"/>
        </w:rPr>
        <w:t xml:space="preserve"> </w:t>
      </w:r>
    </w:p>
    <w:p w14:paraId="43CCA47F" w14:textId="4E34D07D" w:rsidR="00A056FD" w:rsidRPr="00A056FD" w:rsidRDefault="00A056FD" w:rsidP="00A056FD">
      <w:pPr>
        <w:spacing w:line="240" w:lineRule="auto"/>
        <w:jc w:val="both"/>
        <w:rPr>
          <w:b/>
          <w:bCs/>
          <w:sz w:val="20"/>
          <w:szCs w:val="20"/>
          <w:lang w:val="pl-PL"/>
        </w:rPr>
      </w:pPr>
      <w:r w:rsidRPr="00A056FD">
        <w:rPr>
          <w:b/>
          <w:bCs/>
          <w:sz w:val="20"/>
          <w:szCs w:val="20"/>
          <w:lang w:val="pl-PL"/>
        </w:rPr>
        <w:t>Stabilny wzrost gospodarczy i spadek inflacji wspierają rynek mieszkaniowy</w:t>
      </w:r>
    </w:p>
    <w:p w14:paraId="1CCF7A66" w14:textId="77777777" w:rsidR="00A056FD" w:rsidRPr="00A056FD" w:rsidRDefault="00A056FD" w:rsidP="00A056FD">
      <w:pPr>
        <w:spacing w:line="240" w:lineRule="auto"/>
        <w:jc w:val="both"/>
        <w:rPr>
          <w:sz w:val="20"/>
          <w:szCs w:val="20"/>
          <w:lang w:val="pl-PL"/>
        </w:rPr>
      </w:pPr>
      <w:r w:rsidRPr="00A056FD">
        <w:rPr>
          <w:sz w:val="20"/>
          <w:szCs w:val="20"/>
          <w:lang w:val="pl-PL"/>
        </w:rPr>
        <w:t>W pierwszej połowie 2026 roku polska gospodarka utrzymywała stabilne tempo wzrostu, choć widoczne było jego stopniowe wyhamowanie względem końcówki poprzedniego roku. Realny wzrost PKB w pierwszym kwartale wyniósł 3,5% r/r, a głównym motorem gospodarki pozostał popyt krajowy, w szczególności konsumpcja prywatna wspierana rosnącymi dochodami gospodarstw domowych. Jednocześnie spowolnienie dynamiki inwestycji oraz mniej korzystne otoczenie zewnętrzne ograniczały tempo ekspansji gospodarczej.</w:t>
      </w:r>
    </w:p>
    <w:p w14:paraId="5E9761DC" w14:textId="77777777" w:rsidR="00A056FD" w:rsidRPr="00A056FD" w:rsidRDefault="00A056FD" w:rsidP="00A056FD">
      <w:pPr>
        <w:spacing w:line="240" w:lineRule="auto"/>
        <w:jc w:val="both"/>
        <w:rPr>
          <w:sz w:val="20"/>
          <w:szCs w:val="20"/>
          <w:lang w:val="pl-PL"/>
        </w:rPr>
      </w:pPr>
      <w:r w:rsidRPr="00A056FD">
        <w:rPr>
          <w:sz w:val="20"/>
          <w:szCs w:val="20"/>
          <w:lang w:val="pl-PL"/>
        </w:rPr>
        <w:t>W czerwcu 2026 roku inflacja konsumencka wyniosła 2,5% r/r, spadając z 3,1% miesiąc wcześniej i osiągając poziom celu inflacyjnego NBP. Pomimo utrzymującego się wyższego wzrostu cen usług niż towarów struktura inflacji potwierdzała postępującą stabilizację cen. W tych warunkach Rada Polityki Pieniężnej utrzymała stopę referencyjną NBP na poziomie 3,75%, kontynuując ostrożne podejście do polityki monetarnej w otoczeniu umiarkowanej inflacji i niepewności makroekonomicznej.</w:t>
      </w:r>
    </w:p>
    <w:p w14:paraId="709227B6" w14:textId="1BC01D0D" w:rsidR="00A056FD" w:rsidRPr="00A056FD" w:rsidRDefault="00B369BA" w:rsidP="00A056FD">
      <w:pPr>
        <w:spacing w:line="240" w:lineRule="auto"/>
        <w:jc w:val="both"/>
        <w:rPr>
          <w:b/>
          <w:bCs/>
          <w:sz w:val="20"/>
          <w:szCs w:val="20"/>
          <w:lang w:val="pl-PL"/>
        </w:rPr>
      </w:pPr>
      <w:r>
        <w:rPr>
          <w:b/>
          <w:bCs/>
          <w:sz w:val="20"/>
          <w:szCs w:val="20"/>
          <w:lang w:val="pl-PL"/>
        </w:rPr>
        <w:t>Średnia wartość wnioskowanego kredytu przebiła 500 tys. PLN</w:t>
      </w:r>
    </w:p>
    <w:p w14:paraId="320A5573" w14:textId="34274395" w:rsidR="00A056FD" w:rsidRPr="00A056FD" w:rsidRDefault="00A056FD" w:rsidP="00A056FD">
      <w:pPr>
        <w:spacing w:line="240" w:lineRule="auto"/>
        <w:jc w:val="both"/>
        <w:rPr>
          <w:sz w:val="20"/>
          <w:szCs w:val="20"/>
          <w:lang w:val="pl-PL"/>
        </w:rPr>
      </w:pPr>
      <w:r w:rsidRPr="00A056FD">
        <w:rPr>
          <w:sz w:val="20"/>
          <w:szCs w:val="20"/>
          <w:lang w:val="pl-PL"/>
        </w:rPr>
        <w:t xml:space="preserve">W drugim kwartale 2026 roku aktywność na rynku kredytów mieszkaniowych pozostawała wysoka, choć dynamika wzrostu stopniowo się normalizowała. W czerwcu wartość zapytań o kredyty mieszkaniowe wzrosła o 15,8% r/r, a liczba wnioskujących osiągnęła 42,8 tys. osób, rosnąc o 14,5% r/r. Jednocześnie średnia wartość wnioskowanego kredytu wyniosła 506,6 tys. PLN, czyli o 6,2% więcej niż rok wcześniej, osiągając najwyższy poziom w historii. </w:t>
      </w:r>
    </w:p>
    <w:p w14:paraId="7FD9DE04" w14:textId="02603330" w:rsidR="00DA4393" w:rsidRPr="00375367" w:rsidRDefault="00A056FD" w:rsidP="00A056FD">
      <w:pPr>
        <w:spacing w:line="240" w:lineRule="auto"/>
        <w:jc w:val="both"/>
        <w:rPr>
          <w:b/>
          <w:bCs/>
          <w:sz w:val="20"/>
          <w:szCs w:val="20"/>
          <w:lang w:val="pl-PL"/>
        </w:rPr>
      </w:pPr>
      <w:r w:rsidRPr="00A056FD">
        <w:rPr>
          <w:sz w:val="20"/>
          <w:szCs w:val="20"/>
          <w:lang w:val="pl-PL"/>
        </w:rPr>
        <w:t xml:space="preserve">– </w:t>
      </w:r>
      <w:r w:rsidR="00DA4393">
        <w:rPr>
          <w:i/>
          <w:iCs/>
          <w:sz w:val="20"/>
          <w:szCs w:val="20"/>
          <w:lang w:val="pl-PL"/>
        </w:rPr>
        <w:t xml:space="preserve">Obserwowany w </w:t>
      </w:r>
      <w:r w:rsidR="00375367">
        <w:rPr>
          <w:i/>
          <w:iCs/>
          <w:sz w:val="20"/>
          <w:szCs w:val="20"/>
          <w:lang w:val="pl-PL"/>
        </w:rPr>
        <w:t xml:space="preserve">drugim kwartale </w:t>
      </w:r>
      <w:r w:rsidR="00DA4393" w:rsidRPr="00DA4393">
        <w:rPr>
          <w:i/>
          <w:iCs/>
          <w:sz w:val="20"/>
          <w:szCs w:val="20"/>
          <w:lang w:val="pl-PL"/>
        </w:rPr>
        <w:t>wzrost aktywności kredytowej wynikał zarówno z większej liczby gospodarstw domowych podejmujących decyzje zakupowe, jak i z utrzymującego się wzrostu kwot finansowania. Zgodnie z oceną BIK, w kolejnych miesiącach dynamika popytu może jednak stopniowo wygasać ze względu na efekt wysokiej bazy statystycznej</w:t>
      </w:r>
      <w:r w:rsidR="00375367">
        <w:rPr>
          <w:i/>
          <w:iCs/>
          <w:sz w:val="20"/>
          <w:szCs w:val="20"/>
          <w:lang w:val="pl-PL"/>
        </w:rPr>
        <w:t xml:space="preserve"> </w:t>
      </w:r>
      <w:r w:rsidRPr="00375367">
        <w:rPr>
          <w:sz w:val="20"/>
          <w:szCs w:val="20"/>
          <w:lang w:val="pl-PL"/>
        </w:rPr>
        <w:t>– komentuje</w:t>
      </w:r>
      <w:r w:rsidRPr="00375367">
        <w:rPr>
          <w:b/>
          <w:bCs/>
          <w:sz w:val="20"/>
          <w:szCs w:val="20"/>
          <w:lang w:val="pl-PL"/>
        </w:rPr>
        <w:t xml:space="preserve"> Tadeusz </w:t>
      </w:r>
      <w:proofErr w:type="spellStart"/>
      <w:r w:rsidRPr="00375367">
        <w:rPr>
          <w:b/>
          <w:bCs/>
          <w:sz w:val="20"/>
          <w:szCs w:val="20"/>
          <w:lang w:val="pl-PL"/>
        </w:rPr>
        <w:t>Bellaby</w:t>
      </w:r>
      <w:proofErr w:type="spellEnd"/>
      <w:r w:rsidRPr="00375367">
        <w:rPr>
          <w:b/>
          <w:bCs/>
          <w:sz w:val="20"/>
          <w:szCs w:val="20"/>
          <w:lang w:val="pl-PL"/>
        </w:rPr>
        <w:t xml:space="preserve">, Junior </w:t>
      </w:r>
      <w:proofErr w:type="spellStart"/>
      <w:r w:rsidRPr="00375367">
        <w:rPr>
          <w:b/>
          <w:bCs/>
          <w:sz w:val="20"/>
          <w:szCs w:val="20"/>
          <w:lang w:val="pl-PL"/>
        </w:rPr>
        <w:t>Research</w:t>
      </w:r>
      <w:proofErr w:type="spellEnd"/>
      <w:r w:rsidRPr="00375367">
        <w:rPr>
          <w:b/>
          <w:bCs/>
          <w:sz w:val="20"/>
          <w:szCs w:val="20"/>
          <w:lang w:val="pl-PL"/>
        </w:rPr>
        <w:t xml:space="preserve"> </w:t>
      </w:r>
      <w:proofErr w:type="spellStart"/>
      <w:r w:rsidRPr="00375367">
        <w:rPr>
          <w:b/>
          <w:bCs/>
          <w:sz w:val="20"/>
          <w:szCs w:val="20"/>
          <w:lang w:val="pl-PL"/>
        </w:rPr>
        <w:t>Analyst</w:t>
      </w:r>
      <w:proofErr w:type="spellEnd"/>
      <w:r w:rsidRPr="00375367">
        <w:rPr>
          <w:b/>
          <w:bCs/>
          <w:sz w:val="20"/>
          <w:szCs w:val="20"/>
          <w:lang w:val="pl-PL"/>
        </w:rPr>
        <w:t xml:space="preserve">, </w:t>
      </w:r>
      <w:proofErr w:type="spellStart"/>
      <w:r w:rsidRPr="00375367">
        <w:rPr>
          <w:b/>
          <w:bCs/>
          <w:sz w:val="20"/>
          <w:szCs w:val="20"/>
          <w:lang w:val="pl-PL"/>
        </w:rPr>
        <w:t>Cushman</w:t>
      </w:r>
      <w:proofErr w:type="spellEnd"/>
      <w:r w:rsidRPr="00375367">
        <w:rPr>
          <w:b/>
          <w:bCs/>
          <w:sz w:val="20"/>
          <w:szCs w:val="20"/>
          <w:lang w:val="pl-PL"/>
        </w:rPr>
        <w:t xml:space="preserve"> &amp; Wakefield.</w:t>
      </w:r>
    </w:p>
    <w:p w14:paraId="55476581" w14:textId="77777777" w:rsidR="00A52441" w:rsidRDefault="00A52441" w:rsidP="00A52441">
      <w:pPr>
        <w:spacing w:line="240" w:lineRule="auto"/>
        <w:jc w:val="both"/>
        <w:rPr>
          <w:b/>
          <w:bCs/>
          <w:sz w:val="20"/>
          <w:szCs w:val="20"/>
          <w:lang w:val="en-PL"/>
        </w:rPr>
      </w:pPr>
      <w:r w:rsidRPr="00A52441">
        <w:rPr>
          <w:b/>
          <w:bCs/>
          <w:sz w:val="20"/>
          <w:szCs w:val="20"/>
          <w:lang w:val="en-PL"/>
        </w:rPr>
        <w:t xml:space="preserve">Wzrost podaży i silny popyt </w:t>
      </w:r>
    </w:p>
    <w:p w14:paraId="6142F5B7" w14:textId="7157AA21" w:rsidR="00A52441" w:rsidRPr="0088540C" w:rsidRDefault="00A52441" w:rsidP="00A52441">
      <w:pPr>
        <w:spacing w:line="240" w:lineRule="auto"/>
        <w:jc w:val="both"/>
        <w:rPr>
          <w:sz w:val="20"/>
          <w:szCs w:val="20"/>
          <w:lang w:val="en-PL"/>
        </w:rPr>
      </w:pPr>
      <w:r w:rsidRPr="0088540C">
        <w:rPr>
          <w:sz w:val="20"/>
          <w:szCs w:val="20"/>
          <w:lang w:val="en-PL"/>
        </w:rPr>
        <w:t xml:space="preserve">W </w:t>
      </w:r>
      <w:r>
        <w:rPr>
          <w:sz w:val="20"/>
          <w:szCs w:val="20"/>
          <w:lang w:val="en-PL"/>
        </w:rPr>
        <w:t>drugim</w:t>
      </w:r>
      <w:r w:rsidRPr="0088540C">
        <w:rPr>
          <w:sz w:val="20"/>
          <w:szCs w:val="20"/>
          <w:lang w:val="en-PL"/>
        </w:rPr>
        <w:t xml:space="preserve"> kwartale 2026 roku rozpoczęto budowę 38 736 mieszkań przeznaczonych na sprzedaż lub wynajem </w:t>
      </w:r>
      <w:r>
        <w:rPr>
          <w:sz w:val="20"/>
          <w:szCs w:val="20"/>
          <w:lang w:val="en-PL"/>
        </w:rPr>
        <w:t>–</w:t>
      </w:r>
      <w:r w:rsidRPr="0088540C">
        <w:rPr>
          <w:sz w:val="20"/>
          <w:szCs w:val="20"/>
          <w:lang w:val="en-PL"/>
        </w:rPr>
        <w:t xml:space="preserve"> to wzrost o ok. 22% w porównaniu z </w:t>
      </w:r>
      <w:r>
        <w:rPr>
          <w:sz w:val="20"/>
          <w:szCs w:val="20"/>
          <w:lang w:val="en-PL"/>
        </w:rPr>
        <w:t>pierwszym</w:t>
      </w:r>
      <w:r w:rsidRPr="0088540C">
        <w:rPr>
          <w:sz w:val="20"/>
          <w:szCs w:val="20"/>
          <w:lang w:val="en-PL"/>
        </w:rPr>
        <w:t xml:space="preserve"> kwartałem. W skali całego </w:t>
      </w:r>
      <w:r>
        <w:rPr>
          <w:sz w:val="20"/>
          <w:szCs w:val="20"/>
          <w:lang w:val="en-PL"/>
        </w:rPr>
        <w:t>pierwszego</w:t>
      </w:r>
      <w:r w:rsidRPr="0088540C">
        <w:rPr>
          <w:sz w:val="20"/>
          <w:szCs w:val="20"/>
          <w:lang w:val="en-PL"/>
        </w:rPr>
        <w:t xml:space="preserve"> półrocza liczba rozpoczętych budów była o 2% wyższa niż rok wcześniej. Aktywność deweloperów rośnie wraz z poprawą sytuacji popytowej.</w:t>
      </w:r>
    </w:p>
    <w:p w14:paraId="60D9516F" w14:textId="77777777" w:rsidR="00A52441" w:rsidRPr="0088540C" w:rsidRDefault="00A52441" w:rsidP="00A52441">
      <w:pPr>
        <w:spacing w:line="240" w:lineRule="auto"/>
        <w:jc w:val="both"/>
        <w:rPr>
          <w:sz w:val="20"/>
          <w:szCs w:val="20"/>
          <w:lang w:val="en-PL"/>
        </w:rPr>
      </w:pPr>
      <w:r w:rsidRPr="0088540C">
        <w:rPr>
          <w:sz w:val="20"/>
          <w:szCs w:val="20"/>
          <w:lang w:val="en-PL"/>
        </w:rPr>
        <w:t>Jak wynika z danych Otodom:</w:t>
      </w:r>
    </w:p>
    <w:p w14:paraId="0C15F501" w14:textId="77777777" w:rsidR="00A52441" w:rsidRPr="0088540C" w:rsidRDefault="00A52441" w:rsidP="0088540C">
      <w:pPr>
        <w:pStyle w:val="ListParagraph"/>
        <w:numPr>
          <w:ilvl w:val="0"/>
          <w:numId w:val="5"/>
        </w:numPr>
        <w:spacing w:line="240" w:lineRule="auto"/>
        <w:jc w:val="both"/>
        <w:rPr>
          <w:sz w:val="20"/>
          <w:szCs w:val="20"/>
          <w:lang w:val="en-PL"/>
        </w:rPr>
      </w:pPr>
      <w:r w:rsidRPr="0088540C">
        <w:rPr>
          <w:sz w:val="20"/>
          <w:szCs w:val="20"/>
          <w:lang w:val="en-PL"/>
        </w:rPr>
        <w:lastRenderedPageBreak/>
        <w:t>Na koniec czerwca w ofercie na siedmiu największych rynkach pozostawało ponad 60 tys. mieszkań.</w:t>
      </w:r>
    </w:p>
    <w:p w14:paraId="4164ED7F" w14:textId="77777777" w:rsidR="00A52441" w:rsidRPr="0088540C" w:rsidRDefault="00A52441" w:rsidP="0088540C">
      <w:pPr>
        <w:pStyle w:val="ListParagraph"/>
        <w:numPr>
          <w:ilvl w:val="0"/>
          <w:numId w:val="5"/>
        </w:numPr>
        <w:spacing w:line="240" w:lineRule="auto"/>
        <w:jc w:val="both"/>
        <w:rPr>
          <w:sz w:val="20"/>
          <w:szCs w:val="20"/>
          <w:lang w:val="en-PL"/>
        </w:rPr>
      </w:pPr>
      <w:r w:rsidRPr="0088540C">
        <w:rPr>
          <w:sz w:val="20"/>
          <w:szCs w:val="20"/>
          <w:lang w:val="en-PL"/>
        </w:rPr>
        <w:t>W samym czerwcu deweloperzy sprzedali ponad 4,5 tys. lokali (+48% r/r).</w:t>
      </w:r>
    </w:p>
    <w:p w14:paraId="57F7FB93" w14:textId="77777777" w:rsidR="00A52441" w:rsidRPr="0088540C" w:rsidRDefault="00A52441" w:rsidP="0088540C">
      <w:pPr>
        <w:pStyle w:val="ListParagraph"/>
        <w:numPr>
          <w:ilvl w:val="0"/>
          <w:numId w:val="5"/>
        </w:numPr>
        <w:spacing w:line="240" w:lineRule="auto"/>
        <w:jc w:val="both"/>
        <w:rPr>
          <w:sz w:val="20"/>
          <w:szCs w:val="20"/>
          <w:lang w:val="en-PL"/>
        </w:rPr>
      </w:pPr>
      <w:r w:rsidRPr="0088540C">
        <w:rPr>
          <w:sz w:val="20"/>
          <w:szCs w:val="20"/>
          <w:lang w:val="en-PL"/>
        </w:rPr>
        <w:t>Korekta liczby rezerwacji przywróciła część mieszkań do dostępnej oferty, co wyhamowało dotychczasowy trend spadkowy podaży.</w:t>
      </w:r>
    </w:p>
    <w:p w14:paraId="5F7B1975" w14:textId="77777777" w:rsidR="00A52441" w:rsidRPr="0088540C" w:rsidRDefault="00A52441" w:rsidP="0088540C">
      <w:pPr>
        <w:pStyle w:val="ListParagraph"/>
        <w:numPr>
          <w:ilvl w:val="0"/>
          <w:numId w:val="5"/>
        </w:numPr>
        <w:spacing w:line="240" w:lineRule="auto"/>
        <w:jc w:val="both"/>
        <w:rPr>
          <w:sz w:val="20"/>
          <w:szCs w:val="20"/>
          <w:lang w:val="en-PL"/>
        </w:rPr>
      </w:pPr>
      <w:r w:rsidRPr="0088540C">
        <w:rPr>
          <w:sz w:val="20"/>
          <w:szCs w:val="20"/>
          <w:lang w:val="en-PL"/>
        </w:rPr>
        <w:t>Na większości głównych rynków sprzedaż utrzymywała się na poziomie zbliżonym do liczby nowych wprowań lub ją przewyższała, co wspierało dalszy wzrost cen.</w:t>
      </w:r>
    </w:p>
    <w:p w14:paraId="108C7C4B" w14:textId="1463E3F9" w:rsidR="00A52441" w:rsidRPr="0088540C" w:rsidRDefault="00A52441" w:rsidP="00A52441">
      <w:pPr>
        <w:spacing w:line="240" w:lineRule="auto"/>
        <w:jc w:val="both"/>
        <w:rPr>
          <w:sz w:val="20"/>
          <w:szCs w:val="20"/>
          <w:lang w:val="en-PL"/>
        </w:rPr>
      </w:pPr>
      <w:r w:rsidRPr="0088540C">
        <w:rPr>
          <w:sz w:val="20"/>
          <w:szCs w:val="20"/>
          <w:lang w:val="en-PL"/>
        </w:rPr>
        <w:t xml:space="preserve">W </w:t>
      </w:r>
      <w:r>
        <w:rPr>
          <w:sz w:val="20"/>
          <w:szCs w:val="20"/>
          <w:lang w:val="en-PL"/>
        </w:rPr>
        <w:t>drugim</w:t>
      </w:r>
      <w:r w:rsidRPr="0088540C">
        <w:rPr>
          <w:sz w:val="20"/>
          <w:szCs w:val="20"/>
          <w:lang w:val="en-PL"/>
        </w:rPr>
        <w:t xml:space="preserve"> kwartale do użytkowania oddano 31 299 mieszkań (+20% kw./kw.). W całym </w:t>
      </w:r>
      <w:r>
        <w:rPr>
          <w:sz w:val="20"/>
          <w:szCs w:val="20"/>
          <w:lang w:val="en-PL"/>
        </w:rPr>
        <w:t>pierwszym</w:t>
      </w:r>
      <w:r w:rsidRPr="0088540C">
        <w:rPr>
          <w:sz w:val="20"/>
          <w:szCs w:val="20"/>
          <w:lang w:val="en-PL"/>
        </w:rPr>
        <w:t xml:space="preserve"> półroczu liczba ukończonych lokali była o ok. 1% wyższa r/r. Choć to mniej niż w rekordowych latach, skala oddawanych inwestycji pozostaje wysoka na tle historycznym </w:t>
      </w:r>
      <w:r>
        <w:rPr>
          <w:sz w:val="20"/>
          <w:szCs w:val="20"/>
          <w:lang w:val="en-PL"/>
        </w:rPr>
        <w:t>–</w:t>
      </w:r>
      <w:r w:rsidRPr="0088540C">
        <w:rPr>
          <w:sz w:val="20"/>
          <w:szCs w:val="20"/>
          <w:lang w:val="en-PL"/>
        </w:rPr>
        <w:t xml:space="preserve"> to efekt finalizacji projektów rozpoczętych w okresie bardzo dużej aktywności w latach 2020</w:t>
      </w:r>
      <w:r>
        <w:rPr>
          <w:sz w:val="20"/>
          <w:szCs w:val="20"/>
          <w:lang w:val="en-PL"/>
        </w:rPr>
        <w:t>-</w:t>
      </w:r>
      <w:r w:rsidRPr="0088540C">
        <w:rPr>
          <w:sz w:val="20"/>
          <w:szCs w:val="20"/>
          <w:lang w:val="en-PL"/>
        </w:rPr>
        <w:t>2022.</w:t>
      </w:r>
    </w:p>
    <w:p w14:paraId="7888F41A" w14:textId="7C8035D8" w:rsidR="00A52441" w:rsidRPr="0088540C" w:rsidRDefault="00A52441" w:rsidP="0088540C">
      <w:pPr>
        <w:pStyle w:val="ListParagraph"/>
        <w:numPr>
          <w:ilvl w:val="0"/>
          <w:numId w:val="6"/>
        </w:numPr>
        <w:spacing w:line="240" w:lineRule="auto"/>
        <w:jc w:val="both"/>
        <w:rPr>
          <w:sz w:val="20"/>
          <w:szCs w:val="20"/>
          <w:lang w:val="en-PL"/>
        </w:rPr>
      </w:pPr>
      <w:r w:rsidRPr="0088540C">
        <w:rPr>
          <w:sz w:val="20"/>
          <w:szCs w:val="20"/>
          <w:lang w:val="en-PL"/>
        </w:rPr>
        <w:t>Pozwolenia na budowę: deweloperzy uzyskali zgody na budowę 50 101 mieszkań – to o 9% więcej niż w I kwartale i o 25% więcej w skali I półrocza r/r.</w:t>
      </w:r>
    </w:p>
    <w:p w14:paraId="390985C1" w14:textId="1910D7CA" w:rsidR="00A52441" w:rsidRPr="0088540C" w:rsidRDefault="00A52441" w:rsidP="0088540C">
      <w:pPr>
        <w:pStyle w:val="ListParagraph"/>
        <w:numPr>
          <w:ilvl w:val="0"/>
          <w:numId w:val="6"/>
        </w:numPr>
        <w:spacing w:line="240" w:lineRule="auto"/>
        <w:jc w:val="both"/>
        <w:rPr>
          <w:sz w:val="20"/>
          <w:szCs w:val="20"/>
          <w:lang w:val="en-PL"/>
        </w:rPr>
      </w:pPr>
      <w:r w:rsidRPr="0088540C">
        <w:rPr>
          <w:sz w:val="20"/>
          <w:szCs w:val="20"/>
          <w:lang w:val="en-PL"/>
        </w:rPr>
        <w:t xml:space="preserve">Zasoby mieszkaniowe: </w:t>
      </w:r>
      <w:r>
        <w:rPr>
          <w:sz w:val="20"/>
          <w:szCs w:val="20"/>
          <w:lang w:val="en-PL"/>
        </w:rPr>
        <w:t>n</w:t>
      </w:r>
      <w:r w:rsidRPr="0088540C">
        <w:rPr>
          <w:sz w:val="20"/>
          <w:szCs w:val="20"/>
          <w:lang w:val="en-PL"/>
        </w:rPr>
        <w:t>a koniec 2025 roku zasoby mieszkaniowe Polski przekroczyły 16,1 mln lokali.</w:t>
      </w:r>
    </w:p>
    <w:p w14:paraId="3D5CFDC7" w14:textId="46AA5845" w:rsidR="00A52441" w:rsidRPr="0088540C" w:rsidRDefault="00A52441" w:rsidP="0088540C">
      <w:pPr>
        <w:pStyle w:val="ListParagraph"/>
        <w:numPr>
          <w:ilvl w:val="0"/>
          <w:numId w:val="6"/>
        </w:numPr>
        <w:spacing w:line="240" w:lineRule="auto"/>
        <w:jc w:val="both"/>
        <w:rPr>
          <w:sz w:val="20"/>
          <w:szCs w:val="20"/>
          <w:lang w:val="en-PL"/>
        </w:rPr>
      </w:pPr>
      <w:r w:rsidRPr="0088540C">
        <w:rPr>
          <w:sz w:val="20"/>
          <w:szCs w:val="20"/>
          <w:lang w:val="en-PL"/>
        </w:rPr>
        <w:t xml:space="preserve">Średnia powierzchnia: </w:t>
      </w:r>
      <w:r>
        <w:rPr>
          <w:sz w:val="20"/>
          <w:szCs w:val="20"/>
          <w:lang w:val="en-PL"/>
        </w:rPr>
        <w:t>m</w:t>
      </w:r>
      <w:r w:rsidRPr="0088540C">
        <w:rPr>
          <w:sz w:val="20"/>
          <w:szCs w:val="20"/>
          <w:lang w:val="en-PL"/>
        </w:rPr>
        <w:t>ieszkania przeznaczone na sprzedaż lub wynajem, oddane w I połowie 2026 roku, miały średnio 62,7 mkw.</w:t>
      </w:r>
    </w:p>
    <w:p w14:paraId="33808BC4" w14:textId="77777777" w:rsidR="00A52441" w:rsidRPr="00A52441" w:rsidRDefault="00A52441" w:rsidP="00A52441">
      <w:pPr>
        <w:spacing w:line="240" w:lineRule="auto"/>
        <w:jc w:val="both"/>
        <w:rPr>
          <w:b/>
          <w:bCs/>
          <w:sz w:val="20"/>
          <w:szCs w:val="20"/>
          <w:lang w:val="en-PL"/>
        </w:rPr>
      </w:pPr>
      <w:r w:rsidRPr="0088540C">
        <w:rPr>
          <w:sz w:val="20"/>
          <w:szCs w:val="20"/>
          <w:lang w:val="en-PL"/>
        </w:rPr>
        <w:t xml:space="preserve">– </w:t>
      </w:r>
      <w:r w:rsidRPr="0088540C">
        <w:rPr>
          <w:i/>
          <w:iCs/>
          <w:sz w:val="20"/>
          <w:szCs w:val="20"/>
          <w:lang w:val="en-PL"/>
        </w:rPr>
        <w:t>Drugi kwartał wyraźnie przypieczętował powrót optymizmu na rynek mieszkaniowy. Wyraźne ożywienie popytu oraz wysoka aktywność kredytobiorców dały deweloperom jasny sygnał do działania. Rosnąca liczba rozpoczynanych budów oraz uzyskanych pozwoleń potwierdzają, że branża ma pełną gotowość do uruchamiania kolejnych projektów. Dopóki sprzedaż na głównych rynkach zrównuje się z nową podażą lub ją przewyższa, będziemy obserwować presję na dalszy wzrost cen</w:t>
      </w:r>
      <w:r w:rsidRPr="0088540C">
        <w:rPr>
          <w:sz w:val="20"/>
          <w:szCs w:val="20"/>
          <w:lang w:val="en-PL"/>
        </w:rPr>
        <w:t xml:space="preserve"> – komentuje</w:t>
      </w:r>
      <w:r w:rsidRPr="00A52441">
        <w:rPr>
          <w:b/>
          <w:bCs/>
          <w:sz w:val="20"/>
          <w:szCs w:val="20"/>
          <w:lang w:val="en-PL"/>
        </w:rPr>
        <w:t xml:space="preserve"> Ewa Derlatka-Chilewicz, Head of Research, Cushman &amp; Wakefield.</w:t>
      </w:r>
    </w:p>
    <w:p w14:paraId="5BD34C00" w14:textId="77777777" w:rsidR="0088540C" w:rsidRPr="0088540C" w:rsidRDefault="0088540C" w:rsidP="0088540C">
      <w:pPr>
        <w:spacing w:line="240" w:lineRule="auto"/>
        <w:jc w:val="both"/>
        <w:rPr>
          <w:b/>
          <w:bCs/>
          <w:sz w:val="20"/>
          <w:szCs w:val="20"/>
          <w:lang w:val="en-PL"/>
        </w:rPr>
      </w:pPr>
      <w:r w:rsidRPr="0088540C">
        <w:rPr>
          <w:b/>
          <w:bCs/>
          <w:sz w:val="20"/>
          <w:szCs w:val="20"/>
          <w:lang w:val="en-PL"/>
        </w:rPr>
        <w:t>Warszawa przekracza poziom 20 tys. PLN za mkw. na rynku pierwotnym</w:t>
      </w:r>
    </w:p>
    <w:p w14:paraId="541780DA" w14:textId="4119F6EC" w:rsidR="0088540C" w:rsidRPr="0088540C" w:rsidRDefault="0088540C" w:rsidP="0088540C">
      <w:pPr>
        <w:spacing w:line="240" w:lineRule="auto"/>
        <w:jc w:val="both"/>
        <w:rPr>
          <w:sz w:val="20"/>
          <w:szCs w:val="20"/>
          <w:lang w:val="en-PL"/>
        </w:rPr>
      </w:pPr>
      <w:r w:rsidRPr="0088540C">
        <w:rPr>
          <w:sz w:val="20"/>
          <w:szCs w:val="20"/>
          <w:lang w:val="en-PL"/>
        </w:rPr>
        <w:t xml:space="preserve">W </w:t>
      </w:r>
      <w:r>
        <w:rPr>
          <w:sz w:val="20"/>
          <w:szCs w:val="20"/>
          <w:lang w:val="en-PL"/>
        </w:rPr>
        <w:t>drugim</w:t>
      </w:r>
      <w:r w:rsidRPr="0088540C">
        <w:rPr>
          <w:sz w:val="20"/>
          <w:szCs w:val="20"/>
          <w:lang w:val="en-PL"/>
        </w:rPr>
        <w:t xml:space="preserve"> kwartale 2026 roku na rynku pierwotnym utrzymywał się trend umiarkowanych wzrostów cen ofertowych, a dodatnią dynamikę kwartalną odnotowano we wszystkich analizowanych miastach. Liderem podwyżek była Warszawa (+4% kw/kw), gdzie średnia stawka po raz pierwszy w historii przekroczyła barierę 20 tys. PLN za mkw., osiągając 20 002 PLN/mkw. W większości pozostałych aglomeracji ceny rosły bardziej umiarkowanie </w:t>
      </w:r>
      <w:r>
        <w:rPr>
          <w:sz w:val="20"/>
          <w:szCs w:val="20"/>
          <w:lang w:val="en-PL"/>
        </w:rPr>
        <w:t>–</w:t>
      </w:r>
      <w:r w:rsidRPr="0088540C">
        <w:rPr>
          <w:sz w:val="20"/>
          <w:szCs w:val="20"/>
          <w:lang w:val="en-PL"/>
        </w:rPr>
        <w:t xml:space="preserve"> głównie o 2% kw/kw, w tym w Katowicach, które powróciły do wzrostów po spadku w poprzednim kwartale. Wyjątkiem był Gdańsk z podwyżką o 1% kw/kw.</w:t>
      </w:r>
    </w:p>
    <w:p w14:paraId="24B717C5" w14:textId="77777777" w:rsidR="0088540C" w:rsidRPr="0088540C" w:rsidRDefault="0088540C" w:rsidP="0088540C">
      <w:pPr>
        <w:spacing w:line="240" w:lineRule="auto"/>
        <w:jc w:val="both"/>
        <w:rPr>
          <w:sz w:val="20"/>
          <w:szCs w:val="20"/>
          <w:lang w:val="en-PL"/>
        </w:rPr>
      </w:pPr>
      <w:r w:rsidRPr="0088540C">
        <w:rPr>
          <w:sz w:val="20"/>
          <w:szCs w:val="20"/>
          <w:lang w:val="en-PL"/>
        </w:rPr>
        <w:t>W ujęciu rocznym najwyższą dynamikę zachował Gdańsk (+21% r/r), wyprzedzając Warszawę (+16% r/r) oraz Łódź (+11% r/r). We Wrocławiu i Poznaniu wzrosty wyniosły odpowiednio 7% i 5% r/r, z kolei w Katowicach ceny pozostały bez zmian. Nominalnie najdroższymi rynkami pierwotnymi były Warszawa, Gdańsk (18 521 PLN/mkw.) oraz Kraków (16 980 PLN/mkw.), podczas gdy najtańsza pozostała Łódź (11 632 PLN/mkw.).</w:t>
      </w:r>
    </w:p>
    <w:p w14:paraId="1F179B9D" w14:textId="77777777" w:rsidR="0088540C" w:rsidRPr="0088540C" w:rsidRDefault="0088540C" w:rsidP="0088540C">
      <w:pPr>
        <w:spacing w:line="240" w:lineRule="auto"/>
        <w:jc w:val="both"/>
        <w:rPr>
          <w:sz w:val="20"/>
          <w:szCs w:val="20"/>
          <w:lang w:val="en-PL"/>
        </w:rPr>
      </w:pPr>
      <w:r w:rsidRPr="0088540C">
        <w:rPr>
          <w:sz w:val="20"/>
          <w:szCs w:val="20"/>
          <w:lang w:val="en-PL"/>
        </w:rPr>
        <w:t xml:space="preserve">– </w:t>
      </w:r>
      <w:r w:rsidRPr="0088540C">
        <w:rPr>
          <w:i/>
          <w:iCs/>
          <w:sz w:val="20"/>
          <w:szCs w:val="20"/>
          <w:lang w:val="en-PL"/>
        </w:rPr>
        <w:t xml:space="preserve">Pomimo znaczących różnic w nominalnych poziomach cen, widoczna struktura zmian wskazuje na dużą synchronizację trendów cenowych pomiędzy głównymi aglomeracjami. Potwierdza to utrzymującą się </w:t>
      </w:r>
      <w:r w:rsidRPr="0088540C">
        <w:rPr>
          <w:i/>
          <w:iCs/>
          <w:sz w:val="20"/>
          <w:szCs w:val="20"/>
          <w:lang w:val="en-PL"/>
        </w:rPr>
        <w:lastRenderedPageBreak/>
        <w:t>odporność i dojrzałość całego krajowego segmentu mieszkaniowego</w:t>
      </w:r>
      <w:r w:rsidRPr="0088540C">
        <w:rPr>
          <w:sz w:val="20"/>
          <w:szCs w:val="20"/>
          <w:lang w:val="en-PL"/>
        </w:rPr>
        <w:t xml:space="preserve"> – podkreśla </w:t>
      </w:r>
      <w:r w:rsidRPr="0088540C">
        <w:rPr>
          <w:b/>
          <w:bCs/>
          <w:sz w:val="20"/>
          <w:szCs w:val="20"/>
          <w:lang w:val="en-PL"/>
        </w:rPr>
        <w:t>Ewa Derlatka-Chilewicz, Head of Research w Cushman &amp; Wakefield</w:t>
      </w:r>
      <w:r w:rsidRPr="0088540C">
        <w:rPr>
          <w:sz w:val="20"/>
          <w:szCs w:val="20"/>
          <w:lang w:val="en-PL"/>
        </w:rPr>
        <w:t>.</w:t>
      </w:r>
    </w:p>
    <w:p w14:paraId="67B98E9B" w14:textId="77777777" w:rsidR="0088540C" w:rsidRPr="0088540C" w:rsidRDefault="0088540C" w:rsidP="0088540C">
      <w:pPr>
        <w:spacing w:line="240" w:lineRule="auto"/>
        <w:jc w:val="both"/>
        <w:rPr>
          <w:b/>
          <w:bCs/>
          <w:sz w:val="20"/>
          <w:szCs w:val="20"/>
          <w:lang w:val="en-PL"/>
        </w:rPr>
      </w:pPr>
      <w:r w:rsidRPr="0088540C">
        <w:rPr>
          <w:b/>
          <w:bCs/>
          <w:sz w:val="20"/>
          <w:szCs w:val="20"/>
          <w:lang w:val="en-PL"/>
        </w:rPr>
        <w:t>Rynek wtórny z większą stabilizacją</w:t>
      </w:r>
    </w:p>
    <w:p w14:paraId="54A0AF77" w14:textId="4B712972" w:rsidR="0088540C" w:rsidRPr="0088540C" w:rsidRDefault="0088540C" w:rsidP="0088540C">
      <w:pPr>
        <w:spacing w:line="240" w:lineRule="auto"/>
        <w:jc w:val="both"/>
        <w:rPr>
          <w:sz w:val="20"/>
          <w:szCs w:val="20"/>
          <w:lang w:val="en-PL"/>
        </w:rPr>
      </w:pPr>
      <w:r w:rsidRPr="0088540C">
        <w:rPr>
          <w:sz w:val="20"/>
          <w:szCs w:val="20"/>
          <w:lang w:val="en-PL"/>
        </w:rPr>
        <w:t>Segment mieszkań używanych w</w:t>
      </w:r>
      <w:r>
        <w:rPr>
          <w:sz w:val="20"/>
          <w:szCs w:val="20"/>
          <w:lang w:val="en-PL"/>
        </w:rPr>
        <w:t xml:space="preserve"> drugim</w:t>
      </w:r>
      <w:r w:rsidRPr="0088540C">
        <w:rPr>
          <w:sz w:val="20"/>
          <w:szCs w:val="20"/>
          <w:lang w:val="en-PL"/>
        </w:rPr>
        <w:t xml:space="preserve"> kwartale 2026 roku cechował się większą stabilizacją. Z danych Otodom wynika, że w większości lokalizacji ceny rosły w tempie ok. 1% kw/kw. Warszawa umocniła pozycję najdroższego rynku wtórnego ze średnią stawką 18 771 PLN/mkw., wyprzedzając Gdańsk (17 077 PLN/mkw.) oraz Kraków (16 873 PLN/mkw.).</w:t>
      </w:r>
    </w:p>
    <w:p w14:paraId="33785C4C" w14:textId="77777777" w:rsidR="0088540C" w:rsidRPr="0088540C" w:rsidRDefault="0088540C" w:rsidP="0088540C">
      <w:pPr>
        <w:spacing w:line="240" w:lineRule="auto"/>
        <w:jc w:val="both"/>
        <w:rPr>
          <w:sz w:val="20"/>
          <w:szCs w:val="20"/>
          <w:lang w:val="en-PL"/>
        </w:rPr>
      </w:pPr>
      <w:r w:rsidRPr="0088540C">
        <w:rPr>
          <w:sz w:val="20"/>
          <w:szCs w:val="20"/>
          <w:lang w:val="en-PL"/>
        </w:rPr>
        <w:t>Roczna dynamika cen na rynku wtórnym pozostała ograniczona. Najwyższe wzrosty odnotowano w Gdańsku (+6% r/r), Poznaniu (+5% r/r) i Warszawie (+3% r/r), podczas gdy w Krakowie, Łodzi, Katowicach i Wrocławiu zmiana nie przekroczyła 2% r/r. Wyraźnie niższe tempo wzrostu w porównaniu z rynkiem pierwotnym sugeruje, że segment wtórny pozostaje pod presją konkurencyjną deweloperów. Większa stabilizacja cen świadczy z kolei o rosnącej selektywności nabywców oraz zwiększającym się znaczeniu jakości i standardu nieruchomości.</w:t>
      </w:r>
    </w:p>
    <w:p w14:paraId="6E5BEA49" w14:textId="77777777" w:rsidR="00FB442B" w:rsidRDefault="00000000">
      <w:pPr>
        <w:jc w:val="center"/>
        <w:rPr>
          <w:sz w:val="16"/>
          <w:szCs w:val="16"/>
        </w:rPr>
      </w:pPr>
      <w:r>
        <w:rPr>
          <w:sz w:val="16"/>
          <w:szCs w:val="16"/>
        </w:rPr>
        <w:t xml:space="preserve">- </w:t>
      </w:r>
      <w:r>
        <w:rPr>
          <w:b/>
          <w:bCs/>
          <w:sz w:val="16"/>
          <w:szCs w:val="16"/>
        </w:rPr>
        <w:t>KONIEC -</w:t>
      </w:r>
    </w:p>
    <w:p w14:paraId="5737D98B" w14:textId="77777777" w:rsidR="00FB442B" w:rsidRDefault="00FB442B">
      <w:pPr>
        <w:spacing w:line="240" w:lineRule="auto"/>
        <w:jc w:val="both"/>
        <w:rPr>
          <w:b/>
          <w:bCs/>
          <w:sz w:val="20"/>
          <w:szCs w:val="20"/>
        </w:rPr>
      </w:pPr>
    </w:p>
    <w:p w14:paraId="14A1A069" w14:textId="77777777" w:rsidR="00FB442B" w:rsidRDefault="00000000">
      <w:pPr>
        <w:spacing w:line="240" w:lineRule="auto"/>
        <w:jc w:val="both"/>
        <w:rPr>
          <w:b/>
          <w:bCs/>
          <w:sz w:val="20"/>
          <w:szCs w:val="20"/>
        </w:rPr>
      </w:pPr>
      <w:r>
        <w:rPr>
          <w:b/>
          <w:bCs/>
          <w:sz w:val="16"/>
          <w:szCs w:val="16"/>
        </w:rPr>
        <w:t>O Cushman &amp; Wakefield</w:t>
      </w:r>
    </w:p>
    <w:p w14:paraId="179399BD" w14:textId="77777777" w:rsidR="00FB442B" w:rsidRDefault="00000000">
      <w:pPr>
        <w:pBdr>
          <w:top w:val="nil"/>
          <w:left w:val="nil"/>
          <w:bottom w:val="nil"/>
          <w:right w:val="nil"/>
          <w:between w:val="nil"/>
        </w:pBdr>
        <w:shd w:val="clear" w:color="auto" w:fill="FFFFFF"/>
        <w:spacing w:after="0" w:line="240" w:lineRule="auto"/>
        <w:jc w:val="both"/>
        <w:rPr>
          <w:color w:val="000000"/>
          <w:sz w:val="18"/>
          <w:szCs w:val="18"/>
        </w:rPr>
      </w:pPr>
      <w:r>
        <w:rPr>
          <w:color w:val="000000"/>
          <w:sz w:val="18"/>
          <w:szCs w:val="18"/>
        </w:rPr>
        <w:t>Cushman &amp; Wakefield (NYSE: CWK) jest wiodącą na świecie firmą świadczącą usługi na rynku nieruchomości komercyjnych na rzecz najemców i inwestorów. Zatrudnia ok. 53 tys. pracowników w ponad 350 biurach i niemal 60 krajach na całym świecie. W 2025 roku jej przychody wyniosły 10,3 mld USD. Do najważniejszych usług świadczonych przez firmę należą m.in. zarządzanie nieruchomościami, obiektami i projektami, pośrednictwo w wynajmie powierzchni, obsługa transakcji na rynkach kapitałowych oraz wyceny. Za nieustanne dążenie do doskonałości zgodnie z zasadą</w:t>
      </w:r>
      <w:r>
        <w:rPr>
          <w:i/>
          <w:iCs/>
          <w:color w:val="000000"/>
          <w:sz w:val="18"/>
          <w:szCs w:val="18"/>
        </w:rPr>
        <w:t> </w:t>
      </w:r>
      <w:proofErr w:type="spellStart"/>
      <w:r>
        <w:rPr>
          <w:i/>
          <w:iCs/>
          <w:color w:val="000000"/>
          <w:sz w:val="18"/>
          <w:szCs w:val="18"/>
        </w:rPr>
        <w:t>Better</w:t>
      </w:r>
      <w:proofErr w:type="spellEnd"/>
      <w:r>
        <w:rPr>
          <w:i/>
          <w:iCs/>
          <w:color w:val="000000"/>
          <w:sz w:val="18"/>
          <w:szCs w:val="18"/>
        </w:rPr>
        <w:t xml:space="preserve"> </w:t>
      </w:r>
      <w:proofErr w:type="spellStart"/>
      <w:r>
        <w:rPr>
          <w:i/>
          <w:iCs/>
          <w:color w:val="000000"/>
          <w:sz w:val="18"/>
          <w:szCs w:val="18"/>
        </w:rPr>
        <w:t>never</w:t>
      </w:r>
      <w:proofErr w:type="spellEnd"/>
      <w:r>
        <w:rPr>
          <w:i/>
          <w:iCs/>
          <w:color w:val="000000"/>
          <w:sz w:val="18"/>
          <w:szCs w:val="18"/>
        </w:rPr>
        <w:t xml:space="preserve"> </w:t>
      </w:r>
      <w:proofErr w:type="spellStart"/>
      <w:r>
        <w:rPr>
          <w:i/>
          <w:iCs/>
          <w:color w:val="000000"/>
          <w:sz w:val="18"/>
          <w:szCs w:val="18"/>
        </w:rPr>
        <w:t>settles</w:t>
      </w:r>
      <w:proofErr w:type="spellEnd"/>
      <w:r>
        <w:rPr>
          <w:color w:val="000000"/>
          <w:sz w:val="18"/>
          <w:szCs w:val="18"/>
        </w:rPr>
        <w:t> </w:t>
      </w:r>
      <w:proofErr w:type="spellStart"/>
      <w:r>
        <w:rPr>
          <w:color w:val="000000"/>
          <w:sz w:val="18"/>
          <w:szCs w:val="18"/>
        </w:rPr>
        <w:t>Cushman</w:t>
      </w:r>
      <w:proofErr w:type="spellEnd"/>
      <w:r>
        <w:rPr>
          <w:color w:val="000000"/>
          <w:sz w:val="18"/>
          <w:szCs w:val="18"/>
        </w:rPr>
        <w:t xml:space="preserve"> &amp; Wakefield otrzymuje wiele wyróżnień oraz nagród w konkursach branżowych i biznesowych. Dodatkowe informacje na stronie </w:t>
      </w:r>
      <w:hyperlink r:id="rId8">
        <w:r w:rsidR="00FB442B">
          <w:rPr>
            <w:rFonts w:ascii="Times New Roman" w:eastAsia="Times New Roman" w:hAnsi="Times New Roman" w:cs="Times New Roman"/>
            <w:color w:val="4472C4"/>
            <w:sz w:val="18"/>
            <w:szCs w:val="18"/>
            <w:u w:val="single"/>
          </w:rPr>
          <w:t>www.cushmanwakefield.com</w:t>
        </w:r>
      </w:hyperlink>
      <w:r>
        <w:rPr>
          <w:color w:val="000000"/>
          <w:sz w:val="18"/>
          <w:szCs w:val="18"/>
        </w:rPr>
        <w:t>.</w:t>
      </w:r>
    </w:p>
    <w:p w14:paraId="147DA6FA" w14:textId="77777777" w:rsidR="00FB442B" w:rsidRDefault="00FB442B">
      <w:pPr>
        <w:jc w:val="both"/>
        <w:rPr>
          <w:sz w:val="16"/>
          <w:szCs w:val="16"/>
        </w:rPr>
      </w:pPr>
    </w:p>
    <w:sectPr w:rsidR="00FB442B">
      <w:headerReference w:type="default" r:id="rId9"/>
      <w:footerReference w:type="default" r:id="rId10"/>
      <w:headerReference w:type="first" r:id="rId11"/>
      <w:footerReference w:type="first" r:id="rId12"/>
      <w:pgSz w:w="11907" w:h="16839"/>
      <w:pgMar w:top="3600" w:right="1008" w:bottom="2880" w:left="1224" w:header="1800" w:footer="43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0630B9" w14:textId="77777777" w:rsidR="00730957" w:rsidRDefault="00730957">
      <w:pPr>
        <w:spacing w:after="0" w:line="240" w:lineRule="auto"/>
      </w:pPr>
      <w:r>
        <w:separator/>
      </w:r>
    </w:p>
  </w:endnote>
  <w:endnote w:type="continuationSeparator" w:id="0">
    <w:p w14:paraId="21EC1260" w14:textId="77777777" w:rsidR="00730957" w:rsidRDefault="00730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BE048C41-339A-8E4F-BDD5-682EAA5D8C47}"/>
  </w:font>
  <w:font w:name="Times New Roman">
    <w:panose1 w:val="02020603050405020304"/>
    <w:charset w:val="EE"/>
    <w:family w:val="roman"/>
    <w:pitch w:val="variable"/>
    <w:sig w:usb0="E0002EFF" w:usb1="C000785B" w:usb2="00000009" w:usb3="00000000" w:csb0="000001FF" w:csb1="00000000"/>
    <w:embedRegular r:id="rId2" w:fontKey="{F82C7264-DD08-0247-B269-4D415757A66C}"/>
    <w:embedBold r:id="rId3" w:fontKey="{F3A22FA3-3186-264D-A8A6-8174C7216077}"/>
  </w:font>
  <w:font w:name="Courier New">
    <w:panose1 w:val="02070309020205020404"/>
    <w:charset w:val="00"/>
    <w:family w:val="modern"/>
    <w:pitch w:val="fixed"/>
    <w:sig w:usb0="E0002EFF" w:usb1="C0007843" w:usb2="00000009" w:usb3="00000000" w:csb0="000001FF" w:csb1="00000000"/>
    <w:embedRegular r:id="rId4" w:fontKey="{A873325E-B6B7-ED48-A37A-CBE4F74217B3}"/>
  </w:font>
  <w:font w:name="Wingdings">
    <w:panose1 w:val="05000000000000000000"/>
    <w:charset w:val="4D"/>
    <w:family w:val="decorative"/>
    <w:pitch w:val="variable"/>
    <w:sig w:usb0="00000003" w:usb1="00000000" w:usb2="00000000" w:usb3="00000000" w:csb0="80000001" w:csb1="00000000"/>
    <w:embedRegular r:id="rId5" w:fontKey="{E5A578A5-A927-3F42-9530-B5B8C69ACEAC}"/>
  </w:font>
  <w:font w:name="Arial">
    <w:panose1 w:val="020B0604020202020204"/>
    <w:charset w:val="00"/>
    <w:family w:val="swiss"/>
    <w:pitch w:val="variable"/>
    <w:sig w:usb0="E0002EFF" w:usb1="C000785B" w:usb2="00000009" w:usb3="00000000" w:csb0="000001FF" w:csb1="00000000"/>
    <w:embedRegular r:id="rId6" w:fontKey="{CA10B943-0F8F-4E42-95AD-127EA2AD10E6}"/>
    <w:embedBold r:id="rId7" w:fontKey="{7D5B94CF-845F-3D4A-9133-03683D18E403}"/>
    <w:embedItalic r:id="rId8" w:fontKey="{DF9EF19C-5010-B14B-A124-04F55D2FA1A4}"/>
  </w:font>
  <w:font w:name="Calibri">
    <w:panose1 w:val="020F0502020204030204"/>
    <w:charset w:val="EE"/>
    <w:family w:val="swiss"/>
    <w:pitch w:val="variable"/>
    <w:sig w:usb0="E4002EFF" w:usb1="C200247B" w:usb2="00000009" w:usb3="00000000" w:csb0="000001FF" w:csb1="00000000"/>
    <w:embedRegular r:id="rId9" w:fontKey="{B9F753ED-5F65-1841-9F53-A6847A75DB49}"/>
    <w:embedBold r:id="rId10" w:fontKey="{F408401E-52AD-4B43-8F82-E409767542EE}"/>
  </w:font>
  <w:font w:name="Georgia">
    <w:panose1 w:val="02040502050405020303"/>
    <w:charset w:val="EE"/>
    <w:family w:val="roman"/>
    <w:pitch w:val="variable"/>
    <w:sig w:usb0="00000287" w:usb1="00000000" w:usb2="00000000" w:usb3="00000000" w:csb0="0000009F" w:csb1="00000000"/>
    <w:embedItalic r:id="rId11" w:fontKey="{DDD723DB-5D18-9947-BB0D-DF12D8E84F50}"/>
  </w:font>
  <w:font w:name="Cambria">
    <w:panose1 w:val="02040503050406030204"/>
    <w:charset w:val="00"/>
    <w:family w:val="roman"/>
    <w:pitch w:val="variable"/>
    <w:sig w:usb0="E00006FF" w:usb1="420024FF" w:usb2="02000000" w:usb3="00000000" w:csb0="0000019F" w:csb1="00000000"/>
    <w:embedRegular r:id="rId12" w:fontKey="{63D5F4D5-5840-B84C-B0DE-13A8B480BF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FAE73" w14:textId="77777777" w:rsidR="00FB442B" w:rsidRDefault="00FB442B">
    <w:pPr>
      <w:widowControl w:val="0"/>
      <w:pBdr>
        <w:top w:val="nil"/>
        <w:left w:val="nil"/>
        <w:bottom w:val="nil"/>
        <w:right w:val="nil"/>
        <w:between w:val="nil"/>
      </w:pBdr>
      <w:spacing w:after="0"/>
      <w:rPr>
        <w:color w:val="000000"/>
      </w:rPr>
    </w:pPr>
  </w:p>
  <w:tbl>
    <w:tblPr>
      <w:tblStyle w:val="a"/>
      <w:tblW w:w="9000" w:type="dxa"/>
      <w:tblInd w:w="0" w:type="dxa"/>
      <w:tblLayout w:type="fixed"/>
      <w:tblLook w:val="0400" w:firstRow="0" w:lastRow="0" w:firstColumn="0" w:lastColumn="0" w:noHBand="0" w:noVBand="1"/>
    </w:tblPr>
    <w:tblGrid>
      <w:gridCol w:w="9000"/>
    </w:tblGrid>
    <w:tr w:rsidR="00FB442B" w14:paraId="73D07674" w14:textId="77777777">
      <w:trPr>
        <w:trHeight w:val="630"/>
      </w:trPr>
      <w:tc>
        <w:tcPr>
          <w:tcW w:w="9000" w:type="dxa"/>
          <w:vAlign w:val="bottom"/>
        </w:tcPr>
        <w:p w14:paraId="4E642AF2" w14:textId="3BC094B2" w:rsidR="00FB442B" w:rsidRDefault="003842BF">
          <w:pPr>
            <w:pStyle w:val="Heading2"/>
            <w:rPr>
              <w:rFonts w:ascii="Arial" w:eastAsia="Arial" w:hAnsi="Arial" w:cs="Arial"/>
              <w:color w:val="000000"/>
            </w:rPr>
          </w:pPr>
          <w:r>
            <w:rPr>
              <w:rFonts w:ascii="Arial" w:eastAsia="Arial" w:hAnsi="Arial" w:cs="Arial"/>
              <w:color w:val="000000"/>
            </w:rPr>
            <w:t>WIĘCEJ INFORMACJI:</w:t>
          </w:r>
        </w:p>
      </w:tc>
    </w:tr>
    <w:tr w:rsidR="00FB442B" w:rsidRPr="00BA7B86" w14:paraId="3A0CC7CB" w14:textId="77777777">
      <w:trPr>
        <w:trHeight w:val="1260"/>
      </w:trPr>
      <w:tc>
        <w:tcPr>
          <w:tcW w:w="9000" w:type="dxa"/>
        </w:tcPr>
        <w:p w14:paraId="1F5D399A" w14:textId="77777777" w:rsidR="00FB442B" w:rsidRDefault="00FB442B">
          <w:pPr>
            <w:widowControl w:val="0"/>
            <w:pBdr>
              <w:top w:val="nil"/>
              <w:left w:val="nil"/>
              <w:bottom w:val="nil"/>
              <w:right w:val="nil"/>
              <w:between w:val="nil"/>
            </w:pBdr>
            <w:spacing w:after="0"/>
            <w:rPr>
              <w:color w:val="000000"/>
            </w:rPr>
          </w:pPr>
        </w:p>
        <w:tbl>
          <w:tblPr>
            <w:tblStyle w:val="a0"/>
            <w:tblW w:w="10095" w:type="dxa"/>
            <w:tblInd w:w="0" w:type="dxa"/>
            <w:tblLayout w:type="fixed"/>
            <w:tblLook w:val="04A0" w:firstRow="1" w:lastRow="0" w:firstColumn="1" w:lastColumn="0" w:noHBand="0" w:noVBand="1"/>
          </w:tblPr>
          <w:tblGrid>
            <w:gridCol w:w="8564"/>
            <w:gridCol w:w="218"/>
            <w:gridCol w:w="218"/>
          </w:tblGrid>
          <w:tr w:rsidR="00FB442B" w:rsidRPr="00BA7B86" w14:paraId="51FB3917" w14:textId="77777777" w:rsidTr="00FB442B">
            <w:trPr>
              <w:cnfStyle w:val="100000000000" w:firstRow="1" w:lastRow="0" w:firstColumn="0" w:lastColumn="0" w:oddVBand="0" w:evenVBand="0" w:oddHBand="0" w:evenHBand="0" w:firstRowFirstColumn="0" w:firstRowLastColumn="0" w:lastRowFirstColumn="0" w:lastRowLastColumn="0"/>
              <w:trHeight w:val="1164"/>
            </w:trPr>
            <w:tc>
              <w:tcPr>
                <w:cnfStyle w:val="001000000000" w:firstRow="0" w:lastRow="0" w:firstColumn="1" w:lastColumn="0" w:oddVBand="0" w:evenVBand="0" w:oddHBand="0" w:evenHBand="0" w:firstRowFirstColumn="0" w:firstRowLastColumn="0" w:lastRowFirstColumn="0" w:lastRowLastColumn="0"/>
                <w:tcW w:w="3467" w:type="dxa"/>
              </w:tcPr>
              <w:p w14:paraId="56778D5B" w14:textId="77777777" w:rsidR="00FB442B" w:rsidRDefault="00FB442B">
                <w:pPr>
                  <w:widowControl w:val="0"/>
                  <w:pBdr>
                    <w:top w:val="nil"/>
                    <w:left w:val="nil"/>
                    <w:bottom w:val="nil"/>
                    <w:right w:val="nil"/>
                    <w:between w:val="nil"/>
                  </w:pBdr>
                  <w:spacing w:line="276" w:lineRule="auto"/>
                  <w:rPr>
                    <w:color w:val="000000"/>
                  </w:rPr>
                </w:pPr>
              </w:p>
              <w:tbl>
                <w:tblPr>
                  <w:tblStyle w:val="a1"/>
                  <w:tblW w:w="24344" w:type="dxa"/>
                  <w:tblInd w:w="27" w:type="dxa"/>
                  <w:tblBorders>
                    <w:top w:val="nil"/>
                    <w:left w:val="nil"/>
                    <w:bottom w:val="nil"/>
                    <w:right w:val="nil"/>
                    <w:insideH w:val="nil"/>
                    <w:insideV w:val="nil"/>
                  </w:tblBorders>
                  <w:tblLayout w:type="fixed"/>
                  <w:tblLook w:val="0400" w:firstRow="0" w:lastRow="0" w:firstColumn="0" w:lastColumn="0" w:noHBand="0" w:noVBand="1"/>
                </w:tblPr>
                <w:tblGrid>
                  <w:gridCol w:w="6086"/>
                  <w:gridCol w:w="6086"/>
                  <w:gridCol w:w="6086"/>
                  <w:gridCol w:w="6086"/>
                </w:tblGrid>
                <w:tr w:rsidR="00FB442B" w:rsidRPr="00BA7B86" w14:paraId="77BA02A7" w14:textId="77777777">
                  <w:trPr>
                    <w:trHeight w:val="738"/>
                  </w:trPr>
                  <w:tc>
                    <w:tcPr>
                      <w:tcW w:w="6086" w:type="dxa"/>
                    </w:tcPr>
                    <w:p w14:paraId="4376AFAE" w14:textId="77777777" w:rsidR="00FB442B" w:rsidRPr="003842BF" w:rsidRDefault="00000000">
                      <w:pPr>
                        <w:keepNext/>
                        <w:keepLines/>
                        <w:pBdr>
                          <w:top w:val="nil"/>
                          <w:left w:val="nil"/>
                          <w:bottom w:val="nil"/>
                          <w:right w:val="nil"/>
                          <w:between w:val="nil"/>
                        </w:pBdr>
                        <w:rPr>
                          <w:rFonts w:ascii="Calibri" w:eastAsia="Calibri" w:hAnsi="Calibri" w:cs="Calibri"/>
                          <w:b/>
                          <w:bCs/>
                          <w:color w:val="696B6B"/>
                          <w:sz w:val="18"/>
                          <w:szCs w:val="18"/>
                          <w:lang w:val="en-US"/>
                        </w:rPr>
                      </w:pPr>
                      <w:r w:rsidRPr="003842BF">
                        <w:rPr>
                          <w:rFonts w:ascii="Calibri" w:eastAsia="Calibri" w:hAnsi="Calibri" w:cs="Calibri"/>
                          <w:b/>
                          <w:bCs/>
                          <w:color w:val="696B6B"/>
                          <w:sz w:val="18"/>
                          <w:szCs w:val="18"/>
                          <w:lang w:val="en-US"/>
                        </w:rPr>
                        <w:t xml:space="preserve">Karolina </w:t>
                      </w:r>
                      <w:proofErr w:type="spellStart"/>
                      <w:r w:rsidRPr="003842BF">
                        <w:rPr>
                          <w:rFonts w:ascii="Calibri" w:eastAsia="Calibri" w:hAnsi="Calibri" w:cs="Calibri"/>
                          <w:b/>
                          <w:bCs/>
                          <w:color w:val="696B6B"/>
                          <w:sz w:val="18"/>
                          <w:szCs w:val="18"/>
                          <w:lang w:val="en-US"/>
                        </w:rPr>
                        <w:t>Samczyńska-Fiślak</w:t>
                      </w:r>
                      <w:proofErr w:type="spellEnd"/>
                    </w:p>
                    <w:p w14:paraId="3B3E74F6" w14:textId="77777777" w:rsidR="00FB442B" w:rsidRPr="003842BF" w:rsidRDefault="00000000">
                      <w:pPr>
                        <w:keepNext/>
                        <w:keepLines/>
                        <w:pBdr>
                          <w:top w:val="nil"/>
                          <w:left w:val="nil"/>
                          <w:bottom w:val="nil"/>
                          <w:right w:val="nil"/>
                          <w:between w:val="nil"/>
                        </w:pBdr>
                        <w:rPr>
                          <w:rFonts w:ascii="Calibri" w:eastAsia="Calibri" w:hAnsi="Calibri" w:cs="Calibri"/>
                          <w:color w:val="696B6B"/>
                          <w:sz w:val="18"/>
                          <w:szCs w:val="18"/>
                          <w:lang w:val="en-US"/>
                        </w:rPr>
                      </w:pPr>
                      <w:r w:rsidRPr="003842BF">
                        <w:rPr>
                          <w:rFonts w:ascii="Calibri" w:eastAsia="Calibri" w:hAnsi="Calibri" w:cs="Calibri"/>
                          <w:color w:val="696B6B"/>
                          <w:sz w:val="18"/>
                          <w:szCs w:val="18"/>
                          <w:lang w:val="en-US"/>
                        </w:rPr>
                        <w:t xml:space="preserve">Cushman &amp; Wakefield </w:t>
                      </w:r>
                    </w:p>
                    <w:p w14:paraId="6619D788" w14:textId="77777777" w:rsidR="00FB442B" w:rsidRPr="003842BF" w:rsidRDefault="00000000">
                      <w:pPr>
                        <w:rPr>
                          <w:rFonts w:ascii="Calibri" w:eastAsia="Calibri" w:hAnsi="Calibri" w:cs="Calibri"/>
                          <w:sz w:val="18"/>
                          <w:szCs w:val="18"/>
                          <w:lang w:val="en-US"/>
                        </w:rPr>
                      </w:pPr>
                      <w:r w:rsidRPr="003842BF">
                        <w:rPr>
                          <w:rFonts w:ascii="Calibri" w:eastAsia="Calibri" w:hAnsi="Calibri" w:cs="Calibri"/>
                          <w:color w:val="696B6B"/>
                          <w:sz w:val="18"/>
                          <w:szCs w:val="18"/>
                          <w:lang w:val="en-US"/>
                        </w:rPr>
                        <w:t>Tel: + 48 22 820 20 20; 691 060 202</w:t>
                      </w:r>
                    </w:p>
                    <w:p w14:paraId="086E7844" w14:textId="77777777" w:rsidR="00FB442B" w:rsidRPr="003842BF" w:rsidRDefault="00000000">
                      <w:pPr>
                        <w:keepNext/>
                        <w:keepLines/>
                        <w:pBdr>
                          <w:top w:val="nil"/>
                          <w:left w:val="nil"/>
                          <w:bottom w:val="nil"/>
                          <w:right w:val="nil"/>
                          <w:between w:val="nil"/>
                        </w:pBdr>
                        <w:tabs>
                          <w:tab w:val="right" w:pos="4688"/>
                        </w:tabs>
                        <w:rPr>
                          <w:rFonts w:ascii="Calibri" w:eastAsia="Calibri" w:hAnsi="Calibri" w:cs="Calibri"/>
                          <w:b/>
                          <w:bCs/>
                          <w:color w:val="696B6B"/>
                          <w:sz w:val="18"/>
                          <w:szCs w:val="18"/>
                          <w:lang w:val="en-US"/>
                        </w:rPr>
                      </w:pPr>
                      <w:r w:rsidRPr="003842BF">
                        <w:rPr>
                          <w:rFonts w:ascii="Calibri" w:eastAsia="Calibri" w:hAnsi="Calibri" w:cs="Calibri"/>
                          <w:b/>
                          <w:bCs/>
                          <w:color w:val="696B6B"/>
                          <w:sz w:val="18"/>
                          <w:szCs w:val="18"/>
                          <w:lang w:val="en-US"/>
                        </w:rPr>
                        <w:t xml:space="preserve">e-mail: </w:t>
                      </w:r>
                      <w:hyperlink r:id="rId1">
                        <w:r w:rsidR="00FB442B" w:rsidRPr="003842BF">
                          <w:rPr>
                            <w:rFonts w:ascii="Calibri" w:eastAsia="Calibri" w:hAnsi="Calibri" w:cs="Calibri"/>
                            <w:b/>
                            <w:bCs/>
                            <w:color w:val="008B98"/>
                            <w:sz w:val="18"/>
                            <w:szCs w:val="18"/>
                            <w:lang w:val="en-US"/>
                          </w:rPr>
                          <w:t>media.poland@cushwake.pl</w:t>
                        </w:r>
                      </w:hyperlink>
                    </w:p>
                  </w:tc>
                  <w:tc>
                    <w:tcPr>
                      <w:tcW w:w="6086" w:type="dxa"/>
                    </w:tcPr>
                    <w:p w14:paraId="110885D9" w14:textId="77777777" w:rsidR="00FB442B" w:rsidRPr="003842BF" w:rsidRDefault="00FB442B">
                      <w:pPr>
                        <w:pBdr>
                          <w:top w:val="nil"/>
                          <w:left w:val="nil"/>
                          <w:bottom w:val="nil"/>
                          <w:right w:val="nil"/>
                          <w:between w:val="nil"/>
                        </w:pBdr>
                        <w:rPr>
                          <w:rFonts w:ascii="Calibri" w:eastAsia="Calibri" w:hAnsi="Calibri" w:cs="Calibri"/>
                          <w:color w:val="696B6B"/>
                          <w:sz w:val="18"/>
                          <w:szCs w:val="18"/>
                          <w:lang w:val="en-US"/>
                        </w:rPr>
                      </w:pPr>
                    </w:p>
                  </w:tc>
                  <w:tc>
                    <w:tcPr>
                      <w:tcW w:w="6086" w:type="dxa"/>
                    </w:tcPr>
                    <w:p w14:paraId="0F0391B4" w14:textId="77777777" w:rsidR="00FB442B" w:rsidRPr="003842BF" w:rsidRDefault="00FB442B">
                      <w:pPr>
                        <w:keepNext/>
                        <w:keepLines/>
                        <w:pBdr>
                          <w:top w:val="nil"/>
                          <w:left w:val="nil"/>
                          <w:bottom w:val="nil"/>
                          <w:right w:val="nil"/>
                          <w:between w:val="nil"/>
                        </w:pBdr>
                        <w:rPr>
                          <w:rFonts w:ascii="Calibri" w:eastAsia="Calibri" w:hAnsi="Calibri" w:cs="Calibri"/>
                          <w:b/>
                          <w:bCs/>
                          <w:color w:val="696B6B"/>
                          <w:sz w:val="18"/>
                          <w:szCs w:val="18"/>
                          <w:lang w:val="en-US"/>
                        </w:rPr>
                      </w:pPr>
                    </w:p>
                  </w:tc>
                  <w:tc>
                    <w:tcPr>
                      <w:tcW w:w="6086" w:type="dxa"/>
                    </w:tcPr>
                    <w:p w14:paraId="16F95EE4" w14:textId="77777777" w:rsidR="00FB442B" w:rsidRPr="003842BF" w:rsidRDefault="00FB442B">
                      <w:pPr>
                        <w:keepNext/>
                        <w:keepLines/>
                        <w:pBdr>
                          <w:top w:val="nil"/>
                          <w:left w:val="nil"/>
                          <w:bottom w:val="nil"/>
                          <w:right w:val="nil"/>
                          <w:between w:val="nil"/>
                        </w:pBdr>
                        <w:rPr>
                          <w:rFonts w:ascii="Calibri" w:eastAsia="Calibri" w:hAnsi="Calibri" w:cs="Calibri"/>
                          <w:b/>
                          <w:bCs/>
                          <w:color w:val="696B6B"/>
                          <w:sz w:val="18"/>
                          <w:szCs w:val="18"/>
                          <w:lang w:val="en-US"/>
                        </w:rPr>
                      </w:pPr>
                    </w:p>
                  </w:tc>
                </w:tr>
              </w:tbl>
              <w:p w14:paraId="3604B8DB" w14:textId="77777777" w:rsidR="00FB442B" w:rsidRPr="003842BF" w:rsidRDefault="00FB442B">
                <w:pPr>
                  <w:pBdr>
                    <w:top w:val="nil"/>
                    <w:left w:val="nil"/>
                    <w:bottom w:val="nil"/>
                    <w:right w:val="nil"/>
                    <w:between w:val="nil"/>
                  </w:pBdr>
                  <w:spacing w:line="276" w:lineRule="auto"/>
                  <w:rPr>
                    <w:rFonts w:ascii="Calibri" w:eastAsia="Calibri" w:hAnsi="Calibri" w:cs="Calibri"/>
                    <w:color w:val="000000"/>
                    <w:sz w:val="18"/>
                    <w:szCs w:val="18"/>
                    <w:lang w:val="en-US"/>
                  </w:rPr>
                </w:pPr>
              </w:p>
            </w:tc>
            <w:tc>
              <w:tcPr>
                <w:tcW w:w="3763" w:type="dxa"/>
              </w:tcPr>
              <w:p w14:paraId="6E346A85" w14:textId="77777777" w:rsidR="00FB442B" w:rsidRPr="003842BF" w:rsidRDefault="00FB442B">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696B6B"/>
                    <w:sz w:val="18"/>
                    <w:szCs w:val="18"/>
                    <w:lang w:val="en-US"/>
                  </w:rPr>
                </w:pPr>
              </w:p>
            </w:tc>
            <w:tc>
              <w:tcPr>
                <w:tcW w:w="2865" w:type="dxa"/>
              </w:tcPr>
              <w:p w14:paraId="6BE75CA9" w14:textId="77777777" w:rsidR="00FB442B" w:rsidRPr="003842BF" w:rsidRDefault="00FB442B">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lang w:val="en-US"/>
                  </w:rPr>
                </w:pPr>
              </w:p>
              <w:p w14:paraId="25DAB269" w14:textId="77777777" w:rsidR="00FB442B" w:rsidRPr="003842BF" w:rsidRDefault="00FB442B">
                <w:pPr>
                  <w:pBdr>
                    <w:top w:val="nil"/>
                    <w:left w:val="nil"/>
                    <w:bottom w:val="nil"/>
                    <w:right w:val="nil"/>
                    <w:between w:val="nil"/>
                  </w:pBdr>
                  <w:spacing w:line="276"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lang w:val="en-US"/>
                  </w:rPr>
                </w:pPr>
              </w:p>
            </w:tc>
          </w:tr>
        </w:tbl>
        <w:p w14:paraId="2DCA041E" w14:textId="77777777" w:rsidR="00FB442B" w:rsidRPr="003842BF" w:rsidRDefault="00FB442B">
          <w:pPr>
            <w:pBdr>
              <w:top w:val="nil"/>
              <w:left w:val="nil"/>
              <w:bottom w:val="nil"/>
              <w:right w:val="nil"/>
              <w:between w:val="nil"/>
            </w:pBdr>
            <w:spacing w:after="0"/>
            <w:rPr>
              <w:rFonts w:ascii="Calibri" w:eastAsia="Calibri" w:hAnsi="Calibri" w:cs="Calibri"/>
              <w:color w:val="000000"/>
              <w:sz w:val="18"/>
              <w:szCs w:val="18"/>
              <w:lang w:val="en-US"/>
            </w:rPr>
          </w:pPr>
        </w:p>
      </w:tc>
    </w:tr>
  </w:tbl>
  <w:p w14:paraId="175988DF" w14:textId="77777777" w:rsidR="00FB442B" w:rsidRPr="003842BF" w:rsidRDefault="00FB442B">
    <w:pPr>
      <w:pBdr>
        <w:top w:val="nil"/>
        <w:left w:val="nil"/>
        <w:bottom w:val="nil"/>
        <w:right w:val="nil"/>
        <w:between w:val="nil"/>
      </w:pBdr>
      <w:tabs>
        <w:tab w:val="center" w:pos="4536"/>
        <w:tab w:val="right" w:pos="9072"/>
      </w:tabs>
      <w:spacing w:after="0" w:line="240" w:lineRule="auto"/>
      <w:rPr>
        <w:color w:val="00000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90C26" w14:textId="77777777" w:rsidR="00FB442B" w:rsidRDefault="00FB442B">
    <w:pPr>
      <w:widowControl w:val="0"/>
      <w:pBdr>
        <w:top w:val="nil"/>
        <w:left w:val="nil"/>
        <w:bottom w:val="nil"/>
        <w:right w:val="nil"/>
        <w:between w:val="nil"/>
      </w:pBdr>
      <w:spacing w:after="0"/>
      <w:rPr>
        <w:color w:val="000000"/>
      </w:rPr>
    </w:pPr>
  </w:p>
  <w:tbl>
    <w:tblPr>
      <w:tblStyle w:val="a2"/>
      <w:tblW w:w="9000" w:type="dxa"/>
      <w:tblInd w:w="0" w:type="dxa"/>
      <w:tblLayout w:type="fixed"/>
      <w:tblLook w:val="0400" w:firstRow="0" w:lastRow="0" w:firstColumn="0" w:lastColumn="0" w:noHBand="0" w:noVBand="1"/>
    </w:tblPr>
    <w:tblGrid>
      <w:gridCol w:w="5670"/>
      <w:gridCol w:w="3330"/>
    </w:tblGrid>
    <w:tr w:rsidR="00FB442B" w14:paraId="059BA095" w14:textId="77777777">
      <w:trPr>
        <w:trHeight w:val="630"/>
      </w:trPr>
      <w:tc>
        <w:tcPr>
          <w:tcW w:w="5670" w:type="dxa"/>
          <w:vAlign w:val="bottom"/>
        </w:tcPr>
        <w:p w14:paraId="7C440C81" w14:textId="77777777" w:rsidR="00FB442B" w:rsidRDefault="00000000">
          <w:pPr>
            <w:pStyle w:val="Heading2"/>
            <w:rPr>
              <w:rFonts w:ascii="Arial" w:eastAsia="Arial" w:hAnsi="Arial" w:cs="Arial"/>
              <w:color w:val="696B6B"/>
            </w:rPr>
          </w:pPr>
          <w:r>
            <w:rPr>
              <w:rFonts w:ascii="Arial" w:eastAsia="Arial" w:hAnsi="Arial" w:cs="Arial"/>
              <w:color w:val="696B6B"/>
            </w:rPr>
            <w:t>Media Contact:</w:t>
          </w:r>
        </w:p>
      </w:tc>
      <w:tc>
        <w:tcPr>
          <w:tcW w:w="3330" w:type="dxa"/>
          <w:vAlign w:val="bottom"/>
        </w:tcPr>
        <w:p w14:paraId="59A0B70F" w14:textId="77777777" w:rsidR="00FB442B" w:rsidRDefault="00FB442B">
          <w:pPr>
            <w:spacing w:after="100" w:line="240" w:lineRule="auto"/>
            <w:rPr>
              <w:b/>
              <w:bCs/>
              <w:color w:val="696B6B"/>
              <w:sz w:val="18"/>
              <w:szCs w:val="18"/>
            </w:rPr>
          </w:pPr>
        </w:p>
      </w:tc>
    </w:tr>
    <w:tr w:rsidR="00FB442B" w:rsidRPr="00BA7B86" w14:paraId="7C3DBCCD" w14:textId="77777777">
      <w:trPr>
        <w:trHeight w:val="1260"/>
      </w:trPr>
      <w:tc>
        <w:tcPr>
          <w:tcW w:w="5670" w:type="dxa"/>
          <w:vAlign w:val="bottom"/>
        </w:tcPr>
        <w:p w14:paraId="3E6C1758" w14:textId="77777777" w:rsidR="00FB442B" w:rsidRPr="003842BF" w:rsidRDefault="00000000">
          <w:pPr>
            <w:keepNext/>
            <w:keepLines/>
            <w:pBdr>
              <w:top w:val="nil"/>
              <w:left w:val="nil"/>
              <w:bottom w:val="nil"/>
              <w:right w:val="nil"/>
              <w:between w:val="nil"/>
            </w:pBdr>
            <w:spacing w:after="0"/>
            <w:rPr>
              <w:b/>
              <w:bCs/>
              <w:color w:val="696B6B"/>
              <w:sz w:val="18"/>
              <w:szCs w:val="18"/>
              <w:lang w:val="en-US"/>
            </w:rPr>
          </w:pPr>
          <w:r w:rsidRPr="003842BF">
            <w:rPr>
              <w:b/>
              <w:bCs/>
              <w:color w:val="696B6B"/>
              <w:sz w:val="18"/>
              <w:szCs w:val="18"/>
              <w:lang w:val="en-US"/>
            </w:rPr>
            <w:t>Name</w:t>
          </w:r>
        </w:p>
        <w:p w14:paraId="53C8730B" w14:textId="77777777" w:rsidR="00FB442B" w:rsidRPr="003842BF" w:rsidRDefault="00000000">
          <w:pPr>
            <w:pBdr>
              <w:top w:val="nil"/>
              <w:left w:val="nil"/>
              <w:bottom w:val="nil"/>
              <w:right w:val="nil"/>
              <w:between w:val="nil"/>
            </w:pBdr>
            <w:spacing w:after="0"/>
            <w:rPr>
              <w:color w:val="696B6B"/>
              <w:sz w:val="18"/>
              <w:szCs w:val="18"/>
              <w:lang w:val="en-US"/>
            </w:rPr>
          </w:pPr>
          <w:r w:rsidRPr="003842BF">
            <w:rPr>
              <w:color w:val="696B6B"/>
              <w:sz w:val="18"/>
              <w:szCs w:val="18"/>
              <w:lang w:val="en-US"/>
            </w:rPr>
            <w:t>Title</w:t>
          </w:r>
        </w:p>
        <w:p w14:paraId="4BF2524C" w14:textId="77777777" w:rsidR="00FB442B" w:rsidRPr="003842BF" w:rsidRDefault="00000000">
          <w:pPr>
            <w:pBdr>
              <w:top w:val="nil"/>
              <w:left w:val="nil"/>
              <w:bottom w:val="nil"/>
              <w:right w:val="nil"/>
              <w:between w:val="nil"/>
            </w:pBdr>
            <w:spacing w:after="0"/>
            <w:rPr>
              <w:color w:val="696B6B"/>
              <w:sz w:val="18"/>
              <w:szCs w:val="18"/>
              <w:lang w:val="en-US"/>
            </w:rPr>
          </w:pPr>
          <w:r w:rsidRPr="003842BF">
            <w:rPr>
              <w:color w:val="696B6B"/>
              <w:sz w:val="18"/>
              <w:szCs w:val="18"/>
              <w:lang w:val="en-US"/>
            </w:rPr>
            <w:t>+1 000 000 0000</w:t>
          </w:r>
        </w:p>
        <w:p w14:paraId="2A4C1DA1" w14:textId="77777777" w:rsidR="00FB442B" w:rsidRPr="003842BF" w:rsidRDefault="00FB442B">
          <w:pPr>
            <w:pBdr>
              <w:top w:val="nil"/>
              <w:left w:val="nil"/>
              <w:bottom w:val="nil"/>
              <w:right w:val="nil"/>
              <w:between w:val="nil"/>
            </w:pBdr>
            <w:spacing w:after="0"/>
            <w:rPr>
              <w:color w:val="696B6B"/>
              <w:sz w:val="18"/>
              <w:szCs w:val="18"/>
              <w:lang w:val="en-US"/>
            </w:rPr>
          </w:pPr>
          <w:r>
            <w:fldChar w:fldCharType="begin"/>
          </w:r>
          <w:r w:rsidRPr="00BA7B86">
            <w:rPr>
              <w:lang w:val="en-US"/>
            </w:rPr>
            <w:instrText>HYPERLINK "mailto:first.last@cushwake.com" \h</w:instrText>
          </w:r>
          <w:r>
            <w:fldChar w:fldCharType="separate"/>
          </w:r>
          <w:r w:rsidRPr="003842BF">
            <w:rPr>
              <w:color w:val="4472C4"/>
              <w:sz w:val="18"/>
              <w:szCs w:val="18"/>
              <w:u w:val="single"/>
              <w:lang w:val="en-US"/>
            </w:rPr>
            <w:t>first.last@cushwake.com</w:t>
          </w:r>
          <w:r>
            <w:rPr>
              <w:color w:val="4472C4"/>
              <w:sz w:val="18"/>
              <w:szCs w:val="18"/>
              <w:u w:val="single"/>
              <w:lang w:val="en-US"/>
            </w:rPr>
            <w:fldChar w:fldCharType="end"/>
          </w:r>
          <w:r w:rsidRPr="003842BF">
            <w:rPr>
              <w:color w:val="696B6B"/>
              <w:sz w:val="18"/>
              <w:szCs w:val="18"/>
              <w:lang w:val="en-US"/>
            </w:rPr>
            <w:t xml:space="preserve"> </w:t>
          </w:r>
        </w:p>
      </w:tc>
      <w:tc>
        <w:tcPr>
          <w:tcW w:w="3330" w:type="dxa"/>
          <w:vAlign w:val="bottom"/>
        </w:tcPr>
        <w:p w14:paraId="4519722B" w14:textId="77777777" w:rsidR="00FB442B" w:rsidRPr="003842BF" w:rsidRDefault="00FB442B">
          <w:pPr>
            <w:pBdr>
              <w:top w:val="nil"/>
              <w:left w:val="nil"/>
              <w:bottom w:val="nil"/>
              <w:right w:val="nil"/>
              <w:between w:val="nil"/>
            </w:pBdr>
            <w:spacing w:after="0"/>
            <w:rPr>
              <w:color w:val="696B6B"/>
              <w:sz w:val="18"/>
              <w:szCs w:val="18"/>
              <w:lang w:val="en-US"/>
            </w:rPr>
          </w:pPr>
        </w:p>
      </w:tc>
    </w:tr>
  </w:tbl>
  <w:p w14:paraId="6780F4DD" w14:textId="77777777" w:rsidR="00FB442B" w:rsidRPr="003842BF" w:rsidRDefault="00FB442B">
    <w:pPr>
      <w:pBdr>
        <w:top w:val="nil"/>
        <w:left w:val="nil"/>
        <w:bottom w:val="nil"/>
        <w:right w:val="nil"/>
        <w:between w:val="nil"/>
      </w:pBdr>
      <w:tabs>
        <w:tab w:val="center" w:pos="4680"/>
        <w:tab w:val="right" w:pos="9360"/>
      </w:tabs>
      <w:spacing w:after="0" w:line="240" w:lineRule="auto"/>
      <w:rPr>
        <w:color w:val="00000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3F7A3F" w14:textId="77777777" w:rsidR="00730957" w:rsidRDefault="00730957">
      <w:pPr>
        <w:spacing w:after="0" w:line="240" w:lineRule="auto"/>
      </w:pPr>
      <w:r>
        <w:separator/>
      </w:r>
    </w:p>
  </w:footnote>
  <w:footnote w:type="continuationSeparator" w:id="0">
    <w:p w14:paraId="3D442102" w14:textId="77777777" w:rsidR="00730957" w:rsidRDefault="007309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3142A" w14:textId="77777777" w:rsidR="00FB442B"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8240" behindDoc="0" locked="0" layoutInCell="1" hidden="0" allowOverlap="1" wp14:anchorId="660A6031" wp14:editId="37193814">
          <wp:simplePos x="0" y="0"/>
          <wp:positionH relativeFrom="column">
            <wp:posOffset>43134</wp:posOffset>
          </wp:positionH>
          <wp:positionV relativeFrom="paragraph">
            <wp:posOffset>-154973</wp:posOffset>
          </wp:positionV>
          <wp:extent cx="1933575" cy="40767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33575" cy="40767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B35E9" w14:textId="77777777" w:rsidR="00FB442B"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9264" behindDoc="0" locked="0" layoutInCell="1" hidden="0" allowOverlap="1" wp14:anchorId="5D892FE8" wp14:editId="72FFAC8C">
          <wp:simplePos x="0" y="0"/>
          <wp:positionH relativeFrom="column">
            <wp:posOffset>3813</wp:posOffset>
          </wp:positionH>
          <wp:positionV relativeFrom="paragraph">
            <wp:posOffset>-201292</wp:posOffset>
          </wp:positionV>
          <wp:extent cx="1933575" cy="40767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33575" cy="40767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92630"/>
    <w:multiLevelType w:val="multilevel"/>
    <w:tmpl w:val="6BC01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B14379"/>
    <w:multiLevelType w:val="hybridMultilevel"/>
    <w:tmpl w:val="8A4633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791125B"/>
    <w:multiLevelType w:val="multilevel"/>
    <w:tmpl w:val="DE4CA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413162"/>
    <w:multiLevelType w:val="multilevel"/>
    <w:tmpl w:val="8BF2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A743D4"/>
    <w:multiLevelType w:val="multilevel"/>
    <w:tmpl w:val="C016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8A5F2C"/>
    <w:multiLevelType w:val="hybridMultilevel"/>
    <w:tmpl w:val="A5DA1C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67021559">
    <w:abstractNumId w:val="4"/>
  </w:num>
  <w:num w:numId="2" w16cid:durableId="1447236045">
    <w:abstractNumId w:val="2"/>
  </w:num>
  <w:num w:numId="3" w16cid:durableId="79371778">
    <w:abstractNumId w:val="0"/>
  </w:num>
  <w:num w:numId="4" w16cid:durableId="868182190">
    <w:abstractNumId w:val="3"/>
  </w:num>
  <w:num w:numId="5" w16cid:durableId="317543548">
    <w:abstractNumId w:val="5"/>
  </w:num>
  <w:num w:numId="6" w16cid:durableId="1772818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42B"/>
    <w:rsid w:val="00093633"/>
    <w:rsid w:val="000D681E"/>
    <w:rsid w:val="002252F3"/>
    <w:rsid w:val="0027330C"/>
    <w:rsid w:val="00375367"/>
    <w:rsid w:val="00383BAA"/>
    <w:rsid w:val="003842BF"/>
    <w:rsid w:val="00443371"/>
    <w:rsid w:val="00671790"/>
    <w:rsid w:val="00730957"/>
    <w:rsid w:val="00800010"/>
    <w:rsid w:val="0088540C"/>
    <w:rsid w:val="008E2521"/>
    <w:rsid w:val="00975A5D"/>
    <w:rsid w:val="00A056FD"/>
    <w:rsid w:val="00A52441"/>
    <w:rsid w:val="00A654A1"/>
    <w:rsid w:val="00A679DF"/>
    <w:rsid w:val="00B369BA"/>
    <w:rsid w:val="00B86381"/>
    <w:rsid w:val="00B938A7"/>
    <w:rsid w:val="00BA7B86"/>
    <w:rsid w:val="00D90771"/>
    <w:rsid w:val="00DA4393"/>
    <w:rsid w:val="00DC2942"/>
    <w:rsid w:val="00E05CAE"/>
    <w:rsid w:val="00EB7B88"/>
    <w:rsid w:val="00ED4F61"/>
    <w:rsid w:val="00F31C5F"/>
    <w:rsid w:val="00FB442B"/>
    <w:rsid w:val="00FB4A5D"/>
    <w:rsid w:val="00FF13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445F5"/>
  <w15:docId w15:val="{ABB11931-6BAB-4220-BF6F-097F99F3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rFonts w:ascii="Calibri" w:eastAsia="Calibri" w:hAnsi="Calibri" w:cs="Calibri"/>
      <w:color w:val="2F5496"/>
      <w:sz w:val="32"/>
      <w:szCs w:val="32"/>
    </w:rPr>
  </w:style>
  <w:style w:type="paragraph" w:styleId="Heading2">
    <w:name w:val="heading 2"/>
    <w:basedOn w:val="Normal"/>
    <w:next w:val="Normal"/>
    <w:uiPriority w:val="9"/>
    <w:unhideWhenUsed/>
    <w:qFormat/>
    <w:pPr>
      <w:keepNext/>
      <w:keepLines/>
      <w:spacing w:after="100"/>
      <w:outlineLvl w:val="1"/>
    </w:pPr>
    <w:rPr>
      <w:rFonts w:ascii="Calibri" w:eastAsia="Calibri" w:hAnsi="Calibri" w:cs="Calibri"/>
      <w:b/>
      <w:bCs/>
      <w:smallCaps/>
      <w:color w:val="008B98"/>
      <w:sz w:val="18"/>
      <w:szCs w:val="18"/>
    </w:rPr>
  </w:style>
  <w:style w:type="paragraph" w:styleId="Heading3">
    <w:name w:val="heading 3"/>
    <w:basedOn w:val="Normal"/>
    <w:next w:val="Normal"/>
    <w:uiPriority w:val="9"/>
    <w:semiHidden/>
    <w:unhideWhenUsed/>
    <w:qFormat/>
    <w:pPr>
      <w:keepNext/>
      <w:keepLines/>
      <w:spacing w:before="40" w:after="0"/>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3842B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42BF"/>
  </w:style>
  <w:style w:type="paragraph" w:styleId="Footer">
    <w:name w:val="footer"/>
    <w:basedOn w:val="Normal"/>
    <w:link w:val="FooterChar"/>
    <w:uiPriority w:val="99"/>
    <w:unhideWhenUsed/>
    <w:rsid w:val="003842B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42BF"/>
  </w:style>
  <w:style w:type="paragraph" w:styleId="Revision">
    <w:name w:val="Revision"/>
    <w:hidden/>
    <w:uiPriority w:val="99"/>
    <w:semiHidden/>
    <w:rsid w:val="00B369BA"/>
    <w:pPr>
      <w:spacing w:after="0" w:line="240" w:lineRule="auto"/>
    </w:pPr>
  </w:style>
  <w:style w:type="character" w:styleId="CommentReference">
    <w:name w:val="annotation reference"/>
    <w:basedOn w:val="DefaultParagraphFont"/>
    <w:uiPriority w:val="99"/>
    <w:semiHidden/>
    <w:unhideWhenUsed/>
    <w:rsid w:val="00375367"/>
    <w:rPr>
      <w:sz w:val="16"/>
      <w:szCs w:val="16"/>
    </w:rPr>
  </w:style>
  <w:style w:type="paragraph" w:styleId="CommentText">
    <w:name w:val="annotation text"/>
    <w:basedOn w:val="Normal"/>
    <w:link w:val="CommentTextChar"/>
    <w:uiPriority w:val="99"/>
    <w:semiHidden/>
    <w:unhideWhenUsed/>
    <w:rsid w:val="00375367"/>
    <w:pPr>
      <w:spacing w:line="240" w:lineRule="auto"/>
    </w:pPr>
    <w:rPr>
      <w:sz w:val="20"/>
      <w:szCs w:val="20"/>
    </w:rPr>
  </w:style>
  <w:style w:type="character" w:customStyle="1" w:styleId="CommentTextChar">
    <w:name w:val="Comment Text Char"/>
    <w:basedOn w:val="DefaultParagraphFont"/>
    <w:link w:val="CommentText"/>
    <w:uiPriority w:val="99"/>
    <w:semiHidden/>
    <w:rsid w:val="00375367"/>
    <w:rPr>
      <w:sz w:val="20"/>
      <w:szCs w:val="20"/>
    </w:rPr>
  </w:style>
  <w:style w:type="paragraph" w:styleId="CommentSubject">
    <w:name w:val="annotation subject"/>
    <w:basedOn w:val="CommentText"/>
    <w:next w:val="CommentText"/>
    <w:link w:val="CommentSubjectChar"/>
    <w:uiPriority w:val="99"/>
    <w:semiHidden/>
    <w:unhideWhenUsed/>
    <w:rsid w:val="00375367"/>
    <w:rPr>
      <w:b/>
      <w:bCs/>
    </w:rPr>
  </w:style>
  <w:style w:type="character" w:customStyle="1" w:styleId="CommentSubjectChar">
    <w:name w:val="Comment Subject Char"/>
    <w:basedOn w:val="CommentTextChar"/>
    <w:link w:val="CommentSubject"/>
    <w:uiPriority w:val="99"/>
    <w:semiHidden/>
    <w:rsid w:val="00375367"/>
    <w:rPr>
      <w:b/>
      <w:bCs/>
      <w:sz w:val="20"/>
      <w:szCs w:val="20"/>
    </w:rPr>
  </w:style>
  <w:style w:type="paragraph" w:styleId="ListParagraph">
    <w:name w:val="List Paragraph"/>
    <w:basedOn w:val="Normal"/>
    <w:uiPriority w:val="34"/>
    <w:qFormat/>
    <w:rsid w:val="00A524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558669">
      <w:bodyDiv w:val="1"/>
      <w:marLeft w:val="0"/>
      <w:marRight w:val="0"/>
      <w:marTop w:val="0"/>
      <w:marBottom w:val="0"/>
      <w:divBdr>
        <w:top w:val="none" w:sz="0" w:space="0" w:color="auto"/>
        <w:left w:val="none" w:sz="0" w:space="0" w:color="auto"/>
        <w:bottom w:val="none" w:sz="0" w:space="0" w:color="auto"/>
        <w:right w:val="none" w:sz="0" w:space="0" w:color="auto"/>
      </w:divBdr>
      <w:divsChild>
        <w:div w:id="1853185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4428297">
      <w:bodyDiv w:val="1"/>
      <w:marLeft w:val="0"/>
      <w:marRight w:val="0"/>
      <w:marTop w:val="0"/>
      <w:marBottom w:val="0"/>
      <w:divBdr>
        <w:top w:val="none" w:sz="0" w:space="0" w:color="auto"/>
        <w:left w:val="none" w:sz="0" w:space="0" w:color="auto"/>
        <w:bottom w:val="none" w:sz="0" w:space="0" w:color="auto"/>
        <w:right w:val="none" w:sz="0" w:space="0" w:color="auto"/>
      </w:divBdr>
    </w:div>
    <w:div w:id="688994103">
      <w:bodyDiv w:val="1"/>
      <w:marLeft w:val="0"/>
      <w:marRight w:val="0"/>
      <w:marTop w:val="0"/>
      <w:marBottom w:val="0"/>
      <w:divBdr>
        <w:top w:val="none" w:sz="0" w:space="0" w:color="auto"/>
        <w:left w:val="none" w:sz="0" w:space="0" w:color="auto"/>
        <w:bottom w:val="none" w:sz="0" w:space="0" w:color="auto"/>
        <w:right w:val="none" w:sz="0" w:space="0" w:color="auto"/>
      </w:divBdr>
      <w:divsChild>
        <w:div w:id="4917177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8577790">
      <w:bodyDiv w:val="1"/>
      <w:marLeft w:val="0"/>
      <w:marRight w:val="0"/>
      <w:marTop w:val="0"/>
      <w:marBottom w:val="0"/>
      <w:divBdr>
        <w:top w:val="none" w:sz="0" w:space="0" w:color="auto"/>
        <w:left w:val="none" w:sz="0" w:space="0" w:color="auto"/>
        <w:bottom w:val="none" w:sz="0" w:space="0" w:color="auto"/>
        <w:right w:val="none" w:sz="0" w:space="0" w:color="auto"/>
      </w:divBdr>
      <w:divsChild>
        <w:div w:id="838884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4156517">
      <w:bodyDiv w:val="1"/>
      <w:marLeft w:val="0"/>
      <w:marRight w:val="0"/>
      <w:marTop w:val="0"/>
      <w:marBottom w:val="0"/>
      <w:divBdr>
        <w:top w:val="none" w:sz="0" w:space="0" w:color="auto"/>
        <w:left w:val="none" w:sz="0" w:space="0" w:color="auto"/>
        <w:bottom w:val="none" w:sz="0" w:space="0" w:color="auto"/>
        <w:right w:val="none" w:sz="0" w:space="0" w:color="auto"/>
      </w:divBdr>
    </w:div>
    <w:div w:id="1788544928">
      <w:bodyDiv w:val="1"/>
      <w:marLeft w:val="0"/>
      <w:marRight w:val="0"/>
      <w:marTop w:val="0"/>
      <w:marBottom w:val="0"/>
      <w:divBdr>
        <w:top w:val="none" w:sz="0" w:space="0" w:color="auto"/>
        <w:left w:val="none" w:sz="0" w:space="0" w:color="auto"/>
        <w:bottom w:val="none" w:sz="0" w:space="0" w:color="auto"/>
        <w:right w:val="none" w:sz="0" w:space="0" w:color="auto"/>
      </w:divBdr>
      <w:divsChild>
        <w:div w:id="618024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ushmanwakefield.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mailto:media.poland@cushwak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LH3g41c62BlYuVsM5iJobQ0+ng==">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1155</Words>
  <Characters>6589</Characters>
  <Application>Microsoft Office Word</Application>
  <DocSecurity>0</DocSecurity>
  <Lines>54</Lines>
  <Paragraphs>15</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magdalena ossowska</cp:lastModifiedBy>
  <cp:revision>3</cp:revision>
  <dcterms:created xsi:type="dcterms:W3CDTF">2026-08-03T11:26:00Z</dcterms:created>
  <dcterms:modified xsi:type="dcterms:W3CDTF">2026-08-04T07:48:00Z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01c4386eb9a1dc9de2fec12738f87015bcc4ef4c8803dccae430c9e60e042de1</vt:lpwstr>
  </property>
  <property fmtid="{D5CDD505-2E9C-101B-9397-08002B2CF9AE}" pid="3" name="ContentTypeId">
    <vt:lpwstr>0x0101008C644759602BBA4D87EA697FDCE602B5</vt:lpwstr>
  </property>
  <property fmtid="{D5CDD505-2E9C-101B-9397-08002B2CF9AE}" pid="4" name="MediaServiceImageTags">
    <vt:lpwstr>MediaServiceImageTags</vt:lpwstr>
  </property>
  <property fmtid="{D5CDD505-2E9C-101B-9397-08002B2CF9AE}" pid="5" name="xd_ProgID">
    <vt:lpwstr>xd_ProgID</vt:lpwstr>
  </property>
  <property fmtid="{D5CDD505-2E9C-101B-9397-08002B2CF9AE}" pid="6" name="ComplianceAssetId">
    <vt:lpwstr>ComplianceAssetId</vt:lpwstr>
  </property>
  <property fmtid="{D5CDD505-2E9C-101B-9397-08002B2CF9AE}" pid="7" name="TemplateUrl">
    <vt:lpwstr>TemplateUrl</vt:lpwstr>
  </property>
  <property fmtid="{D5CDD505-2E9C-101B-9397-08002B2CF9AE}" pid="8" name="_ExtendedDescription">
    <vt:lpwstr>_ExtendedDescription</vt:lpwstr>
  </property>
  <property fmtid="{D5CDD505-2E9C-101B-9397-08002B2CF9AE}" pid="9" name="TriggerFlowInfo">
    <vt:lpwstr>TriggerFlowInfo</vt:lpwstr>
  </property>
  <property fmtid="{D5CDD505-2E9C-101B-9397-08002B2CF9AE}" pid="10" name="xd_Signature">
    <vt:lpwstr>false</vt:lpwstr>
  </property>
</Properties>
</file>