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A0BC" w14:textId="77777777" w:rsidR="00620E86" w:rsidRDefault="00620E86" w:rsidP="00620E86">
      <w:pPr>
        <w:spacing w:line="257" w:lineRule="auto"/>
      </w:pPr>
      <w:r w:rsidRPr="76B1444F">
        <w:rPr>
          <w:rFonts w:ascii="Calibri" w:eastAsia="Calibri" w:hAnsi="Calibri" w:cs="Calibri"/>
          <w:b/>
          <w:bCs/>
          <w:sz w:val="22"/>
          <w:szCs w:val="22"/>
        </w:rPr>
        <w:t>Wzrosty nawet o 109,6 proc. Oto największe zaskoczenia półmetka wakacji 2026</w:t>
      </w:r>
    </w:p>
    <w:p w14:paraId="367DFC15" w14:textId="77777777" w:rsidR="001C7BDA" w:rsidRDefault="001C7BDA" w:rsidP="001C7BDA">
      <w:pPr>
        <w:spacing w:line="257" w:lineRule="auto"/>
        <w:rPr>
          <w:rFonts w:ascii="Calibri" w:eastAsia="Calibri" w:hAnsi="Calibri" w:cs="Calibri"/>
          <w:b/>
          <w:bCs/>
          <w:sz w:val="22"/>
          <w:szCs w:val="22"/>
        </w:rPr>
      </w:pPr>
    </w:p>
    <w:p w14:paraId="52B1BEFC" w14:textId="3DB984F2" w:rsidR="001C7BDA" w:rsidRDefault="00620E86" w:rsidP="001C7BDA">
      <w:pPr>
        <w:pBdr>
          <w:bottom w:val="single" w:sz="6" w:space="1" w:color="000000"/>
        </w:pBdr>
        <w:spacing w:line="257" w:lineRule="auto"/>
        <w:jc w:val="both"/>
        <w:rPr>
          <w:rFonts w:ascii="Calibri" w:eastAsia="Calibri" w:hAnsi="Calibri" w:cs="Calibri"/>
          <w:b/>
          <w:bCs/>
          <w:sz w:val="22"/>
          <w:szCs w:val="22"/>
        </w:rPr>
      </w:pPr>
      <w:r w:rsidRPr="00620E86">
        <w:rPr>
          <w:rFonts w:ascii="Calibri" w:eastAsia="Calibri" w:hAnsi="Calibri" w:cs="Calibri"/>
          <w:b/>
          <w:bCs/>
          <w:sz w:val="22"/>
          <w:szCs w:val="22"/>
        </w:rPr>
        <w:t>Liczba rezerwacji wyjazdów zorganizowanych z terminem podróży w pierwszej połowie wakacji szkolnych wzrosła dwucyfrowo rok do roku – wynika z danych Wakacje.pl. Turcja, Grecja i Egipt nadal odpowiadają za blisko dwie trzecie wszystkich rezerwacji. Najciekawsza historia lata 2026 rozgrywa się jednak tuż za podium. Polacy coraz częściej kupują w biurach podróży wyjazdy do Hiszpanii i</w:t>
      </w:r>
      <w:r w:rsidR="007D745E">
        <w:rPr>
          <w:rFonts w:ascii="Calibri" w:eastAsia="Calibri" w:hAnsi="Calibri" w:cs="Calibri"/>
          <w:b/>
          <w:bCs/>
          <w:sz w:val="22"/>
          <w:szCs w:val="22"/>
        </w:rPr>
        <w:t> </w:t>
      </w:r>
      <w:r w:rsidRPr="00620E86">
        <w:rPr>
          <w:rFonts w:ascii="Calibri" w:eastAsia="Calibri" w:hAnsi="Calibri" w:cs="Calibri"/>
          <w:b/>
          <w:bCs/>
          <w:sz w:val="22"/>
          <w:szCs w:val="22"/>
        </w:rPr>
        <w:t>Włoch – dotąd chętnie organizowane na własną rękę – a jednocześnie ponownie mocniej interesują się Bułgarią. W niektórych regionach liczba rezerwacji wzrosła niemal o 110 proc. rok do roku.</w:t>
      </w:r>
    </w:p>
    <w:p w14:paraId="7879CDA2" w14:textId="77777777" w:rsidR="00620E86" w:rsidRDefault="00620E86" w:rsidP="001C7BDA">
      <w:pPr>
        <w:pBdr>
          <w:bottom w:val="single" w:sz="6" w:space="1" w:color="000000"/>
        </w:pBdr>
        <w:spacing w:line="257" w:lineRule="auto"/>
        <w:jc w:val="both"/>
        <w:rPr>
          <w:rFonts w:ascii="Calibri" w:eastAsia="Calibri" w:hAnsi="Calibri" w:cs="Calibri"/>
          <w:b/>
          <w:bCs/>
          <w:sz w:val="22"/>
          <w:szCs w:val="22"/>
        </w:rPr>
      </w:pPr>
    </w:p>
    <w:p w14:paraId="07F8A962" w14:textId="77777777" w:rsidR="001C7BDA" w:rsidRDefault="001C7BDA" w:rsidP="001C7BDA">
      <w:pPr>
        <w:spacing w:line="257" w:lineRule="auto"/>
        <w:rPr>
          <w:rFonts w:ascii="Calibri" w:eastAsia="Calibri" w:hAnsi="Calibri" w:cs="Calibri"/>
          <w:sz w:val="22"/>
          <w:szCs w:val="22"/>
        </w:rPr>
      </w:pPr>
    </w:p>
    <w:p w14:paraId="20EA3ED1" w14:textId="7EC81310" w:rsidR="001C7BDA" w:rsidRDefault="00620E86" w:rsidP="001C7BDA">
      <w:pPr>
        <w:spacing w:line="257" w:lineRule="auto"/>
        <w:rPr>
          <w:rFonts w:ascii="Calibri" w:eastAsia="Calibri" w:hAnsi="Calibri" w:cs="Calibri"/>
          <w:b/>
          <w:bCs/>
          <w:sz w:val="22"/>
          <w:szCs w:val="22"/>
        </w:rPr>
      </w:pPr>
      <w:r w:rsidRPr="00620E86">
        <w:rPr>
          <w:rFonts w:ascii="Calibri" w:eastAsia="Calibri" w:hAnsi="Calibri" w:cs="Calibri"/>
          <w:b/>
          <w:bCs/>
          <w:sz w:val="22"/>
          <w:szCs w:val="22"/>
        </w:rPr>
        <w:t>Półmetek wakacji 2026 w liczbach</w:t>
      </w:r>
      <w:r w:rsidR="00EE25F2">
        <w:rPr>
          <w:rFonts w:ascii="Calibri" w:eastAsia="Calibri" w:hAnsi="Calibri" w:cs="Calibri"/>
          <w:b/>
          <w:bCs/>
          <w:sz w:val="22"/>
          <w:szCs w:val="22"/>
        </w:rPr>
        <w:t>:</w:t>
      </w:r>
    </w:p>
    <w:p w14:paraId="2729814D" w14:textId="77777777" w:rsidR="00EE25F2" w:rsidRDefault="00EE25F2" w:rsidP="001C7BDA">
      <w:pPr>
        <w:spacing w:line="257" w:lineRule="auto"/>
        <w:rPr>
          <w:rFonts w:ascii="Calibri" w:eastAsia="Calibri" w:hAnsi="Calibri" w:cs="Calibri"/>
          <w:b/>
          <w:bCs/>
          <w:sz w:val="22"/>
          <w:szCs w:val="22"/>
        </w:rPr>
      </w:pPr>
    </w:p>
    <w:p w14:paraId="2523E48E" w14:textId="77777777" w:rsidR="00EE25F2" w:rsidRPr="00EE25F2" w:rsidRDefault="00EE25F2" w:rsidP="00EE25F2">
      <w:pPr>
        <w:numPr>
          <w:ilvl w:val="0"/>
          <w:numId w:val="7"/>
        </w:numPr>
        <w:tabs>
          <w:tab w:val="left" w:pos="0"/>
          <w:tab w:val="left" w:pos="720"/>
        </w:tabs>
        <w:spacing w:after="160" w:line="257" w:lineRule="auto"/>
        <w:contextualSpacing/>
        <w:jc w:val="both"/>
        <w:rPr>
          <w:rFonts w:ascii="Calibri" w:eastAsia="Calibri" w:hAnsi="Calibri" w:cs="Calibri"/>
          <w:kern w:val="0"/>
          <w:sz w:val="22"/>
          <w:szCs w:val="22"/>
          <w14:ligatures w14:val="none"/>
        </w:rPr>
      </w:pPr>
      <w:r w:rsidRPr="00EE25F2">
        <w:rPr>
          <w:rFonts w:ascii="Calibri" w:eastAsia="Calibri" w:hAnsi="Calibri" w:cs="Calibri"/>
          <w:b/>
          <w:bCs/>
          <w:kern w:val="0"/>
          <w:sz w:val="22"/>
          <w:szCs w:val="22"/>
          <w14:ligatures w14:val="none"/>
        </w:rPr>
        <w:t xml:space="preserve">dwucyfrowo </w:t>
      </w:r>
      <w:r w:rsidRPr="00EE25F2">
        <w:rPr>
          <w:rFonts w:ascii="Calibri" w:eastAsia="Calibri" w:hAnsi="Calibri" w:cs="Calibri"/>
          <w:kern w:val="0"/>
          <w:sz w:val="22"/>
          <w:szCs w:val="22"/>
          <w14:ligatures w14:val="none"/>
        </w:rPr>
        <w:t>wzrosła rok do roku liczba rezerwacji wyjazdów w pierwszej połowie wakacji szkolnych – wynika z danych Wakacje.pl,</w:t>
      </w:r>
    </w:p>
    <w:p w14:paraId="6D03F02D" w14:textId="553C4C66" w:rsidR="00EE25F2" w:rsidRPr="00EE25F2" w:rsidRDefault="00EE25F2" w:rsidP="00EE25F2">
      <w:pPr>
        <w:numPr>
          <w:ilvl w:val="0"/>
          <w:numId w:val="7"/>
        </w:numPr>
        <w:tabs>
          <w:tab w:val="left" w:pos="0"/>
          <w:tab w:val="left" w:pos="720"/>
        </w:tabs>
        <w:spacing w:after="160" w:line="257" w:lineRule="auto"/>
        <w:contextualSpacing/>
        <w:jc w:val="both"/>
        <w:rPr>
          <w:rFonts w:ascii="Calibri" w:eastAsia="Calibri" w:hAnsi="Calibri" w:cs="Calibri"/>
          <w:kern w:val="0"/>
          <w:sz w:val="22"/>
          <w:szCs w:val="22"/>
          <w14:ligatures w14:val="none"/>
        </w:rPr>
      </w:pPr>
      <w:r w:rsidRPr="00EE25F2">
        <w:rPr>
          <w:rFonts w:ascii="Calibri" w:eastAsia="Calibri" w:hAnsi="Calibri" w:cs="Calibri"/>
          <w:b/>
          <w:bCs/>
          <w:kern w:val="0"/>
          <w:sz w:val="22"/>
          <w:szCs w:val="22"/>
          <w14:ligatures w14:val="none"/>
        </w:rPr>
        <w:t xml:space="preserve">blisko dwie trzecie rezerwacji </w:t>
      </w:r>
      <w:r w:rsidRPr="00EE25F2">
        <w:rPr>
          <w:rFonts w:ascii="Calibri" w:eastAsia="Calibri" w:hAnsi="Calibri" w:cs="Calibri"/>
          <w:kern w:val="0"/>
          <w:sz w:val="22"/>
          <w:szCs w:val="22"/>
          <w14:ligatures w14:val="none"/>
        </w:rPr>
        <w:t>przypadło na sprawdzone wakacyjne klasyki – Turcję, Grecję i</w:t>
      </w:r>
      <w:r w:rsidR="00537C5F">
        <w:rPr>
          <w:rFonts w:ascii="Calibri" w:eastAsia="Calibri" w:hAnsi="Calibri" w:cs="Calibri"/>
          <w:kern w:val="0"/>
          <w:sz w:val="22"/>
          <w:szCs w:val="22"/>
          <w14:ligatures w14:val="none"/>
        </w:rPr>
        <w:t> </w:t>
      </w:r>
      <w:r w:rsidRPr="00EE25F2">
        <w:rPr>
          <w:rFonts w:ascii="Calibri" w:eastAsia="Calibri" w:hAnsi="Calibri" w:cs="Calibri"/>
          <w:kern w:val="0"/>
          <w:sz w:val="22"/>
          <w:szCs w:val="22"/>
          <w14:ligatures w14:val="none"/>
        </w:rPr>
        <w:t>Egipt,</w:t>
      </w:r>
    </w:p>
    <w:p w14:paraId="4B21F152" w14:textId="453D907E" w:rsidR="00EE25F2" w:rsidRPr="00EE25F2" w:rsidRDefault="00EE25F2" w:rsidP="00EE25F2">
      <w:pPr>
        <w:numPr>
          <w:ilvl w:val="0"/>
          <w:numId w:val="7"/>
        </w:numPr>
        <w:tabs>
          <w:tab w:val="left" w:pos="0"/>
          <w:tab w:val="left" w:pos="720"/>
        </w:tabs>
        <w:spacing w:after="160" w:line="257" w:lineRule="auto"/>
        <w:contextualSpacing/>
        <w:jc w:val="both"/>
        <w:rPr>
          <w:rFonts w:ascii="Calibri" w:eastAsia="Calibri" w:hAnsi="Calibri" w:cs="Calibri"/>
          <w:kern w:val="0"/>
          <w:sz w:val="22"/>
          <w:szCs w:val="22"/>
          <w14:ligatures w14:val="none"/>
        </w:rPr>
      </w:pPr>
      <w:r w:rsidRPr="00EE25F2">
        <w:rPr>
          <w:rFonts w:ascii="Calibri" w:eastAsia="Calibri" w:hAnsi="Calibri" w:cs="Calibri"/>
          <w:b/>
          <w:bCs/>
          <w:kern w:val="0"/>
          <w:sz w:val="22"/>
          <w:szCs w:val="22"/>
          <w14:ligatures w14:val="none"/>
        </w:rPr>
        <w:t xml:space="preserve">ponad dwa razy częściej </w:t>
      </w:r>
      <w:r w:rsidRPr="00EE25F2">
        <w:rPr>
          <w:rFonts w:ascii="Calibri" w:eastAsia="Calibri" w:hAnsi="Calibri" w:cs="Calibri"/>
          <w:kern w:val="0"/>
          <w:sz w:val="22"/>
          <w:szCs w:val="22"/>
          <w14:ligatures w14:val="none"/>
        </w:rPr>
        <w:t>niż przed rokiem wybierano Kalabrię – liczba rezerwacji wzrosła o</w:t>
      </w:r>
      <w:r w:rsidR="00537C5F">
        <w:rPr>
          <w:rFonts w:ascii="Calibri" w:eastAsia="Calibri" w:hAnsi="Calibri" w:cs="Calibri"/>
          <w:kern w:val="0"/>
          <w:sz w:val="22"/>
          <w:szCs w:val="22"/>
          <w14:ligatures w14:val="none"/>
        </w:rPr>
        <w:t> </w:t>
      </w:r>
      <w:r w:rsidRPr="00EE25F2">
        <w:rPr>
          <w:rFonts w:ascii="Calibri" w:eastAsia="Calibri" w:hAnsi="Calibri" w:cs="Calibri"/>
          <w:kern w:val="0"/>
          <w:sz w:val="22"/>
          <w:szCs w:val="22"/>
          <w14:ligatures w14:val="none"/>
        </w:rPr>
        <w:t>109,6 proc.,</w:t>
      </w:r>
    </w:p>
    <w:p w14:paraId="7033C41B" w14:textId="4D8D5BEB" w:rsidR="00EE25F2" w:rsidRPr="00EE25F2" w:rsidRDefault="00EE25F2" w:rsidP="00EE25F2">
      <w:pPr>
        <w:numPr>
          <w:ilvl w:val="0"/>
          <w:numId w:val="7"/>
        </w:numPr>
        <w:tabs>
          <w:tab w:val="left" w:pos="0"/>
          <w:tab w:val="left" w:pos="720"/>
        </w:tabs>
        <w:spacing w:after="160" w:line="257" w:lineRule="auto"/>
        <w:contextualSpacing/>
        <w:jc w:val="both"/>
        <w:rPr>
          <w:rFonts w:ascii="Calibri" w:eastAsia="Calibri" w:hAnsi="Calibri" w:cs="Calibri"/>
          <w:kern w:val="0"/>
          <w:sz w:val="22"/>
          <w:szCs w:val="22"/>
          <w14:ligatures w14:val="none"/>
        </w:rPr>
      </w:pPr>
      <w:r w:rsidRPr="00EE25F2">
        <w:rPr>
          <w:rFonts w:ascii="Calibri" w:eastAsia="Calibri" w:hAnsi="Calibri" w:cs="Calibri"/>
          <w:b/>
          <w:bCs/>
          <w:kern w:val="0"/>
          <w:sz w:val="22"/>
          <w:szCs w:val="22"/>
          <w14:ligatures w14:val="none"/>
        </w:rPr>
        <w:t xml:space="preserve">o 79 proc. </w:t>
      </w:r>
      <w:r w:rsidRPr="00EE25F2">
        <w:rPr>
          <w:rFonts w:ascii="Calibri" w:eastAsia="Calibri" w:hAnsi="Calibri" w:cs="Calibri"/>
          <w:kern w:val="0"/>
          <w:sz w:val="22"/>
          <w:szCs w:val="22"/>
          <w14:ligatures w14:val="none"/>
        </w:rPr>
        <w:t>r</w:t>
      </w:r>
      <w:r w:rsidR="00537C5F">
        <w:rPr>
          <w:rFonts w:ascii="Calibri" w:eastAsia="Calibri" w:hAnsi="Calibri" w:cs="Calibri"/>
          <w:kern w:val="0"/>
          <w:sz w:val="22"/>
          <w:szCs w:val="22"/>
          <w14:ligatures w14:val="none"/>
        </w:rPr>
        <w:t>ok do roku</w:t>
      </w:r>
      <w:r w:rsidRPr="00EE25F2">
        <w:rPr>
          <w:rFonts w:ascii="Calibri" w:eastAsia="Calibri" w:hAnsi="Calibri" w:cs="Calibri"/>
          <w:kern w:val="0"/>
          <w:sz w:val="22"/>
          <w:szCs w:val="22"/>
          <w14:ligatures w14:val="none"/>
        </w:rPr>
        <w:t xml:space="preserve"> wzrosło zainteresowanie wakacjami na Majorce,</w:t>
      </w:r>
    </w:p>
    <w:p w14:paraId="0CF7408A" w14:textId="77777777" w:rsidR="00EE25F2" w:rsidRPr="00EE25F2" w:rsidRDefault="00EE25F2" w:rsidP="00EE25F2">
      <w:pPr>
        <w:numPr>
          <w:ilvl w:val="0"/>
          <w:numId w:val="7"/>
        </w:numPr>
        <w:tabs>
          <w:tab w:val="left" w:pos="0"/>
          <w:tab w:val="left" w:pos="720"/>
        </w:tabs>
        <w:spacing w:after="160" w:line="257" w:lineRule="auto"/>
        <w:contextualSpacing/>
        <w:jc w:val="both"/>
        <w:rPr>
          <w:rFonts w:ascii="Calibri" w:eastAsia="Calibri" w:hAnsi="Calibri" w:cs="Calibri"/>
          <w:kern w:val="0"/>
          <w:sz w:val="22"/>
          <w:szCs w:val="22"/>
          <w14:ligatures w14:val="none"/>
        </w:rPr>
      </w:pPr>
      <w:r w:rsidRPr="00EE25F2">
        <w:rPr>
          <w:rFonts w:ascii="Calibri" w:eastAsia="Calibri" w:hAnsi="Calibri" w:cs="Calibri"/>
          <w:b/>
          <w:bCs/>
          <w:kern w:val="0"/>
          <w:sz w:val="22"/>
          <w:szCs w:val="22"/>
          <w14:ligatures w14:val="none"/>
        </w:rPr>
        <w:t xml:space="preserve">ponad dwa razy częściej (+109,1 proc. rdr) </w:t>
      </w:r>
      <w:r w:rsidRPr="00EE25F2">
        <w:rPr>
          <w:rFonts w:ascii="Calibri" w:eastAsia="Calibri" w:hAnsi="Calibri" w:cs="Calibri"/>
          <w:kern w:val="0"/>
          <w:sz w:val="22"/>
          <w:szCs w:val="22"/>
          <w14:ligatures w14:val="none"/>
        </w:rPr>
        <w:t>turyści decydowali się na wypoczynek w Złotych Piaskach,</w:t>
      </w:r>
    </w:p>
    <w:p w14:paraId="0473A403" w14:textId="77777777" w:rsidR="00EE25F2" w:rsidRPr="00EE25F2" w:rsidRDefault="00EE25F2" w:rsidP="00EE25F2">
      <w:pPr>
        <w:numPr>
          <w:ilvl w:val="0"/>
          <w:numId w:val="7"/>
        </w:numPr>
        <w:tabs>
          <w:tab w:val="left" w:pos="0"/>
          <w:tab w:val="left" w:pos="720"/>
        </w:tabs>
        <w:spacing w:after="160" w:line="257" w:lineRule="auto"/>
        <w:contextualSpacing/>
        <w:jc w:val="both"/>
        <w:rPr>
          <w:rFonts w:ascii="Calibri" w:eastAsia="Calibri" w:hAnsi="Calibri" w:cs="Calibri"/>
          <w:kern w:val="0"/>
          <w:sz w:val="22"/>
          <w:szCs w:val="22"/>
          <w14:ligatures w14:val="none"/>
        </w:rPr>
      </w:pPr>
      <w:r w:rsidRPr="00EE25F2">
        <w:rPr>
          <w:rFonts w:ascii="Calibri" w:eastAsia="Calibri" w:hAnsi="Calibri" w:cs="Calibri"/>
          <w:b/>
          <w:bCs/>
          <w:kern w:val="0"/>
          <w:sz w:val="22"/>
          <w:szCs w:val="22"/>
          <w14:ligatures w14:val="none"/>
        </w:rPr>
        <w:t xml:space="preserve">o 53,2 proc. </w:t>
      </w:r>
      <w:r w:rsidRPr="00EE25F2">
        <w:rPr>
          <w:rFonts w:ascii="Calibri" w:eastAsia="Calibri" w:hAnsi="Calibri" w:cs="Calibri"/>
          <w:kern w:val="0"/>
          <w:sz w:val="22"/>
          <w:szCs w:val="22"/>
          <w14:ligatures w14:val="none"/>
        </w:rPr>
        <w:t>wzrosła rok do roku liczba rezerwacji wyjazdów do Albanii,</w:t>
      </w:r>
    </w:p>
    <w:p w14:paraId="6367AB34" w14:textId="77777777" w:rsidR="00EE25F2" w:rsidRPr="00EE25F2" w:rsidRDefault="00EE25F2" w:rsidP="00EE25F2">
      <w:pPr>
        <w:numPr>
          <w:ilvl w:val="0"/>
          <w:numId w:val="7"/>
        </w:numPr>
        <w:tabs>
          <w:tab w:val="left" w:pos="0"/>
          <w:tab w:val="left" w:pos="720"/>
        </w:tabs>
        <w:spacing w:after="160" w:line="257" w:lineRule="auto"/>
        <w:contextualSpacing/>
        <w:jc w:val="both"/>
        <w:rPr>
          <w:rFonts w:ascii="Calibri" w:eastAsia="Calibri" w:hAnsi="Calibri" w:cs="Calibri"/>
          <w:kern w:val="0"/>
          <w:sz w:val="22"/>
          <w:szCs w:val="22"/>
          <w14:ligatures w14:val="none"/>
        </w:rPr>
      </w:pPr>
      <w:r w:rsidRPr="00EE25F2">
        <w:rPr>
          <w:rFonts w:ascii="Calibri" w:eastAsia="Calibri" w:hAnsi="Calibri" w:cs="Calibri"/>
          <w:b/>
          <w:bCs/>
          <w:kern w:val="0"/>
          <w:sz w:val="22"/>
          <w:szCs w:val="22"/>
          <w14:ligatures w14:val="none"/>
        </w:rPr>
        <w:t xml:space="preserve">74 dni przed wylotem </w:t>
      </w:r>
      <w:r w:rsidRPr="00EE25F2">
        <w:rPr>
          <w:rFonts w:ascii="Calibri" w:eastAsia="Calibri" w:hAnsi="Calibri" w:cs="Calibri"/>
          <w:kern w:val="0"/>
          <w:sz w:val="22"/>
          <w:szCs w:val="22"/>
          <w14:ligatures w14:val="none"/>
        </w:rPr>
        <w:t>klienci Wakacje.pl rezerwowali średnio lipcowe wyjazdy – to o 2,5 dnia wcześniej niż przed rokiem,</w:t>
      </w:r>
    </w:p>
    <w:p w14:paraId="1B1FD8DD" w14:textId="77777777" w:rsidR="00EE25F2" w:rsidRPr="00EE25F2" w:rsidRDefault="00EE25F2" w:rsidP="00EE25F2">
      <w:pPr>
        <w:numPr>
          <w:ilvl w:val="0"/>
          <w:numId w:val="7"/>
        </w:numPr>
        <w:tabs>
          <w:tab w:val="left" w:pos="0"/>
          <w:tab w:val="left" w:pos="720"/>
        </w:tabs>
        <w:spacing w:after="160" w:line="257" w:lineRule="auto"/>
        <w:contextualSpacing/>
        <w:jc w:val="both"/>
        <w:rPr>
          <w:rFonts w:ascii="Calibri" w:eastAsia="Calibri" w:hAnsi="Calibri" w:cs="Calibri"/>
          <w:kern w:val="0"/>
          <w:sz w:val="22"/>
          <w:szCs w:val="22"/>
          <w14:ligatures w14:val="none"/>
        </w:rPr>
      </w:pPr>
      <w:r w:rsidRPr="00EE25F2">
        <w:rPr>
          <w:rFonts w:ascii="Calibri" w:eastAsia="Calibri" w:hAnsi="Calibri" w:cs="Calibri"/>
          <w:b/>
          <w:bCs/>
          <w:kern w:val="0"/>
          <w:sz w:val="22"/>
          <w:szCs w:val="22"/>
          <w14:ligatures w14:val="none"/>
        </w:rPr>
        <w:t xml:space="preserve">co piąty lipcowy wyjazd </w:t>
      </w:r>
      <w:r w:rsidRPr="00EE25F2">
        <w:rPr>
          <w:rFonts w:ascii="Calibri" w:eastAsia="Calibri" w:hAnsi="Calibri" w:cs="Calibri"/>
          <w:kern w:val="0"/>
          <w:sz w:val="22"/>
          <w:szCs w:val="22"/>
          <w14:ligatures w14:val="none"/>
        </w:rPr>
        <w:t>kupowano w ciągu siedmiu dni poprzedzających wylot.</w:t>
      </w:r>
    </w:p>
    <w:p w14:paraId="22B7DD84" w14:textId="77777777" w:rsidR="001C7BDA" w:rsidRDefault="001C7BDA" w:rsidP="001C7BDA">
      <w:pPr>
        <w:pBdr>
          <w:bottom w:val="single" w:sz="6" w:space="1" w:color="000000"/>
        </w:pBdr>
        <w:spacing w:line="257" w:lineRule="auto"/>
        <w:rPr>
          <w:rFonts w:ascii="Calibri" w:eastAsia="Calibri" w:hAnsi="Calibri" w:cs="Calibri"/>
          <w:sz w:val="22"/>
          <w:szCs w:val="22"/>
        </w:rPr>
      </w:pPr>
    </w:p>
    <w:p w14:paraId="02B9CA0D" w14:textId="77777777" w:rsidR="001C7BDA" w:rsidRDefault="001C7BDA" w:rsidP="001C7BDA">
      <w:pPr>
        <w:spacing w:line="257" w:lineRule="auto"/>
        <w:rPr>
          <w:rFonts w:ascii="Calibri" w:eastAsia="Calibri" w:hAnsi="Calibri" w:cs="Calibri"/>
          <w:sz w:val="22"/>
          <w:szCs w:val="22"/>
        </w:rPr>
      </w:pPr>
    </w:p>
    <w:p w14:paraId="04FE1D3E"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xml:space="preserve">Pierwsza połowa wakacji szkolnych potwierdziła, że Polacy pozostają wierni sprawdzonym kierunkom, ale coraz śmielej spoglądają także poza ścisłą czołówkę. Liczba rezerwacji w Wakacje.pl wzrosła dwucyfrowo rok do roku, a Turcja, Grecja i Egipt nadal odpowiadają za blisko dwie trzecie wszystkich wyborów. Każdy z tych krajów zanotował wzrost zainteresowania, potwierdzając swoją stabilną pozycję wśród najpopularniejszych miejsc letniego wypoczynku. </w:t>
      </w:r>
    </w:p>
    <w:p w14:paraId="23B47F6F"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Więcej dzieje się jednak tuż za pierwszą trójką. Coraz szybciej rośnie zainteresowanie kierunkami dotąd kojarzonymi przede wszystkim z samodzielnym planowaniem podróży, większą popularnością cieszą się również kraje bałkańskie.</w:t>
      </w:r>
    </w:p>
    <w:p w14:paraId="5E8989BB"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Silna pozycja Turcji, Grecji i Egiptu pokazuje, że podczas głównego urlopu Polacy wybierają kierunki, które dobrze znają i w których mogą liczyć na szeroką ofertę hoteli, oferujących wysokiej jakości wypoczynek all inclusive oraz bezpośrednie krótkie przeloty z wielu polskich lotnisk. Nie oznacza to jednak, że trzymają się wyłącznie utartych ścieżek. Coraz szersza oferta biur podróży sprawia, że turyści chętniej sięgają również po gotowe wyjazdy do miejsc dotąd częściej odwiedzanych na własną rękę lub na krótsze pobyty, wybierając wygodę jednej rezerwacji zamiast samodzielnego układania całej podróży krok po kroku i nierzadko korzystniejszą cenę całości – mówi Marzena Buczkowska-German, ekspertka rynku turystycznego w Wakacje.pl.</w:t>
      </w:r>
    </w:p>
    <w:p w14:paraId="5D75C4EA"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b/>
          <w:bCs/>
          <w:kern w:val="0"/>
          <w:sz w:val="22"/>
          <w:szCs w:val="22"/>
          <w14:ligatures w14:val="none"/>
        </w:rPr>
        <w:t>Hiszpania i Włochy coraz częściej z biurem podróży</w:t>
      </w:r>
    </w:p>
    <w:p w14:paraId="0A103A20"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lastRenderedPageBreak/>
        <w:t>Jednym z najmocniejszych trendów pierwszej połowy wakacji szkolnych jest rosnące zainteresowanie zorganizowanymi wyjazdami do Hiszpanii i Włoch. To kraje od dawna popularne wśród polskich turystów, ale dotychczas często odwiedzane w ramach podróży planowanych samodzielnie.</w:t>
      </w:r>
    </w:p>
    <w:p w14:paraId="2B928D6E"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W tym sezonie coraz więcej osób wybiera gotowy pakiet turystyczny. Liczba rezerwacji lipcowych wyjazdów do Hiszpanii wzrosła dwucyfrowo, a kraj niemal zrównał się pod tym względem z zajmującą czwarte miejsce Tunezją.</w:t>
      </w:r>
    </w:p>
    <w:p w14:paraId="30488A75" w14:textId="684A7EE2"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xml:space="preserve">Za wzrostem nie stoi wyłącznie jedna wyspa czy część kraju – obejmuje on wiele hiszpańskich regionów. Przykładowo liczba rezerwacji lipcowych wyjazdów na </w:t>
      </w:r>
      <w:r w:rsidRPr="000E35E6">
        <w:rPr>
          <w:rFonts w:ascii="Calibri" w:eastAsia="Calibri" w:hAnsi="Calibri" w:cs="Calibri"/>
          <w:b/>
          <w:bCs/>
          <w:kern w:val="0"/>
          <w:sz w:val="22"/>
          <w:szCs w:val="22"/>
          <w14:ligatures w14:val="none"/>
        </w:rPr>
        <w:t>Majorkę</w:t>
      </w:r>
      <w:r w:rsidRPr="000E35E6">
        <w:rPr>
          <w:rFonts w:ascii="Calibri" w:eastAsia="Calibri" w:hAnsi="Calibri" w:cs="Calibri"/>
          <w:kern w:val="0"/>
          <w:sz w:val="22"/>
          <w:szCs w:val="22"/>
          <w14:ligatures w14:val="none"/>
        </w:rPr>
        <w:t xml:space="preserve"> zwiększyła się </w:t>
      </w:r>
      <w:r w:rsidRPr="000E35E6">
        <w:rPr>
          <w:rFonts w:ascii="Calibri" w:eastAsia="Calibri" w:hAnsi="Calibri" w:cs="Calibri"/>
          <w:b/>
          <w:bCs/>
          <w:kern w:val="0"/>
          <w:sz w:val="22"/>
          <w:szCs w:val="22"/>
          <w14:ligatures w14:val="none"/>
        </w:rPr>
        <w:t>o 79 proc.</w:t>
      </w:r>
      <w:r w:rsidRPr="000E35E6">
        <w:rPr>
          <w:rFonts w:ascii="Calibri" w:eastAsia="Calibri" w:hAnsi="Calibri" w:cs="Calibri"/>
          <w:kern w:val="0"/>
          <w:sz w:val="22"/>
          <w:szCs w:val="22"/>
          <w14:ligatures w14:val="none"/>
        </w:rPr>
        <w:t>, a</w:t>
      </w:r>
      <w:r>
        <w:rPr>
          <w:rFonts w:ascii="Calibri" w:eastAsia="Calibri" w:hAnsi="Calibri" w:cs="Calibri"/>
          <w:kern w:val="0"/>
          <w:sz w:val="22"/>
          <w:szCs w:val="22"/>
          <w14:ligatures w14:val="none"/>
        </w:rPr>
        <w:t> </w:t>
      </w:r>
      <w:r w:rsidRPr="000E35E6">
        <w:rPr>
          <w:rFonts w:ascii="Calibri" w:eastAsia="Calibri" w:hAnsi="Calibri" w:cs="Calibri"/>
          <w:kern w:val="0"/>
          <w:sz w:val="22"/>
          <w:szCs w:val="22"/>
          <w14:ligatures w14:val="none"/>
        </w:rPr>
        <w:t xml:space="preserve">na </w:t>
      </w:r>
      <w:r w:rsidRPr="000E35E6">
        <w:rPr>
          <w:rFonts w:ascii="Calibri" w:eastAsia="Calibri" w:hAnsi="Calibri" w:cs="Calibri"/>
          <w:b/>
          <w:bCs/>
          <w:kern w:val="0"/>
          <w:sz w:val="22"/>
          <w:szCs w:val="22"/>
          <w14:ligatures w14:val="none"/>
        </w:rPr>
        <w:t>Gran Canarię – o 57 proc. rok do roku</w:t>
      </w:r>
      <w:r w:rsidRPr="000E35E6">
        <w:rPr>
          <w:rFonts w:ascii="Calibri" w:eastAsia="Calibri" w:hAnsi="Calibri" w:cs="Calibri"/>
          <w:kern w:val="0"/>
          <w:sz w:val="22"/>
          <w:szCs w:val="22"/>
          <w14:ligatures w14:val="none"/>
        </w:rPr>
        <w:t>.</w:t>
      </w:r>
    </w:p>
    <w:p w14:paraId="69F467A5"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xml:space="preserve">Jeszcze wyższe wzrosty widać we Włoszech, które są najszybciej zyskującym kierunkiem wśród krajów już wybieranych przez dużą grupę klientów Wakacje.pl. W przypadku lipcowych wyjazdów zainteresowanie </w:t>
      </w:r>
      <w:r w:rsidRPr="000E35E6">
        <w:rPr>
          <w:rFonts w:ascii="Calibri" w:eastAsia="Calibri" w:hAnsi="Calibri" w:cs="Calibri"/>
          <w:b/>
          <w:bCs/>
          <w:kern w:val="0"/>
          <w:sz w:val="22"/>
          <w:szCs w:val="22"/>
          <w14:ligatures w14:val="none"/>
        </w:rPr>
        <w:t>Kalabrią</w:t>
      </w:r>
      <w:r w:rsidRPr="000E35E6">
        <w:rPr>
          <w:rFonts w:ascii="Calibri" w:eastAsia="Calibri" w:hAnsi="Calibri" w:cs="Calibri"/>
          <w:kern w:val="0"/>
          <w:sz w:val="22"/>
          <w:szCs w:val="22"/>
          <w14:ligatures w14:val="none"/>
        </w:rPr>
        <w:t xml:space="preserve"> wzrosło </w:t>
      </w:r>
      <w:r w:rsidRPr="000E35E6">
        <w:rPr>
          <w:rFonts w:ascii="Calibri" w:eastAsia="Calibri" w:hAnsi="Calibri" w:cs="Calibri"/>
          <w:b/>
          <w:bCs/>
          <w:kern w:val="0"/>
          <w:sz w:val="22"/>
          <w:szCs w:val="22"/>
          <w14:ligatures w14:val="none"/>
        </w:rPr>
        <w:t>o 109,6 proc.,</w:t>
      </w:r>
      <w:r w:rsidRPr="000E35E6">
        <w:rPr>
          <w:rFonts w:ascii="Calibri" w:eastAsia="Calibri" w:hAnsi="Calibri" w:cs="Calibri"/>
          <w:kern w:val="0"/>
          <w:sz w:val="22"/>
          <w:szCs w:val="22"/>
          <w14:ligatures w14:val="none"/>
        </w:rPr>
        <w:t xml:space="preserve"> a </w:t>
      </w:r>
      <w:r w:rsidRPr="000E35E6">
        <w:rPr>
          <w:rFonts w:ascii="Calibri" w:eastAsia="Calibri" w:hAnsi="Calibri" w:cs="Calibri"/>
          <w:b/>
          <w:bCs/>
          <w:kern w:val="0"/>
          <w:sz w:val="22"/>
          <w:szCs w:val="22"/>
          <w14:ligatures w14:val="none"/>
        </w:rPr>
        <w:t>Sycylią o 97,3 proc.</w:t>
      </w:r>
      <w:r w:rsidRPr="000E35E6">
        <w:rPr>
          <w:rFonts w:ascii="Calibri" w:eastAsia="Calibri" w:hAnsi="Calibri" w:cs="Calibri"/>
          <w:kern w:val="0"/>
          <w:sz w:val="22"/>
          <w:szCs w:val="22"/>
          <w14:ligatures w14:val="none"/>
        </w:rPr>
        <w:t xml:space="preserve"> w porównaniu z ubiegłym rokiem.</w:t>
      </w:r>
    </w:p>
    <w:p w14:paraId="6039072C"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Hiszpania i Włochy przyciągają klimatem, kuchnią i różnorodnością, ale samodzielne ułożenie takiego wyjazdu wymaga czasu i połączenia kilku oddzielnych usług. W ramach imprezy turystycznej w jednym miejscu rezerwujemy przelot, hotel, transfer i wyżywienie, a w razie nieprzewidzianych sytuacji możemy liczyć na wsparcie organizatora. Szersza oferta touroperatorów sprawia, że taki sposób podróżowania staje się realną alternatywą dla samodzielnych rezerwacji, przy których odpowiedzialność za każdy element wyjazdu spoczywa na turyście. To może być jedna z trwalszych zmian, które obserwujemy w tym sezonie – mówi Anna Podpora, ekspertka ds. analiz rynku turystycznego w Wakacje.pl.</w:t>
      </w:r>
    </w:p>
    <w:p w14:paraId="06D501D9"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b/>
          <w:bCs/>
          <w:kern w:val="0"/>
          <w:sz w:val="22"/>
          <w:szCs w:val="22"/>
          <w14:ligatures w14:val="none"/>
        </w:rPr>
        <w:t>Bułgaria przyspiesza. Złote Piaski wybierane ponad dwa razy częściej</w:t>
      </w:r>
    </w:p>
    <w:p w14:paraId="34B493A9"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Bułgaria od lat pozostaje jednym z najpopularniejszych kierunków letniego wypoczynku, ale w tym sezonie dodatkowo umacnia swoją pozycję. Zajmuje szóste miejsce wśród najczęściej wybieranych krajów i notuje dwucyfrowy wzrost liczby rezerwacji lipcowych wyjazdów.</w:t>
      </w:r>
    </w:p>
    <w:p w14:paraId="0E918C38"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xml:space="preserve">Największą dynamikę widać w przypadku wyjazdów do </w:t>
      </w:r>
      <w:r w:rsidRPr="000E35E6">
        <w:rPr>
          <w:rFonts w:ascii="Calibri" w:eastAsia="Calibri" w:hAnsi="Calibri" w:cs="Calibri"/>
          <w:b/>
          <w:bCs/>
          <w:kern w:val="0"/>
          <w:sz w:val="22"/>
          <w:szCs w:val="22"/>
          <w14:ligatures w14:val="none"/>
        </w:rPr>
        <w:t>Złotych Piasków</w:t>
      </w:r>
      <w:r w:rsidRPr="000E35E6">
        <w:rPr>
          <w:rFonts w:ascii="Calibri" w:eastAsia="Calibri" w:hAnsi="Calibri" w:cs="Calibri"/>
          <w:kern w:val="0"/>
          <w:sz w:val="22"/>
          <w:szCs w:val="22"/>
          <w14:ligatures w14:val="none"/>
        </w:rPr>
        <w:t xml:space="preserve">. Liczba rezerwacji wypoczynku w tym regionie była </w:t>
      </w:r>
      <w:r w:rsidRPr="000E35E6">
        <w:rPr>
          <w:rFonts w:ascii="Calibri" w:eastAsia="Calibri" w:hAnsi="Calibri" w:cs="Calibri"/>
          <w:b/>
          <w:bCs/>
          <w:kern w:val="0"/>
          <w:sz w:val="22"/>
          <w:szCs w:val="22"/>
          <w14:ligatures w14:val="none"/>
        </w:rPr>
        <w:t>o 109,1 proc. wyższa</w:t>
      </w:r>
      <w:r w:rsidRPr="000E35E6">
        <w:rPr>
          <w:rFonts w:ascii="Calibri" w:eastAsia="Calibri" w:hAnsi="Calibri" w:cs="Calibri"/>
          <w:kern w:val="0"/>
          <w:sz w:val="22"/>
          <w:szCs w:val="22"/>
          <w14:ligatures w14:val="none"/>
        </w:rPr>
        <w:t xml:space="preserve"> niż w analogicznym okresie ubiegłego roku. Stabilnie rośnie również zainteresowanie Słonecznym Brzegiem, największym i najbardziej rozpoznawalnym kurortem kraju.</w:t>
      </w:r>
    </w:p>
    <w:p w14:paraId="00BD0150"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Bułgarii sprzyjają konkurencyjne na tle innych europejskich kierunków ceny wypoczynku all inclusive, krótki czas przelotu, szeroka baza połączeń z polskich lotnisk, piaszczyste plaże oraz duży wybór hoteli przystosowanych do potrzeb rodzin. To właśnie wśród rodzin z dziećmi widać wzrost liczby rezerwacji. Drugą szybko rosnącą kategorią są wyjazdy w większym gronie dorosłych.</w:t>
      </w:r>
    </w:p>
    <w:p w14:paraId="6DE7F9AE"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Bułgaria jest dobrze znana kilku pokoleniom polskich turystów, ale jej popularność nie opiera się wyłącznie na sentymencie. W sezonie, w którym dla wielu osób istotny jest wakacyjny budżet, dużym atutem pozostaje korzystna relacja ceny do jakości. Można tu wypocząć w hotelu z all inclusive, blisko plaży i bez długiej podróży, a jednocześnie spróbować lokalnej kuchni, korzystać z atrakcji i zwiedzać. Dzięki temu Bułgarię chętnie wybierają zarówno rodziny, jak i grupy znajomych – wskazuje Marzena Buczkowska-German.</w:t>
      </w:r>
    </w:p>
    <w:p w14:paraId="53681813" w14:textId="77777777" w:rsidR="000E35E6" w:rsidRDefault="000E35E6">
      <w:pPr>
        <w:rPr>
          <w:rFonts w:ascii="Calibri" w:eastAsia="Calibri" w:hAnsi="Calibri" w:cs="Calibri"/>
          <w:b/>
          <w:bCs/>
          <w:kern w:val="0"/>
          <w:sz w:val="22"/>
          <w:szCs w:val="22"/>
          <w14:ligatures w14:val="none"/>
        </w:rPr>
      </w:pPr>
      <w:r>
        <w:rPr>
          <w:rFonts w:ascii="Calibri" w:eastAsia="Calibri" w:hAnsi="Calibri" w:cs="Calibri"/>
          <w:b/>
          <w:bCs/>
          <w:kern w:val="0"/>
          <w:sz w:val="22"/>
          <w:szCs w:val="22"/>
          <w14:ligatures w14:val="none"/>
        </w:rPr>
        <w:br w:type="page"/>
      </w:r>
    </w:p>
    <w:p w14:paraId="77627B13" w14:textId="0CF2A31C" w:rsidR="000E35E6" w:rsidRPr="000E35E6" w:rsidRDefault="000E35E6" w:rsidP="000E35E6">
      <w:pPr>
        <w:spacing w:after="160" w:line="257" w:lineRule="auto"/>
        <w:jc w:val="both"/>
        <w:rPr>
          <w:rFonts w:ascii="Calibri" w:eastAsia="Calibri" w:hAnsi="Calibri" w:cs="Calibri"/>
          <w:b/>
          <w:bCs/>
          <w:kern w:val="0"/>
          <w:sz w:val="22"/>
          <w:szCs w:val="22"/>
          <w14:ligatures w14:val="none"/>
        </w:rPr>
      </w:pPr>
      <w:r w:rsidRPr="000E35E6">
        <w:rPr>
          <w:rFonts w:ascii="Calibri" w:eastAsia="Calibri" w:hAnsi="Calibri" w:cs="Calibri"/>
          <w:b/>
          <w:bCs/>
          <w:kern w:val="0"/>
          <w:sz w:val="22"/>
          <w:szCs w:val="22"/>
          <w14:ligatures w14:val="none"/>
        </w:rPr>
        <w:lastRenderedPageBreak/>
        <w:t>Kierunki na fali: Albania, Malta i Maroko</w:t>
      </w:r>
    </w:p>
    <w:p w14:paraId="18187ED1"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Wysokie wzrosty nie ograniczają się do krajów zajmujących czołowe miejsca w rankingu.  W pierwszej połowie wakacji szczególnie wyróżniły się również Albania, Malta i Maroko.</w:t>
      </w:r>
    </w:p>
    <w:p w14:paraId="7EC5D597" w14:textId="06CC5DE2"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b/>
          <w:bCs/>
          <w:kern w:val="0"/>
          <w:sz w:val="22"/>
          <w:szCs w:val="22"/>
          <w14:ligatures w14:val="none"/>
        </w:rPr>
        <w:t>Albania</w:t>
      </w:r>
      <w:r w:rsidRPr="000E35E6">
        <w:rPr>
          <w:rFonts w:ascii="Calibri" w:eastAsia="Calibri" w:hAnsi="Calibri" w:cs="Calibri"/>
          <w:kern w:val="0"/>
          <w:sz w:val="22"/>
          <w:szCs w:val="22"/>
          <w14:ligatures w14:val="none"/>
        </w:rPr>
        <w:t xml:space="preserve"> już drugi sezon z rzędu konsekwentnie zyskuje na popularności. Liczba rezerwacji lipcowych wyjazdów do tego kraju wzrosła o 53,2 proc. rok do roku. Duże znaczenie ma rozwój oferty organizatorów: przybywa hoteli, a do programów biur podróży włączane są kolejne części kraju. Albania pozostaje przy tym konkurencyjna cenowo i pozwala połączyć wypoczynek nad morzem ze</w:t>
      </w:r>
      <w:r>
        <w:rPr>
          <w:rFonts w:ascii="Calibri" w:eastAsia="Calibri" w:hAnsi="Calibri" w:cs="Calibri"/>
          <w:kern w:val="0"/>
          <w:sz w:val="22"/>
          <w:szCs w:val="22"/>
          <w14:ligatures w14:val="none"/>
        </w:rPr>
        <w:t> </w:t>
      </w:r>
      <w:r w:rsidRPr="000E35E6">
        <w:rPr>
          <w:rFonts w:ascii="Calibri" w:eastAsia="Calibri" w:hAnsi="Calibri" w:cs="Calibri"/>
          <w:kern w:val="0"/>
          <w:sz w:val="22"/>
          <w:szCs w:val="22"/>
          <w14:ligatures w14:val="none"/>
        </w:rPr>
        <w:t>zwiedzaniem miejsc wciąż mniej turystycznych niż najpopularniejsze regiony południowej Europy.</w:t>
      </w:r>
    </w:p>
    <w:p w14:paraId="069FEE81"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xml:space="preserve">O 46,1 proc. rok do roku wzrosła liczba rezerwacji lipcowych wyjazdów na </w:t>
      </w:r>
      <w:r w:rsidRPr="000E35E6">
        <w:rPr>
          <w:rFonts w:ascii="Calibri" w:eastAsia="Calibri" w:hAnsi="Calibri" w:cs="Calibri"/>
          <w:b/>
          <w:bCs/>
          <w:kern w:val="0"/>
          <w:sz w:val="22"/>
          <w:szCs w:val="22"/>
          <w14:ligatures w14:val="none"/>
        </w:rPr>
        <w:t>Maltę</w:t>
      </w:r>
      <w:r w:rsidRPr="000E35E6">
        <w:rPr>
          <w:rFonts w:ascii="Calibri" w:eastAsia="Calibri" w:hAnsi="Calibri" w:cs="Calibri"/>
          <w:kern w:val="0"/>
          <w:sz w:val="22"/>
          <w:szCs w:val="22"/>
          <w14:ligatures w14:val="none"/>
        </w:rPr>
        <w:t>. Wyspa przyciąga możliwością połączenia plażowania, zwiedzania zabytkowych miast i korzystania z oferty rozrywkowej podczas jednego pobytu. Sprzyjają jej również krótki lot i duży wybór połączeń z Polski.</w:t>
      </w:r>
    </w:p>
    <w:p w14:paraId="408D8D06"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xml:space="preserve">Wyraźny wzrost zanotowało także </w:t>
      </w:r>
      <w:r w:rsidRPr="000E35E6">
        <w:rPr>
          <w:rFonts w:ascii="Calibri" w:eastAsia="Calibri" w:hAnsi="Calibri" w:cs="Calibri"/>
          <w:b/>
          <w:bCs/>
          <w:kern w:val="0"/>
          <w:sz w:val="22"/>
          <w:szCs w:val="22"/>
          <w14:ligatures w14:val="none"/>
        </w:rPr>
        <w:t>Maroko</w:t>
      </w:r>
      <w:r w:rsidRPr="000E35E6">
        <w:rPr>
          <w:rFonts w:ascii="Calibri" w:eastAsia="Calibri" w:hAnsi="Calibri" w:cs="Calibri"/>
          <w:kern w:val="0"/>
          <w:sz w:val="22"/>
          <w:szCs w:val="22"/>
          <w14:ligatures w14:val="none"/>
        </w:rPr>
        <w:t>, które wybrało o 43,4 proc. więcej turystów niż przed rokiem. Szczególnie mocno zyskał Agadir – liczba rezerwacji lipcowych wyjazdów do tego kurortu wzrosła o 87 proc. rok do roku.</w:t>
      </w:r>
    </w:p>
    <w:p w14:paraId="116807EF"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b/>
          <w:bCs/>
          <w:kern w:val="0"/>
          <w:sz w:val="22"/>
          <w:szCs w:val="22"/>
          <w14:ligatures w14:val="none"/>
        </w:rPr>
        <w:t>Egipt trzyma pozycję, ale zmienia się od środka</w:t>
      </w:r>
    </w:p>
    <w:p w14:paraId="5F050CC0"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Egipt pozostaje jednym z trzech najpopularniejszych krajów wśród klientów Wakacje.pl. Jego stabilnej pozycji sprzyjają ciepłe morze, rafy koralowe, dobre warunki do uprawiania sportów wodnych oraz duży wybór cztero- i pięciogwiazdkowych resortów z all inclusive i atrakcjami dla dzieci.</w:t>
      </w:r>
    </w:p>
    <w:p w14:paraId="5FC7130A"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xml:space="preserve">Tegoroczne dane pokazują jednak zmiany w wyborze konkretnych miejsc. Rośnie zainteresowanie </w:t>
      </w:r>
      <w:r w:rsidRPr="000E35E6">
        <w:rPr>
          <w:rFonts w:ascii="Calibri" w:eastAsia="Calibri" w:hAnsi="Calibri" w:cs="Calibri"/>
          <w:b/>
          <w:bCs/>
          <w:kern w:val="0"/>
          <w:sz w:val="22"/>
          <w:szCs w:val="22"/>
          <w14:ligatures w14:val="none"/>
        </w:rPr>
        <w:t>Hurghadą</w:t>
      </w:r>
      <w:r w:rsidRPr="000E35E6">
        <w:rPr>
          <w:rFonts w:ascii="Calibri" w:eastAsia="Calibri" w:hAnsi="Calibri" w:cs="Calibri"/>
          <w:kern w:val="0"/>
          <w:sz w:val="22"/>
          <w:szCs w:val="22"/>
          <w14:ligatures w14:val="none"/>
        </w:rPr>
        <w:t xml:space="preserve"> oraz ofertami </w:t>
      </w:r>
      <w:r w:rsidRPr="000E35E6">
        <w:rPr>
          <w:rFonts w:ascii="Calibri" w:eastAsia="Calibri" w:hAnsi="Calibri" w:cs="Calibri"/>
          <w:b/>
          <w:bCs/>
          <w:kern w:val="0"/>
          <w:sz w:val="22"/>
          <w:szCs w:val="22"/>
          <w14:ligatures w14:val="none"/>
        </w:rPr>
        <w:t>w północnej części kraju</w:t>
      </w:r>
      <w:r w:rsidRPr="000E35E6">
        <w:rPr>
          <w:rFonts w:ascii="Calibri" w:eastAsia="Calibri" w:hAnsi="Calibri" w:cs="Calibri"/>
          <w:kern w:val="0"/>
          <w:sz w:val="22"/>
          <w:szCs w:val="22"/>
          <w14:ligatures w14:val="none"/>
        </w:rPr>
        <w:t>. Turyści chętnie wracają więc do Egiptu, ale podczas kolejnego pobytu coraz częściej wybierają inny region, kurort lub hotel.</w:t>
      </w:r>
    </w:p>
    <w:p w14:paraId="7332590C"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W przypadku popularnych i dobrze znanych krajów dużą grupę stanowią turyści, którzy dobrze wspominają poprzedni wyjazd i chcą wrócić, ale tym razem poznać inne miejsce. Rozwijająca się oferta pozwala organizatorom odpowiadać zarówno na potrzeby osób szukających sprawdzonego wypoczynku nad Morzem Czerwonym, jak i tych zainteresowanych odkrywaniem kolejnych części Egiptu – tłumaczy Anna Podpora.</w:t>
      </w:r>
    </w:p>
    <w:p w14:paraId="6D8F0935"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b/>
          <w:bCs/>
          <w:kern w:val="0"/>
          <w:sz w:val="22"/>
          <w:szCs w:val="22"/>
          <w14:ligatures w14:val="none"/>
        </w:rPr>
        <w:t>Pary nadal najliczniejsze, ale to rodziny rosną najszybciej</w:t>
      </w:r>
    </w:p>
    <w:p w14:paraId="23612D2B"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Największą grupą klientów korzystających z wyjazdów zorganizowanych pozostają pary. Najszybciej zwiększa się jednak liczba rodzinnych rezerwacji.</w:t>
      </w:r>
    </w:p>
    <w:p w14:paraId="620E8849" w14:textId="7F472AB5"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 xml:space="preserve">Wyjazdów dla dwojga dorosłych i dwojga dzieci w lipcu było o </w:t>
      </w:r>
      <w:r w:rsidRPr="000E35E6">
        <w:rPr>
          <w:rFonts w:ascii="Calibri" w:eastAsia="Calibri" w:hAnsi="Calibri" w:cs="Calibri"/>
          <w:b/>
          <w:bCs/>
          <w:kern w:val="0"/>
          <w:sz w:val="22"/>
          <w:szCs w:val="22"/>
          <w14:ligatures w14:val="none"/>
        </w:rPr>
        <w:t>20 proc.</w:t>
      </w:r>
      <w:r w:rsidRPr="000E35E6">
        <w:rPr>
          <w:rFonts w:ascii="Calibri" w:eastAsia="Calibri" w:hAnsi="Calibri" w:cs="Calibri"/>
          <w:kern w:val="0"/>
          <w:sz w:val="22"/>
          <w:szCs w:val="22"/>
          <w14:ligatures w14:val="none"/>
        </w:rPr>
        <w:t xml:space="preserve"> więcej niż przed rokiem. W</w:t>
      </w:r>
      <w:r>
        <w:rPr>
          <w:rFonts w:ascii="Calibri" w:eastAsia="Calibri" w:hAnsi="Calibri" w:cs="Calibri"/>
          <w:kern w:val="0"/>
          <w:sz w:val="22"/>
          <w:szCs w:val="22"/>
          <w14:ligatures w14:val="none"/>
        </w:rPr>
        <w:t> </w:t>
      </w:r>
      <w:r w:rsidRPr="000E35E6">
        <w:rPr>
          <w:rFonts w:ascii="Calibri" w:eastAsia="Calibri" w:hAnsi="Calibri" w:cs="Calibri"/>
          <w:kern w:val="0"/>
          <w:sz w:val="22"/>
          <w:szCs w:val="22"/>
          <w14:ligatures w14:val="none"/>
        </w:rPr>
        <w:t xml:space="preserve">przypadku rezerwacji dla dwojga dorosłych i jednego dziecka wzrost wyniósł </w:t>
      </w:r>
      <w:r w:rsidRPr="000E35E6">
        <w:rPr>
          <w:rFonts w:ascii="Calibri" w:eastAsia="Calibri" w:hAnsi="Calibri" w:cs="Calibri"/>
          <w:b/>
          <w:bCs/>
          <w:kern w:val="0"/>
          <w:sz w:val="22"/>
          <w:szCs w:val="22"/>
          <w14:ligatures w14:val="none"/>
        </w:rPr>
        <w:t>18,4 proc.</w:t>
      </w:r>
    </w:p>
    <w:p w14:paraId="628F452A"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b/>
          <w:bCs/>
          <w:kern w:val="0"/>
          <w:sz w:val="22"/>
          <w:szCs w:val="22"/>
          <w14:ligatures w14:val="none"/>
        </w:rPr>
        <w:t>Albo z dużym wyprzedzeniem, albo na ostatnią chwilę</w:t>
      </w:r>
    </w:p>
    <w:p w14:paraId="2D5D44A2" w14:textId="77777777" w:rsidR="000E35E6" w:rsidRPr="000E35E6" w:rsidRDefault="000E35E6" w:rsidP="000E35E6">
      <w:pPr>
        <w:spacing w:after="160" w:line="257" w:lineRule="auto"/>
        <w:jc w:val="both"/>
        <w:rPr>
          <w:rFonts w:ascii="Aptos" w:eastAsia="Aptos" w:hAnsi="Aptos" w:cs="Arial"/>
          <w:kern w:val="0"/>
          <w14:ligatures w14:val="none"/>
        </w:rPr>
      </w:pPr>
      <w:r w:rsidRPr="000E35E6">
        <w:rPr>
          <w:rFonts w:ascii="Calibri" w:eastAsia="Calibri" w:hAnsi="Calibri" w:cs="Calibri"/>
          <w:kern w:val="0"/>
          <w:sz w:val="22"/>
          <w:szCs w:val="22"/>
          <w14:ligatures w14:val="none"/>
        </w:rPr>
        <w:t>W pierwszej połowie wakacji wyraźnie zaznaczyły się dwa odmienne sposoby planowania podróży. Lipcowe wyjazdy klienci Wakacje.pl rezerwowali średnio 74 dni przed wylotem, czyli o 2,5 dnia wcześniej niż przed rokiem.</w:t>
      </w:r>
    </w:p>
    <w:p w14:paraId="6E1ED5AA" w14:textId="77777777" w:rsidR="000E35E6" w:rsidRPr="000E35E6" w:rsidRDefault="000E35E6" w:rsidP="000E35E6">
      <w:pPr>
        <w:spacing w:after="160" w:line="257" w:lineRule="auto"/>
        <w:jc w:val="both"/>
        <w:rPr>
          <w:rFonts w:ascii="Calibri" w:eastAsia="Calibri" w:hAnsi="Calibri" w:cs="Calibri"/>
          <w:kern w:val="0"/>
          <w:sz w:val="22"/>
          <w:szCs w:val="22"/>
          <w14:ligatures w14:val="none"/>
        </w:rPr>
      </w:pPr>
      <w:r w:rsidRPr="000E35E6">
        <w:rPr>
          <w:rFonts w:ascii="Calibri" w:eastAsia="Calibri" w:hAnsi="Calibri" w:cs="Calibri"/>
          <w:kern w:val="0"/>
          <w:sz w:val="22"/>
          <w:szCs w:val="22"/>
          <w14:ligatures w14:val="none"/>
        </w:rPr>
        <w:t>Blisko jedna trzecia rezerwacji dotyczyła podróży kupionych ponad 90 dni przed wyjazdem. Na drugim biegunie pozostaje last minute – co piąty lipcowy wyjazd rezerwowano w ciągu siedmiu dni przed wylotem.</w:t>
      </w:r>
    </w:p>
    <w:p w14:paraId="2FF7BA4B" w14:textId="3E90EB1C" w:rsidR="000E35E6" w:rsidRPr="000E35E6" w:rsidRDefault="000E35E6" w:rsidP="000E35E6">
      <w:pPr>
        <w:spacing w:after="160" w:line="257" w:lineRule="auto"/>
        <w:jc w:val="both"/>
        <w:rPr>
          <w:rFonts w:ascii="Aptos" w:eastAsia="Aptos" w:hAnsi="Aptos" w:cs="Aptos"/>
          <w:kern w:val="0"/>
          <w14:ligatures w14:val="none"/>
        </w:rPr>
      </w:pPr>
      <w:r w:rsidRPr="000E35E6">
        <w:rPr>
          <w:rFonts w:ascii="Calibri" w:eastAsia="Calibri" w:hAnsi="Calibri" w:cs="Calibri"/>
          <w:kern w:val="0"/>
          <w:sz w:val="22"/>
          <w:szCs w:val="22"/>
          <w14:ligatures w14:val="none"/>
        </w:rPr>
        <w:lastRenderedPageBreak/>
        <w:t>– Widzimy wyraźną polaryzację. Część turystów planuje wakacje z kilkumiesięcznym wyprzedzeniem, żeby mieć szeroki wybór hoteli, terminów i lotnisk, a część podejmuje decyzję niemal w ostatniej chwili. Last minute nadal ma wielu zwolenników, ale w szczycie sezonu wymaga większej elastyczności w</w:t>
      </w:r>
      <w:r>
        <w:rPr>
          <w:rFonts w:ascii="Calibri" w:eastAsia="Calibri" w:hAnsi="Calibri" w:cs="Calibri"/>
          <w:kern w:val="0"/>
          <w:sz w:val="22"/>
          <w:szCs w:val="22"/>
          <w14:ligatures w14:val="none"/>
        </w:rPr>
        <w:t> </w:t>
      </w:r>
      <w:r w:rsidRPr="000E35E6">
        <w:rPr>
          <w:rFonts w:ascii="Calibri" w:eastAsia="Calibri" w:hAnsi="Calibri" w:cs="Calibri"/>
          <w:kern w:val="0"/>
          <w:sz w:val="22"/>
          <w:szCs w:val="22"/>
          <w14:ligatures w14:val="none"/>
        </w:rPr>
        <w:t>kwestii kraju, hotelu czy lotniska wylotu – mówi Marzena Buczkowska-German.</w:t>
      </w:r>
    </w:p>
    <w:p w14:paraId="43444D15" w14:textId="77777777" w:rsidR="00F04DB9" w:rsidRDefault="00F04DB9" w:rsidP="000E35E6">
      <w:pPr>
        <w:pBdr>
          <w:bottom w:val="single" w:sz="6" w:space="1" w:color="auto"/>
        </w:pBdr>
        <w:jc w:val="both"/>
        <w:rPr>
          <w:rFonts w:ascii="Calibri" w:eastAsia="Calibri" w:hAnsi="Calibri" w:cs="Calibri"/>
        </w:rPr>
      </w:pPr>
    </w:p>
    <w:p w14:paraId="2E4E050F" w14:textId="77777777" w:rsidR="00F04DB9" w:rsidRDefault="00F04DB9" w:rsidP="00F04DB9">
      <w:pPr>
        <w:jc w:val="both"/>
        <w:rPr>
          <w:rFonts w:ascii="Calibri" w:eastAsia="Calibri" w:hAnsi="Calibri" w:cs="Calibri"/>
        </w:rPr>
      </w:pPr>
    </w:p>
    <w:p w14:paraId="0224CF8B" w14:textId="77777777" w:rsidR="00F04DB9" w:rsidRPr="00293BCD" w:rsidRDefault="00F04DB9" w:rsidP="00F04DB9">
      <w:pPr>
        <w:jc w:val="both"/>
        <w:rPr>
          <w:rFonts w:ascii="Calibri" w:eastAsia="Calibri" w:hAnsi="Calibri" w:cs="Calibri"/>
          <w:sz w:val="16"/>
          <w:szCs w:val="16"/>
        </w:rPr>
      </w:pPr>
    </w:p>
    <w:p w14:paraId="593AB8B9" w14:textId="12A0F9B0" w:rsidR="00F04DB9" w:rsidRPr="00083D97" w:rsidRDefault="00F04DB9" w:rsidP="00F04DB9">
      <w:pPr>
        <w:jc w:val="both"/>
        <w:rPr>
          <w:rFonts w:ascii="Calibri" w:eastAsia="Calibri" w:hAnsi="Calibri" w:cs="Times New Roman"/>
          <w:sz w:val="16"/>
          <w:szCs w:val="16"/>
        </w:rPr>
      </w:pPr>
      <w:r w:rsidRPr="00083D97">
        <w:rPr>
          <w:rFonts w:ascii="Calibri" w:eastAsia="Calibri" w:hAnsi="Calibri" w:cs="Times New Roman"/>
          <w:sz w:val="16"/>
          <w:szCs w:val="16"/>
        </w:rPr>
        <w:t xml:space="preserve">Wakacje.pl S.A. to lider rynku OTA w Polsce i jeden z największych multiagentów turystycznych w Europie Środkowo-Wschodniej. Umożliwia porównywanie i rezerwację wyjazdów poprzez cztery kanały sprzedaży: stronę internetową wakacje.pl, aplikację mobilną, call center oraz sieć </w:t>
      </w:r>
      <w:r w:rsidR="001C7BDA">
        <w:rPr>
          <w:rFonts w:ascii="Calibri" w:eastAsia="Calibri" w:hAnsi="Calibri" w:cs="Times New Roman"/>
          <w:sz w:val="16"/>
          <w:szCs w:val="16"/>
        </w:rPr>
        <w:t>400</w:t>
      </w:r>
      <w:r w:rsidRPr="00083D97">
        <w:rPr>
          <w:rFonts w:ascii="Calibri" w:eastAsia="Calibri" w:hAnsi="Calibri" w:cs="Times New Roman"/>
          <w:sz w:val="16"/>
          <w:szCs w:val="16"/>
        </w:rPr>
        <w:t xml:space="preserve"> franczyzowych salonów stacjonarnych w całej Polsce. W swojej ofercie ma wyjazdy realizowane przez największe, ale też średnie i</w:t>
      </w:r>
      <w:r w:rsidR="00AC6318">
        <w:rPr>
          <w:rFonts w:ascii="Calibri" w:eastAsia="Calibri" w:hAnsi="Calibri" w:cs="Times New Roman"/>
          <w:sz w:val="16"/>
          <w:szCs w:val="16"/>
        </w:rPr>
        <w:t> </w:t>
      </w:r>
      <w:r w:rsidRPr="00083D97">
        <w:rPr>
          <w:rFonts w:ascii="Calibri" w:eastAsia="Calibri" w:hAnsi="Calibri" w:cs="Times New Roman"/>
          <w:sz w:val="16"/>
          <w:szCs w:val="16"/>
        </w:rPr>
        <w:t>mniejsze biura podróży. Obejmuje ona zagraniczne wycieczki lotnicze i autokarowe, wakacje z dojazdem własnym, wczasy krajowe, ofertę dla grup, pakiety lot+hotel, a także szeroką gamę usług dodatkowych: ubezpieczenia turystyczne, miejsca parkingowe przy lotniskach (marka Parklot.pl) i wycieczki fakultatywne. Firma co roku jest laureatem konkursów branżowych i plebiscytów konsumenckich, m.in. Laur Konsumenta 2026, Gazele Biznesu 2025, Mobile Trends Awards 2024, TOP Marka Lauru Konsumenta 2022.</w:t>
      </w:r>
    </w:p>
    <w:p w14:paraId="3EF20DFE" w14:textId="35CDF8A1" w:rsidR="00BF0E60" w:rsidRPr="00F04DB9" w:rsidRDefault="00F04DB9" w:rsidP="00F04DB9">
      <w:pPr>
        <w:jc w:val="both"/>
        <w:rPr>
          <w:rFonts w:ascii="Calibri" w:eastAsia="Calibri" w:hAnsi="Calibri" w:cs="Times New Roman"/>
          <w:b/>
          <w:bCs/>
          <w:sz w:val="16"/>
          <w:szCs w:val="16"/>
        </w:rPr>
      </w:pPr>
      <w:r w:rsidRPr="00083D97">
        <w:rPr>
          <w:rFonts w:ascii="Calibri" w:eastAsia="Calibri" w:hAnsi="Calibri" w:cs="Times New Roman"/>
          <w:sz w:val="16"/>
          <w:szCs w:val="16"/>
        </w:rPr>
        <w:t xml:space="preserve">Od 2015 roku Wakacje.pl są częścią Wirtualna Polska Holding; a w 2025 zintegrowały zarządzanie w regionie CEE w jednej grupie z markami Travelplanet.pl i Invia (CZ, SK, HU).  </w:t>
      </w:r>
    </w:p>
    <w:p w14:paraId="1E2F72AB" w14:textId="3360FE98" w:rsidR="00401CAE" w:rsidRPr="00E00601" w:rsidRDefault="00401CAE" w:rsidP="00BF0E60">
      <w:pPr>
        <w:jc w:val="both"/>
        <w:rPr>
          <w:rFonts w:ascii="Poppins" w:hAnsi="Poppins" w:cs="Poppins"/>
          <w:sz w:val="20"/>
          <w:szCs w:val="20"/>
        </w:rPr>
      </w:pPr>
    </w:p>
    <w:sectPr w:rsidR="00401CAE" w:rsidRPr="00E00601" w:rsidSect="000F7E9B">
      <w:headerReference w:type="default" r:id="rId8"/>
      <w:footerReference w:type="default" r:id="rId9"/>
      <w:pgSz w:w="11906" w:h="16838"/>
      <w:pgMar w:top="1418" w:right="1418" w:bottom="1418" w:left="1418" w:header="850"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092F8" w14:textId="77777777" w:rsidR="00C4533A" w:rsidRDefault="00C4533A" w:rsidP="001D4B13">
      <w:r>
        <w:separator/>
      </w:r>
    </w:p>
  </w:endnote>
  <w:endnote w:type="continuationSeparator" w:id="0">
    <w:p w14:paraId="0E5FAF6A" w14:textId="77777777" w:rsidR="00C4533A" w:rsidRDefault="00C4533A" w:rsidP="001D4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93A9" w14:textId="26062C4F" w:rsidR="001D4B13" w:rsidRDefault="00AF0038">
    <w:pPr>
      <w:pStyle w:val="Stopka"/>
    </w:pPr>
    <w:r>
      <w:rPr>
        <w:noProof/>
      </w:rPr>
      <w:drawing>
        <wp:anchor distT="0" distB="0" distL="114300" distR="114300" simplePos="0" relativeHeight="251658240" behindDoc="1" locked="1" layoutInCell="1" allowOverlap="1" wp14:anchorId="0AE3CBD6" wp14:editId="43CFE83E">
          <wp:simplePos x="0" y="0"/>
          <wp:positionH relativeFrom="margin">
            <wp:posOffset>-900430</wp:posOffset>
          </wp:positionH>
          <wp:positionV relativeFrom="page">
            <wp:posOffset>9535795</wp:posOffset>
          </wp:positionV>
          <wp:extent cx="7560000" cy="1156258"/>
          <wp:effectExtent l="0" t="0" r="0" b="0"/>
          <wp:wrapNone/>
          <wp:docPr id="71411846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18461" name="Obraz 3"/>
                  <pic:cNvPicPr/>
                </pic:nvPicPr>
                <pic:blipFill>
                  <a:blip r:embed="rId1">
                    <a:extLst>
                      <a:ext uri="{28A0092B-C50C-407E-A947-70E740481C1C}">
                        <a14:useLocalDpi xmlns:a14="http://schemas.microsoft.com/office/drawing/2010/main" val="0"/>
                      </a:ext>
                    </a:extLst>
                  </a:blip>
                  <a:stretch>
                    <a:fillRect/>
                  </a:stretch>
                </pic:blipFill>
                <pic:spPr>
                  <a:xfrm>
                    <a:off x="0" y="0"/>
                    <a:ext cx="7560000" cy="115625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199A0" w14:textId="77777777" w:rsidR="00C4533A" w:rsidRDefault="00C4533A" w:rsidP="001D4B13">
      <w:r>
        <w:separator/>
      </w:r>
    </w:p>
  </w:footnote>
  <w:footnote w:type="continuationSeparator" w:id="0">
    <w:p w14:paraId="33508ECE" w14:textId="77777777" w:rsidR="00C4533A" w:rsidRDefault="00C4533A" w:rsidP="001D4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576E" w14:textId="4A99DE36" w:rsidR="001D4B13" w:rsidRDefault="001D4B13" w:rsidP="001D4B13">
    <w:pPr>
      <w:pStyle w:val="Nagwek"/>
      <w:jc w:val="right"/>
    </w:pPr>
    <w:r>
      <w:rPr>
        <w:noProof/>
      </w:rPr>
      <w:drawing>
        <wp:anchor distT="0" distB="0" distL="114300" distR="114300" simplePos="0" relativeHeight="251659264" behindDoc="1" locked="0" layoutInCell="1" allowOverlap="1" wp14:anchorId="7C7EAB20" wp14:editId="0CF8996B">
          <wp:simplePos x="0" y="0"/>
          <wp:positionH relativeFrom="margin">
            <wp:posOffset>4222076</wp:posOffset>
          </wp:positionH>
          <wp:positionV relativeFrom="paragraph">
            <wp:posOffset>-166526</wp:posOffset>
          </wp:positionV>
          <wp:extent cx="1528341" cy="413405"/>
          <wp:effectExtent l="0" t="0" r="0" b="5715"/>
          <wp:wrapNone/>
          <wp:docPr id="164614014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40144" name="Obraz 2"/>
                  <pic:cNvPicPr/>
                </pic:nvPicPr>
                <pic:blipFill>
                  <a:blip r:embed="rId1">
                    <a:extLst>
                      <a:ext uri="{28A0092B-C50C-407E-A947-70E740481C1C}">
                        <a14:useLocalDpi xmlns:a14="http://schemas.microsoft.com/office/drawing/2010/main" val="0"/>
                      </a:ext>
                    </a:extLst>
                  </a:blip>
                  <a:stretch>
                    <a:fillRect/>
                  </a:stretch>
                </pic:blipFill>
                <pic:spPr>
                  <a:xfrm>
                    <a:off x="0" y="0"/>
                    <a:ext cx="1533938" cy="41491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752"/>
    <w:multiLevelType w:val="hybridMultilevel"/>
    <w:tmpl w:val="FFFFFFFF"/>
    <w:lvl w:ilvl="0" w:tplc="E104E5AC">
      <w:start w:val="1"/>
      <w:numFmt w:val="bullet"/>
      <w:lvlText w:val=""/>
      <w:lvlJc w:val="left"/>
      <w:pPr>
        <w:ind w:left="720" w:hanging="360"/>
      </w:pPr>
      <w:rPr>
        <w:rFonts w:ascii="Symbol" w:hAnsi="Symbol" w:hint="default"/>
      </w:rPr>
    </w:lvl>
    <w:lvl w:ilvl="1" w:tplc="B2B0B818">
      <w:start w:val="1"/>
      <w:numFmt w:val="bullet"/>
      <w:lvlText w:val="o"/>
      <w:lvlJc w:val="left"/>
      <w:pPr>
        <w:ind w:left="1440" w:hanging="360"/>
      </w:pPr>
      <w:rPr>
        <w:rFonts w:ascii="Courier New" w:hAnsi="Courier New" w:hint="default"/>
      </w:rPr>
    </w:lvl>
    <w:lvl w:ilvl="2" w:tplc="23E2EC24">
      <w:start w:val="1"/>
      <w:numFmt w:val="bullet"/>
      <w:lvlText w:val=""/>
      <w:lvlJc w:val="left"/>
      <w:pPr>
        <w:ind w:left="2160" w:hanging="360"/>
      </w:pPr>
      <w:rPr>
        <w:rFonts w:ascii="Wingdings" w:hAnsi="Wingdings" w:hint="default"/>
      </w:rPr>
    </w:lvl>
    <w:lvl w:ilvl="3" w:tplc="DE7CE5F6">
      <w:start w:val="1"/>
      <w:numFmt w:val="bullet"/>
      <w:lvlText w:val=""/>
      <w:lvlJc w:val="left"/>
      <w:pPr>
        <w:ind w:left="2880" w:hanging="360"/>
      </w:pPr>
      <w:rPr>
        <w:rFonts w:ascii="Symbol" w:hAnsi="Symbol" w:hint="default"/>
      </w:rPr>
    </w:lvl>
    <w:lvl w:ilvl="4" w:tplc="D22C58CA">
      <w:start w:val="1"/>
      <w:numFmt w:val="bullet"/>
      <w:lvlText w:val="o"/>
      <w:lvlJc w:val="left"/>
      <w:pPr>
        <w:ind w:left="3600" w:hanging="360"/>
      </w:pPr>
      <w:rPr>
        <w:rFonts w:ascii="Courier New" w:hAnsi="Courier New" w:hint="default"/>
      </w:rPr>
    </w:lvl>
    <w:lvl w:ilvl="5" w:tplc="C46047B6">
      <w:start w:val="1"/>
      <w:numFmt w:val="bullet"/>
      <w:lvlText w:val=""/>
      <w:lvlJc w:val="left"/>
      <w:pPr>
        <w:ind w:left="4320" w:hanging="360"/>
      </w:pPr>
      <w:rPr>
        <w:rFonts w:ascii="Wingdings" w:hAnsi="Wingdings" w:hint="default"/>
      </w:rPr>
    </w:lvl>
    <w:lvl w:ilvl="6" w:tplc="95926EE6">
      <w:start w:val="1"/>
      <w:numFmt w:val="bullet"/>
      <w:lvlText w:val=""/>
      <w:lvlJc w:val="left"/>
      <w:pPr>
        <w:ind w:left="5040" w:hanging="360"/>
      </w:pPr>
      <w:rPr>
        <w:rFonts w:ascii="Symbol" w:hAnsi="Symbol" w:hint="default"/>
      </w:rPr>
    </w:lvl>
    <w:lvl w:ilvl="7" w:tplc="0378920E">
      <w:start w:val="1"/>
      <w:numFmt w:val="bullet"/>
      <w:lvlText w:val="o"/>
      <w:lvlJc w:val="left"/>
      <w:pPr>
        <w:ind w:left="5760" w:hanging="360"/>
      </w:pPr>
      <w:rPr>
        <w:rFonts w:ascii="Courier New" w:hAnsi="Courier New" w:hint="default"/>
      </w:rPr>
    </w:lvl>
    <w:lvl w:ilvl="8" w:tplc="A4700B8A">
      <w:start w:val="1"/>
      <w:numFmt w:val="bullet"/>
      <w:lvlText w:val=""/>
      <w:lvlJc w:val="left"/>
      <w:pPr>
        <w:ind w:left="6480" w:hanging="360"/>
      </w:pPr>
      <w:rPr>
        <w:rFonts w:ascii="Wingdings" w:hAnsi="Wingdings" w:hint="default"/>
      </w:rPr>
    </w:lvl>
  </w:abstractNum>
  <w:abstractNum w:abstractNumId="1" w15:restartNumberingAfterBreak="0">
    <w:nsid w:val="062620AD"/>
    <w:multiLevelType w:val="hybridMultilevel"/>
    <w:tmpl w:val="DB4A658E"/>
    <w:lvl w:ilvl="0" w:tplc="5C34BC98">
      <w:start w:val="1"/>
      <w:numFmt w:val="bullet"/>
      <w:lvlText w:val=""/>
      <w:lvlJc w:val="left"/>
      <w:pPr>
        <w:ind w:left="720" w:hanging="360"/>
      </w:pPr>
      <w:rPr>
        <w:rFonts w:ascii="Symbol" w:hAnsi="Symbol" w:hint="default"/>
      </w:rPr>
    </w:lvl>
    <w:lvl w:ilvl="1" w:tplc="A356A0A2">
      <w:start w:val="1"/>
      <w:numFmt w:val="bullet"/>
      <w:lvlText w:val="o"/>
      <w:lvlJc w:val="left"/>
      <w:pPr>
        <w:ind w:left="1440" w:hanging="360"/>
      </w:pPr>
      <w:rPr>
        <w:rFonts w:ascii="Courier New" w:hAnsi="Courier New" w:hint="default"/>
      </w:rPr>
    </w:lvl>
    <w:lvl w:ilvl="2" w:tplc="CDF232D4">
      <w:start w:val="1"/>
      <w:numFmt w:val="bullet"/>
      <w:lvlText w:val=""/>
      <w:lvlJc w:val="left"/>
      <w:pPr>
        <w:ind w:left="2160" w:hanging="360"/>
      </w:pPr>
      <w:rPr>
        <w:rFonts w:ascii="Wingdings" w:hAnsi="Wingdings" w:hint="default"/>
      </w:rPr>
    </w:lvl>
    <w:lvl w:ilvl="3" w:tplc="6ED0AFE6">
      <w:start w:val="1"/>
      <w:numFmt w:val="bullet"/>
      <w:lvlText w:val=""/>
      <w:lvlJc w:val="left"/>
      <w:pPr>
        <w:ind w:left="2880" w:hanging="360"/>
      </w:pPr>
      <w:rPr>
        <w:rFonts w:ascii="Symbol" w:hAnsi="Symbol" w:hint="default"/>
      </w:rPr>
    </w:lvl>
    <w:lvl w:ilvl="4" w:tplc="B8A40CE6">
      <w:start w:val="1"/>
      <w:numFmt w:val="bullet"/>
      <w:lvlText w:val="o"/>
      <w:lvlJc w:val="left"/>
      <w:pPr>
        <w:ind w:left="3600" w:hanging="360"/>
      </w:pPr>
      <w:rPr>
        <w:rFonts w:ascii="Courier New" w:hAnsi="Courier New" w:hint="default"/>
      </w:rPr>
    </w:lvl>
    <w:lvl w:ilvl="5" w:tplc="25A48B1E">
      <w:start w:val="1"/>
      <w:numFmt w:val="bullet"/>
      <w:lvlText w:val=""/>
      <w:lvlJc w:val="left"/>
      <w:pPr>
        <w:ind w:left="4320" w:hanging="360"/>
      </w:pPr>
      <w:rPr>
        <w:rFonts w:ascii="Wingdings" w:hAnsi="Wingdings" w:hint="default"/>
      </w:rPr>
    </w:lvl>
    <w:lvl w:ilvl="6" w:tplc="83A27B6A">
      <w:start w:val="1"/>
      <w:numFmt w:val="bullet"/>
      <w:lvlText w:val=""/>
      <w:lvlJc w:val="left"/>
      <w:pPr>
        <w:ind w:left="5040" w:hanging="360"/>
      </w:pPr>
      <w:rPr>
        <w:rFonts w:ascii="Symbol" w:hAnsi="Symbol" w:hint="default"/>
      </w:rPr>
    </w:lvl>
    <w:lvl w:ilvl="7" w:tplc="FE78CFBE">
      <w:start w:val="1"/>
      <w:numFmt w:val="bullet"/>
      <w:lvlText w:val="o"/>
      <w:lvlJc w:val="left"/>
      <w:pPr>
        <w:ind w:left="5760" w:hanging="360"/>
      </w:pPr>
      <w:rPr>
        <w:rFonts w:ascii="Courier New" w:hAnsi="Courier New" w:hint="default"/>
      </w:rPr>
    </w:lvl>
    <w:lvl w:ilvl="8" w:tplc="2A78B836">
      <w:start w:val="1"/>
      <w:numFmt w:val="bullet"/>
      <w:lvlText w:val=""/>
      <w:lvlJc w:val="left"/>
      <w:pPr>
        <w:ind w:left="6480" w:hanging="360"/>
      </w:pPr>
      <w:rPr>
        <w:rFonts w:ascii="Wingdings" w:hAnsi="Wingdings" w:hint="default"/>
      </w:rPr>
    </w:lvl>
  </w:abstractNum>
  <w:abstractNum w:abstractNumId="2" w15:restartNumberingAfterBreak="0">
    <w:nsid w:val="10897C6C"/>
    <w:multiLevelType w:val="hybridMultilevel"/>
    <w:tmpl w:val="FFFFFFFF"/>
    <w:lvl w:ilvl="0" w:tplc="DF7894C0">
      <w:start w:val="1"/>
      <w:numFmt w:val="bullet"/>
      <w:lvlText w:val=""/>
      <w:lvlJc w:val="left"/>
      <w:pPr>
        <w:ind w:left="720" w:hanging="360"/>
      </w:pPr>
      <w:rPr>
        <w:rFonts w:ascii="Symbol" w:hAnsi="Symbol" w:hint="default"/>
      </w:rPr>
    </w:lvl>
    <w:lvl w:ilvl="1" w:tplc="28025A06">
      <w:start w:val="1"/>
      <w:numFmt w:val="bullet"/>
      <w:lvlText w:val="o"/>
      <w:lvlJc w:val="left"/>
      <w:pPr>
        <w:ind w:left="1440" w:hanging="360"/>
      </w:pPr>
      <w:rPr>
        <w:rFonts w:ascii="Courier New" w:hAnsi="Courier New" w:hint="default"/>
      </w:rPr>
    </w:lvl>
    <w:lvl w:ilvl="2" w:tplc="10641C38">
      <w:start w:val="1"/>
      <w:numFmt w:val="bullet"/>
      <w:lvlText w:val=""/>
      <w:lvlJc w:val="left"/>
      <w:pPr>
        <w:ind w:left="2160" w:hanging="360"/>
      </w:pPr>
      <w:rPr>
        <w:rFonts w:ascii="Wingdings" w:hAnsi="Wingdings" w:hint="default"/>
      </w:rPr>
    </w:lvl>
    <w:lvl w:ilvl="3" w:tplc="E5EAFFD6">
      <w:start w:val="1"/>
      <w:numFmt w:val="bullet"/>
      <w:lvlText w:val=""/>
      <w:lvlJc w:val="left"/>
      <w:pPr>
        <w:ind w:left="2880" w:hanging="360"/>
      </w:pPr>
      <w:rPr>
        <w:rFonts w:ascii="Symbol" w:hAnsi="Symbol" w:hint="default"/>
      </w:rPr>
    </w:lvl>
    <w:lvl w:ilvl="4" w:tplc="71205B86">
      <w:start w:val="1"/>
      <w:numFmt w:val="bullet"/>
      <w:lvlText w:val="o"/>
      <w:lvlJc w:val="left"/>
      <w:pPr>
        <w:ind w:left="3600" w:hanging="360"/>
      </w:pPr>
      <w:rPr>
        <w:rFonts w:ascii="Courier New" w:hAnsi="Courier New" w:hint="default"/>
      </w:rPr>
    </w:lvl>
    <w:lvl w:ilvl="5" w:tplc="7E749814">
      <w:start w:val="1"/>
      <w:numFmt w:val="bullet"/>
      <w:lvlText w:val=""/>
      <w:lvlJc w:val="left"/>
      <w:pPr>
        <w:ind w:left="4320" w:hanging="360"/>
      </w:pPr>
      <w:rPr>
        <w:rFonts w:ascii="Wingdings" w:hAnsi="Wingdings" w:hint="default"/>
      </w:rPr>
    </w:lvl>
    <w:lvl w:ilvl="6" w:tplc="9C865756">
      <w:start w:val="1"/>
      <w:numFmt w:val="bullet"/>
      <w:lvlText w:val=""/>
      <w:lvlJc w:val="left"/>
      <w:pPr>
        <w:ind w:left="5040" w:hanging="360"/>
      </w:pPr>
      <w:rPr>
        <w:rFonts w:ascii="Symbol" w:hAnsi="Symbol" w:hint="default"/>
      </w:rPr>
    </w:lvl>
    <w:lvl w:ilvl="7" w:tplc="11044596">
      <w:start w:val="1"/>
      <w:numFmt w:val="bullet"/>
      <w:lvlText w:val="o"/>
      <w:lvlJc w:val="left"/>
      <w:pPr>
        <w:ind w:left="5760" w:hanging="360"/>
      </w:pPr>
      <w:rPr>
        <w:rFonts w:ascii="Courier New" w:hAnsi="Courier New" w:hint="default"/>
      </w:rPr>
    </w:lvl>
    <w:lvl w:ilvl="8" w:tplc="01EC08BC">
      <w:start w:val="1"/>
      <w:numFmt w:val="bullet"/>
      <w:lvlText w:val=""/>
      <w:lvlJc w:val="left"/>
      <w:pPr>
        <w:ind w:left="6480" w:hanging="360"/>
      </w:pPr>
      <w:rPr>
        <w:rFonts w:ascii="Wingdings" w:hAnsi="Wingdings" w:hint="default"/>
      </w:rPr>
    </w:lvl>
  </w:abstractNum>
  <w:abstractNum w:abstractNumId="3" w15:restartNumberingAfterBreak="0">
    <w:nsid w:val="25F72CDE"/>
    <w:multiLevelType w:val="hybridMultilevel"/>
    <w:tmpl w:val="6C36DFFC"/>
    <w:lvl w:ilvl="0" w:tplc="4A1C919E">
      <w:start w:val="1"/>
      <w:numFmt w:val="bullet"/>
      <w:lvlText w:val=""/>
      <w:lvlJc w:val="left"/>
      <w:pPr>
        <w:ind w:left="720" w:hanging="360"/>
      </w:pPr>
      <w:rPr>
        <w:rFonts w:ascii="Symbol" w:hAnsi="Symbol" w:hint="default"/>
      </w:rPr>
    </w:lvl>
    <w:lvl w:ilvl="1" w:tplc="D4C4FC1A">
      <w:start w:val="1"/>
      <w:numFmt w:val="bullet"/>
      <w:lvlText w:val="o"/>
      <w:lvlJc w:val="left"/>
      <w:pPr>
        <w:ind w:left="1440" w:hanging="360"/>
      </w:pPr>
      <w:rPr>
        <w:rFonts w:ascii="Courier New" w:hAnsi="Courier New" w:hint="default"/>
      </w:rPr>
    </w:lvl>
    <w:lvl w:ilvl="2" w:tplc="08D88EC6">
      <w:start w:val="1"/>
      <w:numFmt w:val="bullet"/>
      <w:lvlText w:val=""/>
      <w:lvlJc w:val="left"/>
      <w:pPr>
        <w:ind w:left="2160" w:hanging="360"/>
      </w:pPr>
      <w:rPr>
        <w:rFonts w:ascii="Wingdings" w:hAnsi="Wingdings" w:hint="default"/>
      </w:rPr>
    </w:lvl>
    <w:lvl w:ilvl="3" w:tplc="C73E52C8">
      <w:start w:val="1"/>
      <w:numFmt w:val="bullet"/>
      <w:lvlText w:val=""/>
      <w:lvlJc w:val="left"/>
      <w:pPr>
        <w:ind w:left="2880" w:hanging="360"/>
      </w:pPr>
      <w:rPr>
        <w:rFonts w:ascii="Symbol" w:hAnsi="Symbol" w:hint="default"/>
      </w:rPr>
    </w:lvl>
    <w:lvl w:ilvl="4" w:tplc="3880F30E">
      <w:start w:val="1"/>
      <w:numFmt w:val="bullet"/>
      <w:lvlText w:val="o"/>
      <w:lvlJc w:val="left"/>
      <w:pPr>
        <w:ind w:left="3600" w:hanging="360"/>
      </w:pPr>
      <w:rPr>
        <w:rFonts w:ascii="Courier New" w:hAnsi="Courier New" w:hint="default"/>
      </w:rPr>
    </w:lvl>
    <w:lvl w:ilvl="5" w:tplc="256CE5EE">
      <w:start w:val="1"/>
      <w:numFmt w:val="bullet"/>
      <w:lvlText w:val=""/>
      <w:lvlJc w:val="left"/>
      <w:pPr>
        <w:ind w:left="4320" w:hanging="360"/>
      </w:pPr>
      <w:rPr>
        <w:rFonts w:ascii="Wingdings" w:hAnsi="Wingdings" w:hint="default"/>
      </w:rPr>
    </w:lvl>
    <w:lvl w:ilvl="6" w:tplc="83D2B512">
      <w:start w:val="1"/>
      <w:numFmt w:val="bullet"/>
      <w:lvlText w:val=""/>
      <w:lvlJc w:val="left"/>
      <w:pPr>
        <w:ind w:left="5040" w:hanging="360"/>
      </w:pPr>
      <w:rPr>
        <w:rFonts w:ascii="Symbol" w:hAnsi="Symbol" w:hint="default"/>
      </w:rPr>
    </w:lvl>
    <w:lvl w:ilvl="7" w:tplc="20222F38">
      <w:start w:val="1"/>
      <w:numFmt w:val="bullet"/>
      <w:lvlText w:val="o"/>
      <w:lvlJc w:val="left"/>
      <w:pPr>
        <w:ind w:left="5760" w:hanging="360"/>
      </w:pPr>
      <w:rPr>
        <w:rFonts w:ascii="Courier New" w:hAnsi="Courier New" w:hint="default"/>
      </w:rPr>
    </w:lvl>
    <w:lvl w:ilvl="8" w:tplc="DC3A5DF8">
      <w:start w:val="1"/>
      <w:numFmt w:val="bullet"/>
      <w:lvlText w:val=""/>
      <w:lvlJc w:val="left"/>
      <w:pPr>
        <w:ind w:left="6480" w:hanging="360"/>
      </w:pPr>
      <w:rPr>
        <w:rFonts w:ascii="Wingdings" w:hAnsi="Wingdings" w:hint="default"/>
      </w:rPr>
    </w:lvl>
  </w:abstractNum>
  <w:abstractNum w:abstractNumId="4" w15:restartNumberingAfterBreak="0">
    <w:nsid w:val="26BDA491"/>
    <w:multiLevelType w:val="hybridMultilevel"/>
    <w:tmpl w:val="FFFFFFFF"/>
    <w:lvl w:ilvl="0" w:tplc="6FD4B43E">
      <w:start w:val="1"/>
      <w:numFmt w:val="bullet"/>
      <w:lvlText w:val=""/>
      <w:lvlJc w:val="left"/>
      <w:pPr>
        <w:ind w:left="720" w:hanging="360"/>
      </w:pPr>
      <w:rPr>
        <w:rFonts w:ascii="Symbol" w:hAnsi="Symbol" w:hint="default"/>
      </w:rPr>
    </w:lvl>
    <w:lvl w:ilvl="1" w:tplc="56626DF6">
      <w:start w:val="1"/>
      <w:numFmt w:val="bullet"/>
      <w:lvlText w:val="o"/>
      <w:lvlJc w:val="left"/>
      <w:pPr>
        <w:ind w:left="1440" w:hanging="360"/>
      </w:pPr>
      <w:rPr>
        <w:rFonts w:ascii="Courier New" w:hAnsi="Courier New" w:hint="default"/>
      </w:rPr>
    </w:lvl>
    <w:lvl w:ilvl="2" w:tplc="F73AFFCE">
      <w:start w:val="1"/>
      <w:numFmt w:val="bullet"/>
      <w:lvlText w:val=""/>
      <w:lvlJc w:val="left"/>
      <w:pPr>
        <w:ind w:left="2160" w:hanging="360"/>
      </w:pPr>
      <w:rPr>
        <w:rFonts w:ascii="Wingdings" w:hAnsi="Wingdings" w:hint="default"/>
      </w:rPr>
    </w:lvl>
    <w:lvl w:ilvl="3" w:tplc="27BCC0C4">
      <w:start w:val="1"/>
      <w:numFmt w:val="bullet"/>
      <w:lvlText w:val=""/>
      <w:lvlJc w:val="left"/>
      <w:pPr>
        <w:ind w:left="2880" w:hanging="360"/>
      </w:pPr>
      <w:rPr>
        <w:rFonts w:ascii="Symbol" w:hAnsi="Symbol" w:hint="default"/>
      </w:rPr>
    </w:lvl>
    <w:lvl w:ilvl="4" w:tplc="9F4CD202">
      <w:start w:val="1"/>
      <w:numFmt w:val="bullet"/>
      <w:lvlText w:val="o"/>
      <w:lvlJc w:val="left"/>
      <w:pPr>
        <w:ind w:left="3600" w:hanging="360"/>
      </w:pPr>
      <w:rPr>
        <w:rFonts w:ascii="Courier New" w:hAnsi="Courier New" w:hint="default"/>
      </w:rPr>
    </w:lvl>
    <w:lvl w:ilvl="5" w:tplc="4F0E1C3E">
      <w:start w:val="1"/>
      <w:numFmt w:val="bullet"/>
      <w:lvlText w:val=""/>
      <w:lvlJc w:val="left"/>
      <w:pPr>
        <w:ind w:left="4320" w:hanging="360"/>
      </w:pPr>
      <w:rPr>
        <w:rFonts w:ascii="Wingdings" w:hAnsi="Wingdings" w:hint="default"/>
      </w:rPr>
    </w:lvl>
    <w:lvl w:ilvl="6" w:tplc="E8E66D86">
      <w:start w:val="1"/>
      <w:numFmt w:val="bullet"/>
      <w:lvlText w:val=""/>
      <w:lvlJc w:val="left"/>
      <w:pPr>
        <w:ind w:left="5040" w:hanging="360"/>
      </w:pPr>
      <w:rPr>
        <w:rFonts w:ascii="Symbol" w:hAnsi="Symbol" w:hint="default"/>
      </w:rPr>
    </w:lvl>
    <w:lvl w:ilvl="7" w:tplc="2F8A078E">
      <w:start w:val="1"/>
      <w:numFmt w:val="bullet"/>
      <w:lvlText w:val="o"/>
      <w:lvlJc w:val="left"/>
      <w:pPr>
        <w:ind w:left="5760" w:hanging="360"/>
      </w:pPr>
      <w:rPr>
        <w:rFonts w:ascii="Courier New" w:hAnsi="Courier New" w:hint="default"/>
      </w:rPr>
    </w:lvl>
    <w:lvl w:ilvl="8" w:tplc="56DEE8B0">
      <w:start w:val="1"/>
      <w:numFmt w:val="bullet"/>
      <w:lvlText w:val=""/>
      <w:lvlJc w:val="left"/>
      <w:pPr>
        <w:ind w:left="6480" w:hanging="360"/>
      </w:pPr>
      <w:rPr>
        <w:rFonts w:ascii="Wingdings" w:hAnsi="Wingdings" w:hint="default"/>
      </w:rPr>
    </w:lvl>
  </w:abstractNum>
  <w:abstractNum w:abstractNumId="5" w15:restartNumberingAfterBreak="0">
    <w:nsid w:val="37B2CCC5"/>
    <w:multiLevelType w:val="hybridMultilevel"/>
    <w:tmpl w:val="D6622CC2"/>
    <w:lvl w:ilvl="0" w:tplc="5BE02936">
      <w:start w:val="1"/>
      <w:numFmt w:val="bullet"/>
      <w:lvlText w:val=""/>
      <w:lvlJc w:val="left"/>
      <w:pPr>
        <w:ind w:left="720" w:hanging="360"/>
      </w:pPr>
      <w:rPr>
        <w:rFonts w:ascii="Symbol" w:hAnsi="Symbol" w:hint="default"/>
      </w:rPr>
    </w:lvl>
    <w:lvl w:ilvl="1" w:tplc="72AC8D9C">
      <w:start w:val="1"/>
      <w:numFmt w:val="bullet"/>
      <w:lvlText w:val="o"/>
      <w:lvlJc w:val="left"/>
      <w:pPr>
        <w:ind w:left="1440" w:hanging="360"/>
      </w:pPr>
      <w:rPr>
        <w:rFonts w:ascii="Courier New" w:hAnsi="Courier New" w:hint="default"/>
      </w:rPr>
    </w:lvl>
    <w:lvl w:ilvl="2" w:tplc="41DE6A30">
      <w:start w:val="1"/>
      <w:numFmt w:val="bullet"/>
      <w:lvlText w:val=""/>
      <w:lvlJc w:val="left"/>
      <w:pPr>
        <w:ind w:left="2160" w:hanging="360"/>
      </w:pPr>
      <w:rPr>
        <w:rFonts w:ascii="Wingdings" w:hAnsi="Wingdings" w:hint="default"/>
      </w:rPr>
    </w:lvl>
    <w:lvl w:ilvl="3" w:tplc="28A81A58">
      <w:start w:val="1"/>
      <w:numFmt w:val="bullet"/>
      <w:lvlText w:val=""/>
      <w:lvlJc w:val="left"/>
      <w:pPr>
        <w:ind w:left="2880" w:hanging="360"/>
      </w:pPr>
      <w:rPr>
        <w:rFonts w:ascii="Symbol" w:hAnsi="Symbol" w:hint="default"/>
      </w:rPr>
    </w:lvl>
    <w:lvl w:ilvl="4" w:tplc="FD3ED9C4">
      <w:start w:val="1"/>
      <w:numFmt w:val="bullet"/>
      <w:lvlText w:val="o"/>
      <w:lvlJc w:val="left"/>
      <w:pPr>
        <w:ind w:left="3600" w:hanging="360"/>
      </w:pPr>
      <w:rPr>
        <w:rFonts w:ascii="Courier New" w:hAnsi="Courier New" w:hint="default"/>
      </w:rPr>
    </w:lvl>
    <w:lvl w:ilvl="5" w:tplc="F4BA14CA">
      <w:start w:val="1"/>
      <w:numFmt w:val="bullet"/>
      <w:lvlText w:val=""/>
      <w:lvlJc w:val="left"/>
      <w:pPr>
        <w:ind w:left="4320" w:hanging="360"/>
      </w:pPr>
      <w:rPr>
        <w:rFonts w:ascii="Wingdings" w:hAnsi="Wingdings" w:hint="default"/>
      </w:rPr>
    </w:lvl>
    <w:lvl w:ilvl="6" w:tplc="02DE7330">
      <w:start w:val="1"/>
      <w:numFmt w:val="bullet"/>
      <w:lvlText w:val=""/>
      <w:lvlJc w:val="left"/>
      <w:pPr>
        <w:ind w:left="5040" w:hanging="360"/>
      </w:pPr>
      <w:rPr>
        <w:rFonts w:ascii="Symbol" w:hAnsi="Symbol" w:hint="default"/>
      </w:rPr>
    </w:lvl>
    <w:lvl w:ilvl="7" w:tplc="7B26D8DE">
      <w:start w:val="1"/>
      <w:numFmt w:val="bullet"/>
      <w:lvlText w:val="o"/>
      <w:lvlJc w:val="left"/>
      <w:pPr>
        <w:ind w:left="5760" w:hanging="360"/>
      </w:pPr>
      <w:rPr>
        <w:rFonts w:ascii="Courier New" w:hAnsi="Courier New" w:hint="default"/>
      </w:rPr>
    </w:lvl>
    <w:lvl w:ilvl="8" w:tplc="57885A30">
      <w:start w:val="1"/>
      <w:numFmt w:val="bullet"/>
      <w:lvlText w:val=""/>
      <w:lvlJc w:val="left"/>
      <w:pPr>
        <w:ind w:left="6480" w:hanging="360"/>
      </w:pPr>
      <w:rPr>
        <w:rFonts w:ascii="Wingdings" w:hAnsi="Wingdings" w:hint="default"/>
      </w:rPr>
    </w:lvl>
  </w:abstractNum>
  <w:abstractNum w:abstractNumId="6" w15:restartNumberingAfterBreak="0">
    <w:nsid w:val="4D7DB0F8"/>
    <w:multiLevelType w:val="hybridMultilevel"/>
    <w:tmpl w:val="A9AEF1D8"/>
    <w:lvl w:ilvl="0" w:tplc="AB184552">
      <w:start w:val="1"/>
      <w:numFmt w:val="bullet"/>
      <w:lvlText w:val=""/>
      <w:lvlJc w:val="left"/>
      <w:pPr>
        <w:ind w:left="720" w:hanging="360"/>
      </w:pPr>
      <w:rPr>
        <w:rFonts w:ascii="Symbol" w:hAnsi="Symbol" w:hint="default"/>
      </w:rPr>
    </w:lvl>
    <w:lvl w:ilvl="1" w:tplc="ECE2281C">
      <w:start w:val="1"/>
      <w:numFmt w:val="bullet"/>
      <w:lvlText w:val="o"/>
      <w:lvlJc w:val="left"/>
      <w:pPr>
        <w:ind w:left="1440" w:hanging="360"/>
      </w:pPr>
      <w:rPr>
        <w:rFonts w:ascii="Courier New" w:hAnsi="Courier New" w:hint="default"/>
      </w:rPr>
    </w:lvl>
    <w:lvl w:ilvl="2" w:tplc="1026DE02">
      <w:start w:val="1"/>
      <w:numFmt w:val="bullet"/>
      <w:lvlText w:val=""/>
      <w:lvlJc w:val="left"/>
      <w:pPr>
        <w:ind w:left="2160" w:hanging="360"/>
      </w:pPr>
      <w:rPr>
        <w:rFonts w:ascii="Wingdings" w:hAnsi="Wingdings" w:hint="default"/>
      </w:rPr>
    </w:lvl>
    <w:lvl w:ilvl="3" w:tplc="AAD68732">
      <w:start w:val="1"/>
      <w:numFmt w:val="bullet"/>
      <w:lvlText w:val=""/>
      <w:lvlJc w:val="left"/>
      <w:pPr>
        <w:ind w:left="2880" w:hanging="360"/>
      </w:pPr>
      <w:rPr>
        <w:rFonts w:ascii="Symbol" w:hAnsi="Symbol" w:hint="default"/>
      </w:rPr>
    </w:lvl>
    <w:lvl w:ilvl="4" w:tplc="1F8E1538">
      <w:start w:val="1"/>
      <w:numFmt w:val="bullet"/>
      <w:lvlText w:val="o"/>
      <w:lvlJc w:val="left"/>
      <w:pPr>
        <w:ind w:left="3600" w:hanging="360"/>
      </w:pPr>
      <w:rPr>
        <w:rFonts w:ascii="Courier New" w:hAnsi="Courier New" w:hint="default"/>
      </w:rPr>
    </w:lvl>
    <w:lvl w:ilvl="5" w:tplc="70AE513A">
      <w:start w:val="1"/>
      <w:numFmt w:val="bullet"/>
      <w:lvlText w:val=""/>
      <w:lvlJc w:val="left"/>
      <w:pPr>
        <w:ind w:left="4320" w:hanging="360"/>
      </w:pPr>
      <w:rPr>
        <w:rFonts w:ascii="Wingdings" w:hAnsi="Wingdings" w:hint="default"/>
      </w:rPr>
    </w:lvl>
    <w:lvl w:ilvl="6" w:tplc="6D560C36">
      <w:start w:val="1"/>
      <w:numFmt w:val="bullet"/>
      <w:lvlText w:val=""/>
      <w:lvlJc w:val="left"/>
      <w:pPr>
        <w:ind w:left="5040" w:hanging="360"/>
      </w:pPr>
      <w:rPr>
        <w:rFonts w:ascii="Symbol" w:hAnsi="Symbol" w:hint="default"/>
      </w:rPr>
    </w:lvl>
    <w:lvl w:ilvl="7" w:tplc="D2C8CA74">
      <w:start w:val="1"/>
      <w:numFmt w:val="bullet"/>
      <w:lvlText w:val="o"/>
      <w:lvlJc w:val="left"/>
      <w:pPr>
        <w:ind w:left="5760" w:hanging="360"/>
      </w:pPr>
      <w:rPr>
        <w:rFonts w:ascii="Courier New" w:hAnsi="Courier New" w:hint="default"/>
      </w:rPr>
    </w:lvl>
    <w:lvl w:ilvl="8" w:tplc="4C389912">
      <w:start w:val="1"/>
      <w:numFmt w:val="bullet"/>
      <w:lvlText w:val=""/>
      <w:lvlJc w:val="left"/>
      <w:pPr>
        <w:ind w:left="6480" w:hanging="360"/>
      </w:pPr>
      <w:rPr>
        <w:rFonts w:ascii="Wingdings" w:hAnsi="Wingdings" w:hint="default"/>
      </w:rPr>
    </w:lvl>
  </w:abstractNum>
  <w:num w:numId="1" w16cid:durableId="2039237691">
    <w:abstractNumId w:val="2"/>
  </w:num>
  <w:num w:numId="2" w16cid:durableId="1160385066">
    <w:abstractNumId w:val="0"/>
  </w:num>
  <w:num w:numId="3" w16cid:durableId="1850872529">
    <w:abstractNumId w:val="6"/>
  </w:num>
  <w:num w:numId="4" w16cid:durableId="1992251215">
    <w:abstractNumId w:val="5"/>
  </w:num>
  <w:num w:numId="5" w16cid:durableId="51733396">
    <w:abstractNumId w:val="1"/>
  </w:num>
  <w:num w:numId="6" w16cid:durableId="639922770">
    <w:abstractNumId w:val="3"/>
  </w:num>
  <w:num w:numId="7" w16cid:durableId="1771317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B13"/>
    <w:rsid w:val="000034D8"/>
    <w:rsid w:val="0002110F"/>
    <w:rsid w:val="000265FA"/>
    <w:rsid w:val="00037701"/>
    <w:rsid w:val="0007369C"/>
    <w:rsid w:val="00075A2A"/>
    <w:rsid w:val="000E35E6"/>
    <w:rsid w:val="000E3C5E"/>
    <w:rsid w:val="000F7E9B"/>
    <w:rsid w:val="00153B52"/>
    <w:rsid w:val="001577BA"/>
    <w:rsid w:val="001C7BDA"/>
    <w:rsid w:val="001D4B13"/>
    <w:rsid w:val="001D4CD3"/>
    <w:rsid w:val="00210F9C"/>
    <w:rsid w:val="002111E2"/>
    <w:rsid w:val="0027003C"/>
    <w:rsid w:val="002846A7"/>
    <w:rsid w:val="002918DA"/>
    <w:rsid w:val="002E6D16"/>
    <w:rsid w:val="00320AC6"/>
    <w:rsid w:val="003251CB"/>
    <w:rsid w:val="0033657A"/>
    <w:rsid w:val="00344C68"/>
    <w:rsid w:val="003655FF"/>
    <w:rsid w:val="003735DB"/>
    <w:rsid w:val="003F25E5"/>
    <w:rsid w:val="00401CAE"/>
    <w:rsid w:val="004237D7"/>
    <w:rsid w:val="00424C15"/>
    <w:rsid w:val="004C66B3"/>
    <w:rsid w:val="004F6FE1"/>
    <w:rsid w:val="00535F2E"/>
    <w:rsid w:val="00536513"/>
    <w:rsid w:val="00537C5F"/>
    <w:rsid w:val="00571294"/>
    <w:rsid w:val="005839BB"/>
    <w:rsid w:val="005869CF"/>
    <w:rsid w:val="00620E86"/>
    <w:rsid w:val="0066714D"/>
    <w:rsid w:val="00697F60"/>
    <w:rsid w:val="007168BB"/>
    <w:rsid w:val="00737943"/>
    <w:rsid w:val="00763550"/>
    <w:rsid w:val="007737CE"/>
    <w:rsid w:val="007D745E"/>
    <w:rsid w:val="0080172A"/>
    <w:rsid w:val="0083099D"/>
    <w:rsid w:val="00832905"/>
    <w:rsid w:val="008957E6"/>
    <w:rsid w:val="008F185A"/>
    <w:rsid w:val="00963588"/>
    <w:rsid w:val="00A27D3F"/>
    <w:rsid w:val="00A35E47"/>
    <w:rsid w:val="00A43F91"/>
    <w:rsid w:val="00A503AC"/>
    <w:rsid w:val="00A63B13"/>
    <w:rsid w:val="00A81F6E"/>
    <w:rsid w:val="00A944EB"/>
    <w:rsid w:val="00A9527F"/>
    <w:rsid w:val="00AA1B6B"/>
    <w:rsid w:val="00AC6318"/>
    <w:rsid w:val="00AC6C7A"/>
    <w:rsid w:val="00AE1E8D"/>
    <w:rsid w:val="00AE7AE2"/>
    <w:rsid w:val="00AF0038"/>
    <w:rsid w:val="00B30839"/>
    <w:rsid w:val="00B32DAF"/>
    <w:rsid w:val="00B50895"/>
    <w:rsid w:val="00BE5213"/>
    <w:rsid w:val="00BF0E60"/>
    <w:rsid w:val="00C4533A"/>
    <w:rsid w:val="00CD2DD1"/>
    <w:rsid w:val="00D239BD"/>
    <w:rsid w:val="00D27D26"/>
    <w:rsid w:val="00D81595"/>
    <w:rsid w:val="00DC1BE0"/>
    <w:rsid w:val="00DF2CCE"/>
    <w:rsid w:val="00E00601"/>
    <w:rsid w:val="00E23AD6"/>
    <w:rsid w:val="00E850DD"/>
    <w:rsid w:val="00E93AF7"/>
    <w:rsid w:val="00EB1AB9"/>
    <w:rsid w:val="00EC35F3"/>
    <w:rsid w:val="00EE25F2"/>
    <w:rsid w:val="00F04DB9"/>
    <w:rsid w:val="00FC3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1D235"/>
  <w15:chartTrackingRefBased/>
  <w15:docId w15:val="{A44BAD6F-7C7E-AF4A-88D3-E658367B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D4B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D4B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D4B1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D4B1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4B1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4B1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4B1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4B1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4B1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D4B1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D4B1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D4B1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D4B1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4B1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4B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4B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4B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4B13"/>
    <w:rPr>
      <w:rFonts w:eastAsiaTheme="majorEastAsia" w:cstheme="majorBidi"/>
      <w:color w:val="272727" w:themeColor="text1" w:themeTint="D8"/>
    </w:rPr>
  </w:style>
  <w:style w:type="paragraph" w:styleId="Tytu">
    <w:name w:val="Title"/>
    <w:basedOn w:val="Normalny"/>
    <w:next w:val="Normalny"/>
    <w:link w:val="TytuZnak"/>
    <w:uiPriority w:val="10"/>
    <w:qFormat/>
    <w:rsid w:val="001D4B1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D4B1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D4B13"/>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D4B1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4B13"/>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1D4B13"/>
    <w:rPr>
      <w:i/>
      <w:iCs/>
      <w:color w:val="404040" w:themeColor="text1" w:themeTint="BF"/>
    </w:rPr>
  </w:style>
  <w:style w:type="paragraph" w:styleId="Akapitzlist">
    <w:name w:val="List Paragraph"/>
    <w:basedOn w:val="Normalny"/>
    <w:uiPriority w:val="34"/>
    <w:qFormat/>
    <w:rsid w:val="001D4B13"/>
    <w:pPr>
      <w:ind w:left="720"/>
      <w:contextualSpacing/>
    </w:pPr>
  </w:style>
  <w:style w:type="character" w:styleId="Wyrnienieintensywne">
    <w:name w:val="Intense Emphasis"/>
    <w:basedOn w:val="Domylnaczcionkaakapitu"/>
    <w:uiPriority w:val="21"/>
    <w:qFormat/>
    <w:rsid w:val="001D4B13"/>
    <w:rPr>
      <w:i/>
      <w:iCs/>
      <w:color w:val="0F4761" w:themeColor="accent1" w:themeShade="BF"/>
    </w:rPr>
  </w:style>
  <w:style w:type="paragraph" w:styleId="Cytatintensywny">
    <w:name w:val="Intense Quote"/>
    <w:basedOn w:val="Normalny"/>
    <w:next w:val="Normalny"/>
    <w:link w:val="CytatintensywnyZnak"/>
    <w:uiPriority w:val="30"/>
    <w:qFormat/>
    <w:rsid w:val="001D4B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4B13"/>
    <w:rPr>
      <w:i/>
      <w:iCs/>
      <w:color w:val="0F4761" w:themeColor="accent1" w:themeShade="BF"/>
    </w:rPr>
  </w:style>
  <w:style w:type="character" w:styleId="Odwoanieintensywne">
    <w:name w:val="Intense Reference"/>
    <w:basedOn w:val="Domylnaczcionkaakapitu"/>
    <w:uiPriority w:val="32"/>
    <w:qFormat/>
    <w:rsid w:val="001D4B13"/>
    <w:rPr>
      <w:b/>
      <w:bCs/>
      <w:smallCaps/>
      <w:color w:val="0F4761" w:themeColor="accent1" w:themeShade="BF"/>
      <w:spacing w:val="5"/>
    </w:rPr>
  </w:style>
  <w:style w:type="paragraph" w:styleId="Nagwek">
    <w:name w:val="header"/>
    <w:basedOn w:val="Normalny"/>
    <w:link w:val="NagwekZnak"/>
    <w:uiPriority w:val="99"/>
    <w:unhideWhenUsed/>
    <w:rsid w:val="001D4B13"/>
    <w:pPr>
      <w:tabs>
        <w:tab w:val="center" w:pos="4536"/>
        <w:tab w:val="right" w:pos="9072"/>
      </w:tabs>
    </w:pPr>
  </w:style>
  <w:style w:type="character" w:customStyle="1" w:styleId="NagwekZnak">
    <w:name w:val="Nagłówek Znak"/>
    <w:basedOn w:val="Domylnaczcionkaakapitu"/>
    <w:link w:val="Nagwek"/>
    <w:uiPriority w:val="99"/>
    <w:rsid w:val="001D4B13"/>
  </w:style>
  <w:style w:type="paragraph" w:styleId="Stopka">
    <w:name w:val="footer"/>
    <w:basedOn w:val="Normalny"/>
    <w:link w:val="StopkaZnak"/>
    <w:uiPriority w:val="99"/>
    <w:unhideWhenUsed/>
    <w:rsid w:val="001D4B13"/>
    <w:pPr>
      <w:tabs>
        <w:tab w:val="center" w:pos="4536"/>
        <w:tab w:val="right" w:pos="9072"/>
      </w:tabs>
    </w:pPr>
  </w:style>
  <w:style w:type="character" w:customStyle="1" w:styleId="StopkaZnak">
    <w:name w:val="Stopka Znak"/>
    <w:basedOn w:val="Domylnaczcionkaakapitu"/>
    <w:link w:val="Stopka"/>
    <w:uiPriority w:val="99"/>
    <w:rsid w:val="001D4B13"/>
  </w:style>
  <w:style w:type="character" w:styleId="Hipercze">
    <w:name w:val="Hyperlink"/>
    <w:basedOn w:val="Domylnaczcionkaakapitu"/>
    <w:uiPriority w:val="99"/>
    <w:unhideWhenUsed/>
    <w:rsid w:val="00DF2CC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2B9C5-0192-5543-8B3C-BBA636ECA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1522</Words>
  <Characters>9135</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Chmiel Agata</dc:creator>
  <cp:keywords/>
  <dc:description/>
  <cp:lastModifiedBy>Chmiel Agata</cp:lastModifiedBy>
  <cp:revision>47</cp:revision>
  <cp:lastPrinted>2026-02-20T10:09:00Z</cp:lastPrinted>
  <dcterms:created xsi:type="dcterms:W3CDTF">2026-04-09T10:25:00Z</dcterms:created>
  <dcterms:modified xsi:type="dcterms:W3CDTF">2026-08-03T08:42:00Z</dcterms:modified>
</cp:coreProperties>
</file>