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367F6" w14:textId="71006629" w:rsidR="007B20D3" w:rsidRPr="005007B8" w:rsidRDefault="00A72B08">
      <w:pPr>
        <w:pStyle w:val="Tekstpodstawowy"/>
        <w:ind w:left="4302"/>
        <w:rPr>
          <w:rFonts w:ascii="Times New Roman"/>
          <w:sz w:val="20"/>
          <w:lang w:val="en-GB"/>
        </w:rPr>
      </w:pPr>
      <w:r w:rsidRPr="005007B8">
        <w:rPr>
          <w:i/>
          <w:iCs/>
          <w:noProof/>
          <w:color w:val="040033"/>
          <w:sz w:val="14"/>
          <w:szCs w:val="14"/>
          <w:lang w:val="en-GB"/>
        </w:rPr>
        <w:drawing>
          <wp:anchor distT="0" distB="0" distL="114300" distR="114300" simplePos="0" relativeHeight="251661312" behindDoc="0" locked="0" layoutInCell="1" allowOverlap="1" wp14:anchorId="7222FBC1" wp14:editId="0E1FB8E8">
            <wp:simplePos x="0" y="0"/>
            <wp:positionH relativeFrom="margin">
              <wp:align>center</wp:align>
            </wp:positionH>
            <wp:positionV relativeFrom="paragraph">
              <wp:posOffset>209550</wp:posOffset>
            </wp:positionV>
            <wp:extent cx="6832600" cy="2277745"/>
            <wp:effectExtent l="0" t="0" r="6350" b="8255"/>
            <wp:wrapSquare wrapText="bothSides"/>
            <wp:docPr id="874787653" name="Obraz 1">
              <a:extLst xmlns:a="http://schemas.openxmlformats.org/drawingml/2006/main">
                <a:ext uri="{FF2B5EF4-FFF2-40B4-BE49-F238E27FC236}">
                  <a16:creationId xmlns:a16="http://schemas.microsoft.com/office/drawing/2014/main" id="{81CE20D3-9B62-4EAF-B933-7380A159C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32600" cy="2277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63B69" w14:textId="6350CF52" w:rsidR="00B30EC3" w:rsidRPr="005007B8" w:rsidRDefault="00B30EC3">
      <w:pPr>
        <w:pStyle w:val="Tekstpodstawowy"/>
        <w:ind w:left="4302"/>
        <w:rPr>
          <w:rFonts w:ascii="Times New Roman"/>
          <w:sz w:val="14"/>
          <w:szCs w:val="14"/>
          <w:lang w:val="en-GB"/>
        </w:rPr>
      </w:pPr>
    </w:p>
    <w:p w14:paraId="34E63B6A" w14:textId="3226C124" w:rsidR="00B30EC3" w:rsidRPr="005007B8" w:rsidRDefault="00B30EC3">
      <w:pPr>
        <w:pStyle w:val="Tekstpodstawowy"/>
        <w:rPr>
          <w:rFonts w:ascii="Times New Roman"/>
          <w:sz w:val="14"/>
          <w:szCs w:val="14"/>
          <w:lang w:val="en-GB"/>
        </w:rPr>
      </w:pPr>
    </w:p>
    <w:p w14:paraId="07C93FE3" w14:textId="4ABC9AAE" w:rsidR="00916C3F" w:rsidRPr="00E64181" w:rsidRDefault="00E64181" w:rsidP="00916C3F">
      <w:pPr>
        <w:pStyle w:val="Tekstpodstawowy"/>
        <w:spacing w:before="13" w:after="1"/>
        <w:rPr>
          <w:i/>
          <w:iCs/>
          <w:color w:val="040033"/>
          <w:sz w:val="14"/>
          <w:szCs w:val="14"/>
          <w:lang w:val="pl-PL"/>
        </w:rPr>
      </w:pPr>
      <w:r>
        <w:rPr>
          <w:i/>
          <w:iCs/>
          <w:color w:val="040033"/>
          <w:sz w:val="14"/>
          <w:szCs w:val="14"/>
          <w:lang w:val="pl-PL"/>
        </w:rPr>
        <w:t>Informacja prasowa</w:t>
      </w:r>
    </w:p>
    <w:p w14:paraId="14A2A000" w14:textId="517D025D" w:rsidR="00916C3F" w:rsidRPr="00E64181" w:rsidRDefault="00C65B82" w:rsidP="00916C3F">
      <w:pPr>
        <w:pStyle w:val="Tekstpodstawowy"/>
        <w:spacing w:before="13" w:after="1"/>
        <w:rPr>
          <w:i/>
          <w:iCs/>
          <w:color w:val="040033"/>
          <w:sz w:val="14"/>
          <w:szCs w:val="14"/>
          <w:lang w:val="pl-PL"/>
        </w:rPr>
      </w:pPr>
      <w:r>
        <w:rPr>
          <w:i/>
          <w:iCs/>
          <w:color w:val="040033"/>
          <w:sz w:val="14"/>
          <w:szCs w:val="14"/>
          <w:lang w:val="pl-PL"/>
        </w:rPr>
        <w:t>3</w:t>
      </w:r>
      <w:r w:rsidR="009C2822">
        <w:rPr>
          <w:i/>
          <w:iCs/>
          <w:color w:val="040033"/>
          <w:sz w:val="14"/>
          <w:szCs w:val="14"/>
          <w:lang w:val="pl-PL"/>
        </w:rPr>
        <w:t>1</w:t>
      </w:r>
      <w:r>
        <w:rPr>
          <w:i/>
          <w:iCs/>
          <w:color w:val="040033"/>
          <w:sz w:val="14"/>
          <w:szCs w:val="14"/>
          <w:lang w:val="pl-PL"/>
        </w:rPr>
        <w:t xml:space="preserve"> lipca </w:t>
      </w:r>
      <w:r w:rsidR="00916C3F" w:rsidRPr="00E64181">
        <w:rPr>
          <w:i/>
          <w:iCs/>
          <w:color w:val="040033"/>
          <w:sz w:val="14"/>
          <w:szCs w:val="14"/>
          <w:lang w:val="pl-PL"/>
        </w:rPr>
        <w:t>202</w:t>
      </w:r>
      <w:r w:rsidR="0012333F" w:rsidRPr="00E64181">
        <w:rPr>
          <w:i/>
          <w:iCs/>
          <w:color w:val="040033"/>
          <w:sz w:val="14"/>
          <w:szCs w:val="14"/>
          <w:lang w:val="pl-PL"/>
        </w:rPr>
        <w:t>6</w:t>
      </w:r>
    </w:p>
    <w:p w14:paraId="6B539D05" w14:textId="77777777" w:rsidR="00A72B08" w:rsidRPr="00E64181" w:rsidRDefault="00A72B08" w:rsidP="00916C3F">
      <w:pPr>
        <w:pStyle w:val="Tekstpodstawowy"/>
        <w:spacing w:before="13" w:after="1"/>
        <w:rPr>
          <w:i/>
          <w:iCs/>
          <w:color w:val="040033"/>
          <w:sz w:val="14"/>
          <w:szCs w:val="14"/>
          <w:lang w:val="pl-PL"/>
        </w:rPr>
      </w:pPr>
    </w:p>
    <w:p w14:paraId="6B1BA262" w14:textId="5829F9E3" w:rsidR="00A83E5D" w:rsidRPr="00A83E5D" w:rsidRDefault="007A2E0D" w:rsidP="003E0A78">
      <w:pPr>
        <w:pStyle w:val="Tekstpodstawowy"/>
        <w:ind w:left="1191" w:right="1189"/>
        <w:jc w:val="center"/>
        <w:rPr>
          <w:rFonts w:ascii="Times New Roman" w:eastAsia="Times New Roman" w:hAnsi="Times New Roman" w:cs="Times New Roman"/>
          <w:b/>
          <w:bCs/>
          <w:i/>
          <w:iCs/>
          <w:color w:val="040033"/>
          <w:sz w:val="54"/>
          <w:szCs w:val="54"/>
          <w:lang w:val="pl-PL"/>
        </w:rPr>
      </w:pPr>
      <w:r>
        <w:rPr>
          <w:rFonts w:ascii="Times New Roman" w:eastAsia="Times New Roman" w:hAnsi="Times New Roman" w:cs="Times New Roman"/>
          <w:b/>
          <w:bCs/>
          <w:i/>
          <w:iCs/>
          <w:color w:val="040033"/>
          <w:sz w:val="54"/>
          <w:szCs w:val="54"/>
          <w:lang w:val="pl-PL"/>
        </w:rPr>
        <w:t xml:space="preserve">Wyniki za I półrocze 2026 r. </w:t>
      </w:r>
      <w:r w:rsidR="003E0A78" w:rsidRPr="003E0A78">
        <w:rPr>
          <w:rFonts w:ascii="Times New Roman" w:eastAsia="Times New Roman" w:hAnsi="Times New Roman" w:cs="Times New Roman"/>
          <w:b/>
          <w:bCs/>
          <w:i/>
          <w:iCs/>
          <w:color w:val="040033"/>
          <w:sz w:val="54"/>
          <w:szCs w:val="54"/>
          <w:lang w:val="pl-PL"/>
        </w:rPr>
        <w:t>Accor wykazuje elastyczność w obliczu wymagającego globalnego otoczenia</w:t>
      </w:r>
      <w:r w:rsidR="003E0A78">
        <w:rPr>
          <w:rFonts w:ascii="Times New Roman" w:eastAsia="Times New Roman" w:hAnsi="Times New Roman" w:cs="Times New Roman"/>
          <w:b/>
          <w:bCs/>
          <w:i/>
          <w:iCs/>
          <w:color w:val="040033"/>
          <w:sz w:val="54"/>
          <w:szCs w:val="54"/>
          <w:lang w:val="pl-PL"/>
        </w:rPr>
        <w:t>.</w:t>
      </w:r>
    </w:p>
    <w:p w14:paraId="52BEC911" w14:textId="1E316B8A" w:rsidR="00346CBA" w:rsidRPr="00E64181" w:rsidRDefault="00346CBA" w:rsidP="00E64181">
      <w:pPr>
        <w:pStyle w:val="Tekstpodstawowy"/>
        <w:ind w:left="1191" w:right="1189"/>
        <w:jc w:val="center"/>
        <w:rPr>
          <w:color w:val="74758B"/>
          <w:lang w:val="pl-PL"/>
        </w:rPr>
      </w:pPr>
    </w:p>
    <w:p w14:paraId="0C513FED" w14:textId="77777777" w:rsidR="00E64181" w:rsidRDefault="00E64181" w:rsidP="00C97CAD">
      <w:pPr>
        <w:pStyle w:val="Tekstpodstawowy"/>
        <w:spacing w:line="331" w:lineRule="auto"/>
        <w:ind w:right="1189"/>
        <w:jc w:val="both"/>
        <w:rPr>
          <w:b/>
          <w:bCs/>
          <w:color w:val="040033"/>
          <w:lang w:val="en-GB"/>
        </w:rPr>
      </w:pPr>
    </w:p>
    <w:p w14:paraId="3674D098" w14:textId="1FC4F16D" w:rsidR="00DD4AB0" w:rsidRDefault="009B1307" w:rsidP="00C97CAD">
      <w:pPr>
        <w:pStyle w:val="Tekstpodstawowy"/>
        <w:spacing w:line="331" w:lineRule="auto"/>
        <w:ind w:right="1189"/>
        <w:jc w:val="both"/>
        <w:rPr>
          <w:b/>
          <w:bCs/>
          <w:color w:val="040033"/>
          <w:lang w:val="pl-PL"/>
        </w:rPr>
      </w:pPr>
      <w:r w:rsidRPr="009B1307">
        <w:rPr>
          <w:b/>
          <w:bCs/>
          <w:color w:val="040033"/>
          <w:lang w:val="pl-PL"/>
        </w:rPr>
        <w:t>Accor, wiodąca globalna grupa hotelowa na świecie, odnotowała w pierwszym półroczu 2026 roku wzrost przychodów o 3,0% przy stałych kursach wymiany w pierwszej połowie bieżącego roku, ze wzrostem powtarzalnego wskaźnika EBITDA o 6,5%.</w:t>
      </w:r>
      <w:r w:rsidR="00735CF4">
        <w:rPr>
          <w:b/>
          <w:bCs/>
          <w:color w:val="040033"/>
          <w:lang w:val="pl-PL"/>
        </w:rPr>
        <w:t xml:space="preserve"> </w:t>
      </w:r>
      <w:r w:rsidR="00735CF4" w:rsidRPr="002832E4">
        <w:rPr>
          <w:b/>
          <w:bCs/>
          <w:color w:val="040033"/>
          <w:lang w:val="pl-PL"/>
        </w:rPr>
        <w:t xml:space="preserve">Kluczowy wskaźnik </w:t>
      </w:r>
      <w:proofErr w:type="spellStart"/>
      <w:r w:rsidR="00735CF4" w:rsidRPr="002832E4">
        <w:rPr>
          <w:b/>
          <w:bCs/>
          <w:color w:val="040033"/>
          <w:lang w:val="pl-PL"/>
        </w:rPr>
        <w:t>RevPAR</w:t>
      </w:r>
      <w:proofErr w:type="spellEnd"/>
      <w:r w:rsidR="00735CF4" w:rsidRPr="002832E4">
        <w:rPr>
          <w:b/>
          <w:bCs/>
          <w:color w:val="040033"/>
          <w:lang w:val="pl-PL"/>
        </w:rPr>
        <w:t xml:space="preserve"> (przychód na dostępny pokój) zwiększył się o 2,2% w ciągu pierwszych sześciu miesięcy tego roku (oraz o 4,6% z wyłączeniem rynku Bliskiego Wschodu).</w:t>
      </w:r>
    </w:p>
    <w:p w14:paraId="6C01573E" w14:textId="77777777" w:rsidR="00413A51" w:rsidRPr="00DD4AB0" w:rsidRDefault="00413A51" w:rsidP="00C97CAD">
      <w:pPr>
        <w:pStyle w:val="Tekstpodstawowy"/>
        <w:spacing w:line="331" w:lineRule="auto"/>
        <w:ind w:right="1189"/>
        <w:jc w:val="both"/>
        <w:rPr>
          <w:b/>
          <w:bCs/>
          <w:color w:val="040033"/>
          <w:lang w:val="pl-PL"/>
        </w:rPr>
      </w:pPr>
    </w:p>
    <w:p w14:paraId="0FA2C9DA" w14:textId="7E27C224" w:rsidR="005C45B1" w:rsidRPr="005C45B1" w:rsidRDefault="000473D3" w:rsidP="005C45B1">
      <w:pPr>
        <w:pStyle w:val="Tekstpodstawowy"/>
        <w:spacing w:line="331" w:lineRule="auto"/>
        <w:ind w:right="1189"/>
        <w:jc w:val="both"/>
        <w:rPr>
          <w:i/>
          <w:iCs/>
          <w:color w:val="040033"/>
          <w:lang w:val="pl-PL"/>
        </w:rPr>
      </w:pPr>
      <w:r>
        <w:rPr>
          <w:color w:val="040033"/>
          <w:lang w:val="pl-PL"/>
        </w:rPr>
        <w:t>-</w:t>
      </w:r>
      <w:r w:rsidR="00062742" w:rsidRPr="000473D3">
        <w:rPr>
          <w:color w:val="040033"/>
          <w:lang w:val="pl-PL"/>
        </w:rPr>
        <w:t xml:space="preserve"> </w:t>
      </w:r>
      <w:r w:rsidRPr="005C45B1">
        <w:rPr>
          <w:i/>
          <w:iCs/>
          <w:color w:val="040033"/>
          <w:lang w:val="pl-PL"/>
        </w:rPr>
        <w:t>„</w:t>
      </w:r>
      <w:r w:rsidR="005C45B1" w:rsidRPr="005C45B1">
        <w:rPr>
          <w:i/>
          <w:iCs/>
          <w:color w:val="040033"/>
          <w:lang w:val="pl-PL"/>
        </w:rPr>
        <w:t xml:space="preserve">Po raz kolejny, w tym półroczu, i pomimo zakłóceń wywołanych sytuacją na Bliskim Wschodzie, Grupa wygenerowała wyraźny wzrost. Wydajność ta odzwierciedla dynamikę na naszych kluczowych rynkach, zaangażowanie naszych zespołów, siłę naszych marek oraz naszą rygorystyczną dyscyplinę kosztową. Skupiamy się na tym, co możemy kontrolować i na realizacji </w:t>
      </w:r>
      <w:r w:rsidR="00E236D9">
        <w:rPr>
          <w:i/>
          <w:iCs/>
          <w:color w:val="040033"/>
          <w:lang w:val="pl-PL"/>
        </w:rPr>
        <w:t>strategii</w:t>
      </w:r>
      <w:r w:rsidR="005C45B1" w:rsidRPr="005C45B1">
        <w:rPr>
          <w:i/>
          <w:iCs/>
          <w:color w:val="040033"/>
          <w:lang w:val="pl-PL"/>
        </w:rPr>
        <w:t xml:space="preserve"> wzrostu Grupy.</w:t>
      </w:r>
    </w:p>
    <w:p w14:paraId="732674D4" w14:textId="77777777" w:rsidR="005C45B1" w:rsidRPr="005C45B1" w:rsidRDefault="005C45B1" w:rsidP="005C45B1">
      <w:pPr>
        <w:pStyle w:val="Tekstpodstawowy"/>
        <w:spacing w:line="331" w:lineRule="auto"/>
        <w:ind w:right="1189"/>
        <w:jc w:val="both"/>
        <w:rPr>
          <w:i/>
          <w:iCs/>
          <w:color w:val="040033"/>
          <w:lang w:val="pl-PL"/>
        </w:rPr>
      </w:pPr>
    </w:p>
    <w:p w14:paraId="13BC425B" w14:textId="0CCBBB48" w:rsidR="00B17376" w:rsidRPr="00081CCB" w:rsidRDefault="005C45B1" w:rsidP="005C45B1">
      <w:pPr>
        <w:pStyle w:val="Tekstpodstawowy"/>
        <w:spacing w:line="331" w:lineRule="auto"/>
        <w:ind w:right="1189"/>
        <w:jc w:val="both"/>
        <w:rPr>
          <w:i/>
          <w:iCs/>
          <w:color w:val="040033"/>
          <w:lang w:val="pl-PL"/>
        </w:rPr>
      </w:pPr>
      <w:r w:rsidRPr="005C45B1">
        <w:rPr>
          <w:i/>
          <w:iCs/>
          <w:color w:val="040033"/>
          <w:lang w:val="pl-PL"/>
        </w:rPr>
        <w:t>Patrząc w przyszłość na pozostałą część 2026 roku, oczekujemy kontynuacji wzrostu i pozostajemy w pełni skoncentrowani na realizacji nasze</w:t>
      </w:r>
      <w:r w:rsidR="00EE0E46">
        <w:rPr>
          <w:i/>
          <w:iCs/>
          <w:color w:val="040033"/>
          <w:lang w:val="pl-PL"/>
        </w:rPr>
        <w:t>go</w:t>
      </w:r>
      <w:r w:rsidRPr="005C45B1">
        <w:rPr>
          <w:i/>
          <w:iCs/>
          <w:color w:val="040033"/>
          <w:lang w:val="pl-PL"/>
        </w:rPr>
        <w:t xml:space="preserve"> strategiczne</w:t>
      </w:r>
      <w:r w:rsidR="00EE0E46">
        <w:rPr>
          <w:i/>
          <w:iCs/>
          <w:color w:val="040033"/>
          <w:lang w:val="pl-PL"/>
        </w:rPr>
        <w:t>go planu</w:t>
      </w:r>
      <w:r w:rsidRPr="005C45B1">
        <w:rPr>
          <w:i/>
          <w:iCs/>
          <w:color w:val="040033"/>
          <w:lang w:val="pl-PL"/>
        </w:rPr>
        <w:t>.</w:t>
      </w:r>
      <w:r w:rsidR="005F201B">
        <w:rPr>
          <w:i/>
          <w:iCs/>
          <w:color w:val="040033"/>
          <w:lang w:val="pl-PL"/>
        </w:rPr>
        <w:t xml:space="preserve"> </w:t>
      </w:r>
      <w:r w:rsidR="005F201B" w:rsidRPr="005F201B">
        <w:rPr>
          <w:i/>
          <w:iCs/>
          <w:color w:val="040033"/>
          <w:lang w:val="pl-PL"/>
        </w:rPr>
        <w:t xml:space="preserve">Podpisanie ostatecznej, wiążącej umowy z wiodącymi inwestorami dotyczącej sprzedaży naszego udziału w spółce </w:t>
      </w:r>
      <w:proofErr w:type="spellStart"/>
      <w:r w:rsidR="005F201B" w:rsidRPr="005F201B">
        <w:rPr>
          <w:i/>
          <w:iCs/>
          <w:color w:val="040033"/>
          <w:lang w:val="pl-PL"/>
        </w:rPr>
        <w:t>Essendi</w:t>
      </w:r>
      <w:proofErr w:type="spellEnd"/>
      <w:r w:rsidR="005F201B" w:rsidRPr="005F201B">
        <w:rPr>
          <w:i/>
          <w:iCs/>
          <w:color w:val="040033"/>
          <w:lang w:val="pl-PL"/>
        </w:rPr>
        <w:t xml:space="preserve"> stanowi ważny kamień </w:t>
      </w:r>
      <w:r w:rsidR="005F201B" w:rsidRPr="005F201B">
        <w:rPr>
          <w:i/>
          <w:iCs/>
          <w:color w:val="040033"/>
          <w:lang w:val="pl-PL"/>
        </w:rPr>
        <w:lastRenderedPageBreak/>
        <w:t xml:space="preserve">milowy, kończący transformację Accor w kierunku modelu </w:t>
      </w:r>
      <w:proofErr w:type="spellStart"/>
      <w:r w:rsidR="005F201B" w:rsidRPr="005F201B">
        <w:rPr>
          <w:i/>
          <w:iCs/>
          <w:color w:val="040033"/>
          <w:lang w:val="pl-PL"/>
        </w:rPr>
        <w:t>asset-light</w:t>
      </w:r>
      <w:proofErr w:type="spellEnd"/>
      <w:r w:rsidR="005F201B" w:rsidRPr="005F201B">
        <w:rPr>
          <w:i/>
          <w:iCs/>
          <w:color w:val="040033"/>
          <w:lang w:val="pl-PL"/>
        </w:rPr>
        <w:t>, który jest przejrzysty i przewidywalny</w:t>
      </w:r>
      <w:r w:rsidR="6EB75D56" w:rsidRPr="7FD58CED">
        <w:rPr>
          <w:i/>
          <w:iCs/>
          <w:color w:val="040033"/>
        </w:rPr>
        <w:t>.</w:t>
      </w:r>
      <w:r w:rsidR="000473D3" w:rsidRPr="5E3197B7">
        <w:rPr>
          <w:i/>
          <w:iCs/>
          <w:color w:val="040033"/>
        </w:rPr>
        <w:t>”</w:t>
      </w:r>
      <w:r w:rsidR="000473D3" w:rsidRPr="5E3197B7">
        <w:rPr>
          <w:color w:val="040033"/>
        </w:rPr>
        <w:t xml:space="preserve"> – </w:t>
      </w:r>
      <w:proofErr w:type="spellStart"/>
      <w:r w:rsidR="000473D3" w:rsidRPr="5E3197B7">
        <w:rPr>
          <w:color w:val="040033"/>
        </w:rPr>
        <w:t>komentuje</w:t>
      </w:r>
      <w:proofErr w:type="spellEnd"/>
      <w:r w:rsidR="000473D3" w:rsidRPr="5E3197B7">
        <w:rPr>
          <w:color w:val="040033"/>
        </w:rPr>
        <w:t xml:space="preserve"> </w:t>
      </w:r>
      <w:r w:rsidR="000473D3" w:rsidRPr="5E3197B7">
        <w:rPr>
          <w:b/>
          <w:bCs/>
          <w:color w:val="040033"/>
        </w:rPr>
        <w:t xml:space="preserve">Sébastien Bazin, Chairman </w:t>
      </w:r>
      <w:r w:rsidRPr="5E3197B7">
        <w:rPr>
          <w:b/>
          <w:bCs/>
          <w:color w:val="040033"/>
        </w:rPr>
        <w:t>i</w:t>
      </w:r>
      <w:r w:rsidR="000473D3" w:rsidRPr="5E3197B7">
        <w:rPr>
          <w:b/>
          <w:bCs/>
          <w:color w:val="040033"/>
        </w:rPr>
        <w:t xml:space="preserve"> CEO Accor.</w:t>
      </w:r>
    </w:p>
    <w:p w14:paraId="09B7B8DC" w14:textId="77777777" w:rsidR="00CE6A83" w:rsidRPr="000473D3" w:rsidRDefault="00CE6A83" w:rsidP="00916C3F">
      <w:pPr>
        <w:pStyle w:val="Tekstpodstawowy"/>
        <w:spacing w:line="331" w:lineRule="auto"/>
        <w:ind w:left="1191" w:right="1189"/>
        <w:jc w:val="both"/>
        <w:rPr>
          <w:color w:val="040033"/>
          <w:lang w:val="pl-PL"/>
        </w:rPr>
      </w:pPr>
    </w:p>
    <w:p w14:paraId="31DB2B98" w14:textId="77777777" w:rsidR="00E475EA" w:rsidRDefault="00E475EA" w:rsidP="00C94024">
      <w:pPr>
        <w:pStyle w:val="Tekstpodstawowy"/>
        <w:spacing w:line="331" w:lineRule="auto"/>
        <w:ind w:right="1189"/>
        <w:jc w:val="both"/>
        <w:rPr>
          <w:color w:val="040033"/>
          <w:lang w:val="pl-PL"/>
        </w:rPr>
      </w:pPr>
      <w:r w:rsidRPr="00E475EA">
        <w:rPr>
          <w:color w:val="040033"/>
          <w:lang w:val="pl-PL"/>
        </w:rPr>
        <w:t xml:space="preserve">W pierwszym półroczu 2026 roku Accor odnotował przychody w wysokości 2 760 mln EUR, co oznacza wzrost o 3,0% przy stałych kursach wymiany, w porównaniu z analogicznym okresem ubiegłego roku. Na ten wynik składa się wzrost o 2,2% przy stałych kursach wymiany w segmencie Premium, </w:t>
      </w:r>
      <w:proofErr w:type="spellStart"/>
      <w:r w:rsidRPr="00E475EA">
        <w:rPr>
          <w:color w:val="040033"/>
          <w:lang w:val="pl-PL"/>
        </w:rPr>
        <w:t>Midscale</w:t>
      </w:r>
      <w:proofErr w:type="spellEnd"/>
      <w:r w:rsidRPr="00E475EA">
        <w:rPr>
          <w:color w:val="040033"/>
          <w:lang w:val="pl-PL"/>
        </w:rPr>
        <w:t xml:space="preserve"> i </w:t>
      </w:r>
      <w:proofErr w:type="spellStart"/>
      <w:r w:rsidRPr="00E475EA">
        <w:rPr>
          <w:color w:val="040033"/>
          <w:lang w:val="pl-PL"/>
        </w:rPr>
        <w:t>Economy</w:t>
      </w:r>
      <w:proofErr w:type="spellEnd"/>
      <w:r w:rsidRPr="00E475EA">
        <w:rPr>
          <w:color w:val="040033"/>
          <w:lang w:val="pl-PL"/>
        </w:rPr>
        <w:t xml:space="preserve"> oraz spadek o 1,9% przy stałych kursach wymiany w segmencie </w:t>
      </w:r>
      <w:proofErr w:type="spellStart"/>
      <w:r w:rsidRPr="00E475EA">
        <w:rPr>
          <w:color w:val="040033"/>
          <w:lang w:val="pl-PL"/>
        </w:rPr>
        <w:t>Luxury</w:t>
      </w:r>
      <w:proofErr w:type="spellEnd"/>
      <w:r w:rsidRPr="00E475EA">
        <w:rPr>
          <w:color w:val="040033"/>
          <w:lang w:val="pl-PL"/>
        </w:rPr>
        <w:t xml:space="preserve"> &amp; </w:t>
      </w:r>
      <w:proofErr w:type="spellStart"/>
      <w:r w:rsidRPr="00E475EA">
        <w:rPr>
          <w:color w:val="040033"/>
          <w:lang w:val="pl-PL"/>
        </w:rPr>
        <w:t>Lifestyle</w:t>
      </w:r>
      <w:proofErr w:type="spellEnd"/>
      <w:r w:rsidRPr="00E475EA">
        <w:rPr>
          <w:color w:val="040033"/>
          <w:lang w:val="pl-PL"/>
        </w:rPr>
        <w:t>.</w:t>
      </w:r>
    </w:p>
    <w:p w14:paraId="4919585D" w14:textId="77777777" w:rsidR="00E475EA" w:rsidRDefault="00E475EA" w:rsidP="00C94024">
      <w:pPr>
        <w:pStyle w:val="Tekstpodstawowy"/>
        <w:spacing w:line="331" w:lineRule="auto"/>
        <w:ind w:right="1189"/>
        <w:jc w:val="both"/>
        <w:rPr>
          <w:color w:val="040033"/>
          <w:lang w:val="pl-PL"/>
        </w:rPr>
      </w:pPr>
    </w:p>
    <w:p w14:paraId="77579F84" w14:textId="7EDC61C4" w:rsidR="00E475EA" w:rsidRDefault="00E475EA" w:rsidP="00C94024">
      <w:pPr>
        <w:pStyle w:val="Tekstpodstawowy"/>
        <w:spacing w:line="331" w:lineRule="auto"/>
        <w:ind w:right="1189"/>
        <w:jc w:val="both"/>
        <w:rPr>
          <w:color w:val="040033"/>
          <w:lang w:val="pl-PL"/>
        </w:rPr>
      </w:pPr>
      <w:r w:rsidRPr="00E475EA">
        <w:rPr>
          <w:color w:val="040033"/>
          <w:lang w:val="pl-PL"/>
        </w:rPr>
        <w:t xml:space="preserve">Skonsolidowany powtarzalny wskaźnik EBITDA wyniósł 563 mln EUR, co oznacza wzrost o 6,5% przy stałych kursach wymiany w porównaniu z pierwszym półroczem 2025 roku. </w:t>
      </w:r>
    </w:p>
    <w:p w14:paraId="6391D21C" w14:textId="77777777" w:rsidR="00E475EA" w:rsidRPr="00C94024" w:rsidRDefault="00E475EA" w:rsidP="00C94024">
      <w:pPr>
        <w:pStyle w:val="Tekstpodstawowy"/>
        <w:spacing w:line="331" w:lineRule="auto"/>
        <w:ind w:right="1189"/>
        <w:jc w:val="both"/>
        <w:rPr>
          <w:color w:val="040033"/>
          <w:lang w:val="pl-PL"/>
        </w:rPr>
      </w:pPr>
    </w:p>
    <w:p w14:paraId="00C8BD7D" w14:textId="168D156F" w:rsidR="00C94024" w:rsidRDefault="00E96F4C" w:rsidP="00C94024">
      <w:pPr>
        <w:pStyle w:val="Tekstpodstawowy"/>
        <w:spacing w:line="331" w:lineRule="auto"/>
        <w:ind w:right="1189"/>
        <w:jc w:val="both"/>
        <w:rPr>
          <w:color w:val="040033"/>
          <w:lang w:val="pl-PL"/>
        </w:rPr>
      </w:pPr>
      <w:r w:rsidRPr="00E96F4C">
        <w:rPr>
          <w:color w:val="040033"/>
          <w:lang w:val="pl-PL"/>
        </w:rPr>
        <w:t>W pierwszym półroczu 2026 roku Accor otworzył 109 hoteli, co odpowiada blisko 14 000 pokoi, oznaczając wzrost netto o 3,2% w ciągu ostatnich 12 miesięcy. Na koniec czerwca 2026 roku portfolio grupy sięgnęło 5 835 hoteli (881 928 pokoi) oraz kolejne 1 595 obiektów (ponad 268 000 pokoi) w fazie przygotowań.</w:t>
      </w:r>
    </w:p>
    <w:p w14:paraId="7D014E99" w14:textId="77777777" w:rsidR="00C94024" w:rsidRPr="00451097" w:rsidRDefault="00C94024" w:rsidP="00C94024">
      <w:pPr>
        <w:pStyle w:val="Tekstpodstawowy"/>
        <w:spacing w:line="331" w:lineRule="auto"/>
        <w:ind w:right="1189"/>
        <w:jc w:val="both"/>
        <w:rPr>
          <w:color w:val="040033"/>
          <w:lang w:val="pl-PL"/>
        </w:rPr>
      </w:pPr>
    </w:p>
    <w:p w14:paraId="6A589892" w14:textId="1E3B643B" w:rsidR="00451097" w:rsidRPr="00451097" w:rsidRDefault="00451097" w:rsidP="00451097">
      <w:pPr>
        <w:pStyle w:val="Tekstpodstawowy"/>
        <w:spacing w:line="331" w:lineRule="auto"/>
        <w:ind w:right="1189"/>
        <w:jc w:val="both"/>
        <w:rPr>
          <w:color w:val="040033"/>
          <w:lang w:val="pl-PL"/>
        </w:rPr>
      </w:pPr>
      <w:r w:rsidRPr="00451097">
        <w:rPr>
          <w:color w:val="040033"/>
          <w:lang w:val="pl-PL"/>
        </w:rPr>
        <w:t>Pełny raport w języku angielskim dostępny jest</w:t>
      </w:r>
      <w:r>
        <w:rPr>
          <w:color w:val="040033"/>
          <w:lang w:val="pl-PL"/>
        </w:rPr>
        <w:t xml:space="preserve"> </w:t>
      </w:r>
      <w:hyperlink r:id="rId8" w:history="1">
        <w:proofErr w:type="spellStart"/>
        <w:r w:rsidR="00E96F4C" w:rsidRPr="00E96F4C">
          <w:rPr>
            <w:rStyle w:val="Hipercze"/>
          </w:rPr>
          <w:t>tutaj</w:t>
        </w:r>
        <w:proofErr w:type="spellEnd"/>
      </w:hyperlink>
      <w:r w:rsidR="00E96F4C">
        <w:t>.</w:t>
      </w:r>
    </w:p>
    <w:p w14:paraId="69DBC5B3" w14:textId="12EFCBBD" w:rsidR="008005FC" w:rsidRPr="00451097" w:rsidRDefault="00E540A9" w:rsidP="007C70A2">
      <w:pPr>
        <w:tabs>
          <w:tab w:val="left" w:pos="3773"/>
        </w:tabs>
        <w:spacing w:before="114" w:line="331" w:lineRule="auto"/>
        <w:ind w:right="1196"/>
        <w:jc w:val="both"/>
        <w:rPr>
          <w:iCs/>
          <w:sz w:val="19"/>
          <w:lang w:val="pl-PL"/>
        </w:rPr>
      </w:pPr>
      <w:r w:rsidRPr="00451097">
        <w:rPr>
          <w:iCs/>
          <w:sz w:val="19"/>
          <w:lang w:val="pl-PL"/>
        </w:rPr>
        <w:tab/>
        <w:t xml:space="preserve"> </w:t>
      </w:r>
    </w:p>
    <w:p w14:paraId="52AD82D6" w14:textId="6B90D565" w:rsidR="007B20D3" w:rsidRPr="00EC6227" w:rsidRDefault="007B20D3" w:rsidP="00451097">
      <w:pPr>
        <w:ind w:right="1"/>
        <w:rPr>
          <w:b/>
          <w:sz w:val="15"/>
          <w:lang w:val="pl-PL"/>
        </w:rPr>
      </w:pPr>
      <w:r w:rsidRPr="00EC6227">
        <w:rPr>
          <w:b/>
          <w:color w:val="040033"/>
          <w:spacing w:val="-2"/>
          <w:sz w:val="15"/>
          <w:lang w:val="pl-PL"/>
        </w:rPr>
        <w:t>ACCOR</w:t>
      </w:r>
    </w:p>
    <w:p w14:paraId="2896BF44" w14:textId="77777777" w:rsidR="007B20D3" w:rsidRPr="00EC6227" w:rsidRDefault="007B20D3" w:rsidP="007B20D3">
      <w:pPr>
        <w:pStyle w:val="Tekstpodstawowy"/>
        <w:spacing w:before="15"/>
        <w:rPr>
          <w:color w:val="74758B"/>
          <w:sz w:val="18"/>
          <w:szCs w:val="22"/>
          <w:lang w:val="pl-PL"/>
        </w:rPr>
      </w:pPr>
    </w:p>
    <w:p w14:paraId="33B550A1" w14:textId="73CFA85C" w:rsidR="007B20D3" w:rsidRPr="00EC6227" w:rsidRDefault="00F50531" w:rsidP="00F50531">
      <w:pPr>
        <w:pStyle w:val="Tekstpodstawowy"/>
        <w:ind w:right="1138"/>
        <w:jc w:val="both"/>
        <w:rPr>
          <w:sz w:val="16"/>
          <w:szCs w:val="16"/>
          <w:lang w:val="pl-PL"/>
        </w:rPr>
      </w:pPr>
      <w:hyperlink r:id="rId9" w:history="1">
        <w:r w:rsidRPr="00EC6227">
          <w:rPr>
            <w:rStyle w:val="Hipercze"/>
            <w:b/>
            <w:bCs/>
            <w:sz w:val="18"/>
            <w:szCs w:val="18"/>
            <w:lang w:val="pl-PL"/>
          </w:rPr>
          <w:t>Accor</w:t>
        </w:r>
      </w:hyperlink>
      <w:r w:rsidRPr="00EC6227">
        <w:rPr>
          <w:sz w:val="18"/>
          <w:szCs w:val="18"/>
          <w:lang w:val="pl-PL"/>
        </w:rPr>
        <w:t> </w:t>
      </w:r>
      <w:r w:rsidR="006C1142" w:rsidRPr="00EC6227">
        <w:rPr>
          <w:sz w:val="18"/>
          <w:szCs w:val="18"/>
          <w:lang w:val="pl-PL"/>
        </w:rPr>
        <w:t xml:space="preserve">to wiodąca na świecie grupa hotelarska oferująca usługi w ponad 110 krajach w ponad 5 800 obiektach, 10 000 lokalach gastronomicznych, ośrodkach </w:t>
      </w:r>
      <w:proofErr w:type="spellStart"/>
      <w:r w:rsidR="006C1142" w:rsidRPr="00EC6227">
        <w:rPr>
          <w:sz w:val="18"/>
          <w:szCs w:val="18"/>
          <w:lang w:val="pl-PL"/>
        </w:rPr>
        <w:t>wellness</w:t>
      </w:r>
      <w:proofErr w:type="spellEnd"/>
      <w:r w:rsidR="006C1142" w:rsidRPr="00EC6227">
        <w:rPr>
          <w:sz w:val="18"/>
          <w:szCs w:val="18"/>
          <w:lang w:val="pl-PL"/>
        </w:rPr>
        <w:t xml:space="preserve"> i miejscach pracy. Grupa posiada jeden z najbardziej zróżnicowanych ekosystemów hotelarskich w branży, obejmujący około 45 marek hotelowych, od luksusowych po ekonomiczne, a także </w:t>
      </w:r>
      <w:proofErr w:type="spellStart"/>
      <w:r w:rsidR="006C1142" w:rsidRPr="00EC6227">
        <w:rPr>
          <w:sz w:val="18"/>
          <w:szCs w:val="18"/>
          <w:lang w:val="pl-PL"/>
        </w:rPr>
        <w:t>Lifestyle</w:t>
      </w:r>
      <w:proofErr w:type="spellEnd"/>
      <w:r w:rsidR="006C1142" w:rsidRPr="00EC6227">
        <w:rPr>
          <w:sz w:val="18"/>
          <w:szCs w:val="18"/>
          <w:lang w:val="pl-PL"/>
        </w:rPr>
        <w:t xml:space="preserve"> wraz z </w:t>
      </w:r>
      <w:proofErr w:type="spellStart"/>
      <w:r w:rsidR="006C1142" w:rsidRPr="00EC6227">
        <w:rPr>
          <w:sz w:val="18"/>
          <w:szCs w:val="18"/>
          <w:lang w:val="pl-PL"/>
        </w:rPr>
        <w:t>Ennismore</w:t>
      </w:r>
      <w:proofErr w:type="spellEnd"/>
      <w:r w:rsidR="006C1142" w:rsidRPr="00EC6227">
        <w:rPr>
          <w:sz w:val="18"/>
          <w:szCs w:val="18"/>
          <w:lang w:val="pl-PL"/>
        </w:rPr>
        <w:t xml:space="preserve">. ALL Accor – platforma rezerwacyjna i program lojalnościowy – daje swoim uczestnikom dostęp do unikalnych nagród, usług i doświadczeń. Accor jest zaangażowany w podejmowanie pozytywnych działań w zakresie etyki biznesowej, odpowiedzialnej turystyki, zrównoważonego rozwoju, działań na rzecz społeczności lokalnej oraz różnorodności i integracji. Założona w 1967 roku spółka Accor SA ma siedzibę we Francji i jest notowana na giełdzie </w:t>
      </w:r>
      <w:proofErr w:type="spellStart"/>
      <w:r w:rsidR="006C1142" w:rsidRPr="00EC6227">
        <w:rPr>
          <w:sz w:val="18"/>
          <w:szCs w:val="18"/>
          <w:lang w:val="pl-PL"/>
        </w:rPr>
        <w:t>Euronext</w:t>
      </w:r>
      <w:proofErr w:type="spellEnd"/>
      <w:r w:rsidR="006C1142" w:rsidRPr="00EC6227">
        <w:rPr>
          <w:sz w:val="18"/>
          <w:szCs w:val="18"/>
          <w:lang w:val="pl-PL"/>
        </w:rPr>
        <w:t xml:space="preserve"> w Paryżu (kod ISIN: FR0000120404) oraz na rynku pozagiełdowym (</w:t>
      </w:r>
      <w:proofErr w:type="spellStart"/>
      <w:r w:rsidR="006C1142" w:rsidRPr="00EC6227">
        <w:rPr>
          <w:sz w:val="18"/>
          <w:szCs w:val="18"/>
          <w:lang w:val="pl-PL"/>
        </w:rPr>
        <w:t>Ticker</w:t>
      </w:r>
      <w:proofErr w:type="spellEnd"/>
      <w:r w:rsidR="006C1142" w:rsidRPr="00EC6227">
        <w:rPr>
          <w:sz w:val="18"/>
          <w:szCs w:val="18"/>
          <w:lang w:val="pl-PL"/>
        </w:rPr>
        <w:t>: ACCYY) w Stanach Zjednoczonych. Więcej informacji można znaleźć na stronie</w:t>
      </w:r>
      <w:r w:rsidR="00EC6227" w:rsidRPr="00EC6227">
        <w:rPr>
          <w:sz w:val="18"/>
          <w:szCs w:val="18"/>
          <w:lang w:val="pl-PL"/>
        </w:rPr>
        <w:t>:</w:t>
      </w:r>
      <w:hyperlink r:id="rId10" w:history="1">
        <w:r w:rsidRPr="00EC6227">
          <w:rPr>
            <w:rStyle w:val="Hipercze"/>
            <w:b/>
            <w:bCs/>
            <w:sz w:val="18"/>
            <w:szCs w:val="18"/>
            <w:lang w:val="pl-PL"/>
          </w:rPr>
          <w:t>group.accor.com</w:t>
        </w:r>
      </w:hyperlink>
      <w:r w:rsidRPr="00EC6227">
        <w:rPr>
          <w:sz w:val="18"/>
          <w:szCs w:val="18"/>
          <w:lang w:val="pl-PL"/>
        </w:rPr>
        <w:t> </w:t>
      </w:r>
      <w:r w:rsidR="00EC6227" w:rsidRPr="00EC6227">
        <w:rPr>
          <w:sz w:val="18"/>
          <w:szCs w:val="18"/>
          <w:lang w:val="pl-PL"/>
        </w:rPr>
        <w:t>lu</w:t>
      </w:r>
      <w:r w:rsidR="00EC6227">
        <w:rPr>
          <w:sz w:val="18"/>
          <w:szCs w:val="18"/>
          <w:lang w:val="pl-PL"/>
        </w:rPr>
        <w:t xml:space="preserve">b w </w:t>
      </w:r>
      <w:proofErr w:type="spellStart"/>
      <w:r w:rsidR="00EC6227">
        <w:rPr>
          <w:sz w:val="18"/>
          <w:szCs w:val="18"/>
          <w:lang w:val="pl-PL"/>
        </w:rPr>
        <w:t>social</w:t>
      </w:r>
      <w:proofErr w:type="spellEnd"/>
      <w:r w:rsidR="00EC6227">
        <w:rPr>
          <w:sz w:val="18"/>
          <w:szCs w:val="18"/>
          <w:lang w:val="pl-PL"/>
        </w:rPr>
        <w:t xml:space="preserve"> mediach: </w:t>
      </w:r>
      <w:hyperlink r:id="rId11" w:history="1">
        <w:r w:rsidRPr="00EC6227">
          <w:rPr>
            <w:rStyle w:val="Hipercze"/>
            <w:b/>
            <w:bCs/>
            <w:sz w:val="18"/>
            <w:szCs w:val="18"/>
            <w:lang w:val="pl-PL"/>
          </w:rPr>
          <w:t>X</w:t>
        </w:r>
      </w:hyperlink>
      <w:r w:rsidRPr="00EC6227">
        <w:rPr>
          <w:sz w:val="18"/>
          <w:szCs w:val="18"/>
          <w:lang w:val="pl-PL"/>
        </w:rPr>
        <w:t>, </w:t>
      </w:r>
      <w:hyperlink r:id="rId12" w:history="1">
        <w:r w:rsidRPr="00EC6227">
          <w:rPr>
            <w:rStyle w:val="Hipercze"/>
            <w:b/>
            <w:bCs/>
            <w:sz w:val="18"/>
            <w:szCs w:val="18"/>
            <w:lang w:val="pl-PL"/>
          </w:rPr>
          <w:t>Facebook</w:t>
        </w:r>
      </w:hyperlink>
      <w:r w:rsidRPr="00EC6227">
        <w:rPr>
          <w:sz w:val="18"/>
          <w:szCs w:val="18"/>
          <w:lang w:val="pl-PL"/>
        </w:rPr>
        <w:t>, </w:t>
      </w:r>
      <w:hyperlink r:id="rId13" w:history="1">
        <w:r w:rsidRPr="00EC6227">
          <w:rPr>
            <w:rStyle w:val="Hipercze"/>
            <w:b/>
            <w:bCs/>
            <w:sz w:val="18"/>
            <w:szCs w:val="18"/>
            <w:lang w:val="pl-PL"/>
          </w:rPr>
          <w:t>LinkedIn,</w:t>
        </w:r>
      </w:hyperlink>
      <w:r w:rsidRPr="00EC6227">
        <w:rPr>
          <w:sz w:val="18"/>
          <w:szCs w:val="18"/>
          <w:lang w:val="pl-PL"/>
        </w:rPr>
        <w:t> </w:t>
      </w:r>
      <w:hyperlink r:id="rId14" w:history="1">
        <w:r w:rsidRPr="00EC6227">
          <w:rPr>
            <w:rStyle w:val="Hipercze"/>
            <w:b/>
            <w:bCs/>
            <w:sz w:val="18"/>
            <w:szCs w:val="18"/>
            <w:lang w:val="pl-PL"/>
          </w:rPr>
          <w:t>Instagram</w:t>
        </w:r>
      </w:hyperlink>
      <w:r w:rsidR="00EC6227">
        <w:rPr>
          <w:sz w:val="18"/>
          <w:szCs w:val="18"/>
          <w:lang w:val="pl-PL"/>
        </w:rPr>
        <w:t xml:space="preserve"> i </w:t>
      </w:r>
      <w:hyperlink r:id="rId15" w:history="1">
        <w:proofErr w:type="spellStart"/>
        <w:r w:rsidRPr="00EC6227">
          <w:rPr>
            <w:rStyle w:val="Hipercze"/>
            <w:b/>
            <w:bCs/>
            <w:sz w:val="18"/>
            <w:szCs w:val="18"/>
            <w:lang w:val="pl-PL"/>
          </w:rPr>
          <w:t>TikTok</w:t>
        </w:r>
        <w:proofErr w:type="spellEnd"/>
      </w:hyperlink>
      <w:r w:rsidRPr="00EC6227">
        <w:rPr>
          <w:sz w:val="18"/>
          <w:szCs w:val="18"/>
          <w:lang w:val="pl-PL"/>
        </w:rPr>
        <w:t>.</w:t>
      </w:r>
    </w:p>
    <w:tbl>
      <w:tblPr>
        <w:tblStyle w:val="TableNormal1"/>
        <w:tblpPr w:leftFromText="141" w:rightFromText="141" w:vertAnchor="text" w:horzAnchor="margin" w:tblpY="270"/>
        <w:tblW w:w="0" w:type="auto"/>
        <w:tblLayout w:type="fixed"/>
        <w:tblLook w:val="01E0" w:firstRow="1" w:lastRow="1" w:firstColumn="1" w:lastColumn="1" w:noHBand="0" w:noVBand="0"/>
      </w:tblPr>
      <w:tblGrid>
        <w:gridCol w:w="4447"/>
        <w:gridCol w:w="2644"/>
      </w:tblGrid>
      <w:tr w:rsidR="000677E8" w:rsidRPr="005007B8" w14:paraId="0088EADE" w14:textId="77777777" w:rsidTr="000677E8">
        <w:trPr>
          <w:trHeight w:val="361"/>
        </w:trPr>
        <w:tc>
          <w:tcPr>
            <w:tcW w:w="4447" w:type="dxa"/>
          </w:tcPr>
          <w:p w14:paraId="3BCCFBD9" w14:textId="10B38DF8" w:rsidR="000677E8" w:rsidRPr="005007B8" w:rsidRDefault="0079626E" w:rsidP="000677E8">
            <w:pPr>
              <w:pStyle w:val="TableParagraph"/>
              <w:spacing w:before="0" w:line="287" w:lineRule="exact"/>
              <w:ind w:left="50"/>
              <w:jc w:val="left"/>
              <w:rPr>
                <w:rFonts w:ascii="Times New Roman"/>
                <w:b/>
                <w:i/>
                <w:color w:val="040033"/>
                <w:spacing w:val="-2"/>
                <w:sz w:val="26"/>
                <w:u w:val="single" w:color="040033"/>
                <w:lang w:val="en-GB"/>
              </w:rPr>
            </w:pPr>
            <w:proofErr w:type="spellStart"/>
            <w:r>
              <w:rPr>
                <w:rFonts w:ascii="Times New Roman"/>
                <w:b/>
                <w:i/>
                <w:color w:val="040033"/>
                <w:spacing w:val="-2"/>
                <w:sz w:val="26"/>
                <w:u w:val="single" w:color="040033"/>
                <w:lang w:val="en-GB"/>
              </w:rPr>
              <w:t>Kontakt</w:t>
            </w:r>
            <w:proofErr w:type="spellEnd"/>
            <w:r>
              <w:rPr>
                <w:rFonts w:ascii="Times New Roman"/>
                <w:b/>
                <w:i/>
                <w:color w:val="040033"/>
                <w:spacing w:val="-2"/>
                <w:sz w:val="26"/>
                <w:u w:val="single" w:color="040033"/>
                <w:lang w:val="en-GB"/>
              </w:rPr>
              <w:t xml:space="preserve"> </w:t>
            </w:r>
            <w:proofErr w:type="spellStart"/>
            <w:r>
              <w:rPr>
                <w:rFonts w:ascii="Times New Roman"/>
                <w:b/>
                <w:i/>
                <w:color w:val="040033"/>
                <w:spacing w:val="-2"/>
                <w:sz w:val="26"/>
                <w:u w:val="single" w:color="040033"/>
                <w:lang w:val="en-GB"/>
              </w:rPr>
              <w:t>dla</w:t>
            </w:r>
            <w:proofErr w:type="spellEnd"/>
            <w:r>
              <w:rPr>
                <w:rFonts w:ascii="Times New Roman"/>
                <w:b/>
                <w:i/>
                <w:color w:val="040033"/>
                <w:spacing w:val="-2"/>
                <w:sz w:val="26"/>
                <w:u w:val="single" w:color="040033"/>
                <w:lang w:val="en-GB"/>
              </w:rPr>
              <w:t xml:space="preserve"> </w:t>
            </w:r>
            <w:proofErr w:type="spellStart"/>
            <w:r w:rsidR="007C70A2">
              <w:rPr>
                <w:rFonts w:ascii="Times New Roman"/>
                <w:b/>
                <w:i/>
                <w:color w:val="040033"/>
                <w:spacing w:val="-2"/>
                <w:sz w:val="26"/>
                <w:u w:val="single" w:color="040033"/>
                <w:lang w:val="en-GB"/>
              </w:rPr>
              <w:t>prasy</w:t>
            </w:r>
            <w:proofErr w:type="spellEnd"/>
            <w:r w:rsidR="000677E8" w:rsidRPr="005007B8">
              <w:rPr>
                <w:rFonts w:ascii="Times New Roman"/>
                <w:b/>
                <w:i/>
                <w:color w:val="040033"/>
                <w:spacing w:val="-2"/>
                <w:sz w:val="26"/>
                <w:u w:val="single" w:color="040033"/>
                <w:lang w:val="en-GB"/>
              </w:rPr>
              <w:t>:</w:t>
            </w:r>
          </w:p>
          <w:p w14:paraId="41E693E4" w14:textId="77777777" w:rsidR="000677E8" w:rsidRPr="005007B8" w:rsidRDefault="000677E8" w:rsidP="000677E8">
            <w:pPr>
              <w:pStyle w:val="TableParagraph"/>
              <w:spacing w:before="0" w:line="287" w:lineRule="exact"/>
              <w:ind w:left="50"/>
              <w:jc w:val="left"/>
              <w:rPr>
                <w:rFonts w:ascii="Times New Roman"/>
                <w:b/>
                <w:i/>
                <w:color w:val="040033"/>
                <w:spacing w:val="-2"/>
                <w:sz w:val="26"/>
                <w:u w:val="single" w:color="040033"/>
                <w:lang w:val="en-GB"/>
              </w:rPr>
            </w:pPr>
          </w:p>
          <w:p w14:paraId="45C4666C" w14:textId="77777777" w:rsidR="000677E8" w:rsidRPr="005007B8" w:rsidRDefault="000677E8" w:rsidP="000677E8">
            <w:pPr>
              <w:pStyle w:val="TableParagraph"/>
              <w:spacing w:before="74"/>
              <w:ind w:left="50"/>
              <w:jc w:val="left"/>
              <w:rPr>
                <w:b/>
                <w:color w:val="040033"/>
                <w:sz w:val="18"/>
                <w:lang w:val="en-GB"/>
              </w:rPr>
            </w:pPr>
            <w:r w:rsidRPr="005007B8">
              <w:rPr>
                <w:b/>
                <w:color w:val="040033"/>
                <w:sz w:val="18"/>
                <w:lang w:val="en-GB"/>
              </w:rPr>
              <w:t>Agnieszka Kalinowska</w:t>
            </w:r>
          </w:p>
          <w:p w14:paraId="1A9A19D9" w14:textId="77777777" w:rsidR="000677E8" w:rsidRPr="005007B8" w:rsidRDefault="000677E8" w:rsidP="000677E8">
            <w:pPr>
              <w:pStyle w:val="TableParagraph"/>
              <w:spacing w:before="74"/>
              <w:ind w:left="50"/>
              <w:jc w:val="left"/>
              <w:rPr>
                <w:color w:val="040033"/>
                <w:sz w:val="18"/>
                <w:lang w:val="en-GB"/>
              </w:rPr>
            </w:pPr>
            <w:r w:rsidRPr="005007B8">
              <w:rPr>
                <w:color w:val="040033"/>
                <w:sz w:val="18"/>
                <w:lang w:val="en-GB"/>
              </w:rPr>
              <w:t>Senior Manager Media Relations &amp; PR Poland &amp; Eastern Europe</w:t>
            </w:r>
          </w:p>
          <w:p w14:paraId="24DE60CB" w14:textId="77777777" w:rsidR="000677E8" w:rsidRPr="005007B8" w:rsidRDefault="000677E8" w:rsidP="000677E8">
            <w:pPr>
              <w:pStyle w:val="Textedesaisie"/>
              <w:spacing w:line="276" w:lineRule="auto"/>
              <w:rPr>
                <w:iCs/>
                <w:sz w:val="19"/>
              </w:rPr>
            </w:pPr>
            <w:hyperlink r:id="rId16" w:history="1">
              <w:r w:rsidRPr="005007B8">
                <w:rPr>
                  <w:rStyle w:val="Hipercze"/>
                  <w:iCs/>
                  <w:sz w:val="19"/>
                </w:rPr>
                <w:t>Agnieszka.KALINOWSKA@accor.com</w:t>
              </w:r>
            </w:hyperlink>
          </w:p>
          <w:p w14:paraId="0233FFC0" w14:textId="77777777" w:rsidR="000677E8" w:rsidRPr="005007B8" w:rsidRDefault="000677E8" w:rsidP="000677E8">
            <w:pPr>
              <w:pStyle w:val="TableParagraph"/>
              <w:spacing w:before="0" w:line="287" w:lineRule="exact"/>
              <w:ind w:left="50"/>
              <w:jc w:val="left"/>
              <w:rPr>
                <w:rFonts w:ascii="Times New Roman"/>
                <w:b/>
                <w:i/>
                <w:sz w:val="26"/>
                <w:lang w:val="en-GB"/>
              </w:rPr>
            </w:pPr>
          </w:p>
        </w:tc>
        <w:tc>
          <w:tcPr>
            <w:tcW w:w="2644" w:type="dxa"/>
          </w:tcPr>
          <w:p w14:paraId="1FE71E7A" w14:textId="77777777" w:rsidR="000677E8" w:rsidRPr="005007B8" w:rsidRDefault="000677E8" w:rsidP="000677E8">
            <w:pPr>
              <w:pStyle w:val="TableParagraph"/>
              <w:spacing w:before="0"/>
              <w:jc w:val="left"/>
              <w:rPr>
                <w:rFonts w:ascii="Times New Roman"/>
                <w:sz w:val="18"/>
                <w:lang w:val="en-GB"/>
              </w:rPr>
            </w:pPr>
          </w:p>
        </w:tc>
      </w:tr>
      <w:tr w:rsidR="000677E8" w:rsidRPr="005007B8" w14:paraId="70FDC31B" w14:textId="77777777" w:rsidTr="000677E8">
        <w:trPr>
          <w:trHeight w:val="977"/>
        </w:trPr>
        <w:tc>
          <w:tcPr>
            <w:tcW w:w="4447" w:type="dxa"/>
          </w:tcPr>
          <w:p w14:paraId="1FA70823" w14:textId="77777777" w:rsidR="000677E8" w:rsidRPr="005007B8" w:rsidRDefault="000677E8" w:rsidP="000677E8">
            <w:pPr>
              <w:pStyle w:val="TableParagraph"/>
              <w:spacing w:before="74"/>
              <w:ind w:left="50"/>
              <w:jc w:val="left"/>
              <w:rPr>
                <w:b/>
                <w:sz w:val="18"/>
                <w:lang w:val="en-GB"/>
              </w:rPr>
            </w:pPr>
            <w:r w:rsidRPr="005007B8">
              <w:rPr>
                <w:b/>
                <w:color w:val="040033"/>
                <w:sz w:val="18"/>
                <w:lang w:val="en-GB"/>
              </w:rPr>
              <w:t>Charlotte</w:t>
            </w:r>
            <w:r w:rsidRPr="005007B8">
              <w:rPr>
                <w:b/>
                <w:color w:val="040033"/>
                <w:spacing w:val="-4"/>
                <w:sz w:val="18"/>
                <w:lang w:val="en-GB"/>
              </w:rPr>
              <w:t xml:space="preserve"> </w:t>
            </w:r>
            <w:r w:rsidRPr="005007B8">
              <w:rPr>
                <w:b/>
                <w:color w:val="040033"/>
                <w:spacing w:val="-2"/>
                <w:sz w:val="18"/>
                <w:lang w:val="en-GB"/>
              </w:rPr>
              <w:t>Thouvard</w:t>
            </w:r>
          </w:p>
          <w:p w14:paraId="65EFF71D" w14:textId="13F4F508" w:rsidR="000677E8" w:rsidRPr="005007B8" w:rsidRDefault="007E2D20" w:rsidP="000677E8">
            <w:pPr>
              <w:pStyle w:val="TableParagraph"/>
              <w:spacing w:before="22"/>
              <w:ind w:left="50"/>
              <w:jc w:val="left"/>
              <w:rPr>
                <w:sz w:val="18"/>
                <w:lang w:val="en-GB"/>
              </w:rPr>
            </w:pPr>
            <w:r w:rsidRPr="007E2D20">
              <w:rPr>
                <w:color w:val="040033"/>
                <w:sz w:val="18"/>
                <w:lang w:val="en-GB"/>
              </w:rPr>
              <w:t xml:space="preserve">Chief Communications Officer </w:t>
            </w:r>
            <w:hyperlink r:id="rId17">
              <w:r w:rsidR="000677E8" w:rsidRPr="005007B8">
                <w:rPr>
                  <w:color w:val="040033"/>
                  <w:spacing w:val="-2"/>
                  <w:sz w:val="18"/>
                  <w:lang w:val="en-GB"/>
                </w:rPr>
                <w:t>charlotte.thouvard@accor.com</w:t>
              </w:r>
            </w:hyperlink>
          </w:p>
        </w:tc>
        <w:tc>
          <w:tcPr>
            <w:tcW w:w="2644" w:type="dxa"/>
          </w:tcPr>
          <w:p w14:paraId="7AB0F040" w14:textId="4D800DE2" w:rsidR="000677E8" w:rsidRPr="005007B8" w:rsidRDefault="000677E8" w:rsidP="000677E8">
            <w:pPr>
              <w:pStyle w:val="TableParagraph"/>
              <w:spacing w:before="10" w:line="218" w:lineRule="exact"/>
              <w:ind w:left="281" w:right="47"/>
              <w:jc w:val="left"/>
              <w:rPr>
                <w:sz w:val="18"/>
                <w:lang w:val="en-GB"/>
              </w:rPr>
            </w:pPr>
          </w:p>
        </w:tc>
      </w:tr>
      <w:tr w:rsidR="000677E8" w:rsidRPr="005007B8" w14:paraId="528FDEDE" w14:textId="77777777" w:rsidTr="000677E8">
        <w:trPr>
          <w:trHeight w:val="367"/>
        </w:trPr>
        <w:tc>
          <w:tcPr>
            <w:tcW w:w="4447" w:type="dxa"/>
          </w:tcPr>
          <w:p w14:paraId="5232C663" w14:textId="44D5A37E" w:rsidR="000677E8" w:rsidRPr="005007B8" w:rsidRDefault="000677E8" w:rsidP="005007B8">
            <w:pPr>
              <w:pStyle w:val="TableParagraph"/>
              <w:spacing w:before="0" w:line="294" w:lineRule="exact"/>
              <w:jc w:val="left"/>
              <w:rPr>
                <w:rFonts w:ascii="Times New Roman"/>
                <w:b/>
                <w:i/>
                <w:sz w:val="26"/>
                <w:u w:val="single"/>
                <w:lang w:val="en-GB"/>
              </w:rPr>
            </w:pPr>
          </w:p>
        </w:tc>
        <w:tc>
          <w:tcPr>
            <w:tcW w:w="2644" w:type="dxa"/>
          </w:tcPr>
          <w:p w14:paraId="00F1AD3E" w14:textId="77777777" w:rsidR="000677E8" w:rsidRPr="005007B8" w:rsidRDefault="000677E8" w:rsidP="000677E8">
            <w:pPr>
              <w:pStyle w:val="TableParagraph"/>
              <w:spacing w:before="0"/>
              <w:jc w:val="left"/>
              <w:rPr>
                <w:rFonts w:ascii="Times New Roman"/>
                <w:sz w:val="18"/>
                <w:lang w:val="en-GB"/>
              </w:rPr>
            </w:pPr>
          </w:p>
        </w:tc>
      </w:tr>
      <w:tr w:rsidR="000677E8" w:rsidRPr="005007B8" w14:paraId="675454A8" w14:textId="77777777" w:rsidTr="000677E8">
        <w:trPr>
          <w:trHeight w:val="969"/>
        </w:trPr>
        <w:tc>
          <w:tcPr>
            <w:tcW w:w="4447" w:type="dxa"/>
          </w:tcPr>
          <w:p w14:paraId="7465BF17" w14:textId="77777777" w:rsidR="000677E8" w:rsidRPr="005007B8" w:rsidRDefault="000677E8" w:rsidP="000677E8">
            <w:pPr>
              <w:pStyle w:val="TableParagraph"/>
              <w:spacing w:before="73"/>
              <w:ind w:left="50"/>
              <w:jc w:val="left"/>
              <w:rPr>
                <w:b/>
                <w:sz w:val="18"/>
                <w:lang w:val="en-GB"/>
              </w:rPr>
            </w:pPr>
            <w:r w:rsidRPr="005007B8">
              <w:rPr>
                <w:b/>
                <w:color w:val="040033"/>
                <w:sz w:val="18"/>
                <w:lang w:val="en-GB"/>
              </w:rPr>
              <w:lastRenderedPageBreak/>
              <w:t>Pierre-Loup</w:t>
            </w:r>
            <w:r w:rsidRPr="005007B8">
              <w:rPr>
                <w:b/>
                <w:color w:val="040033"/>
                <w:spacing w:val="-4"/>
                <w:sz w:val="18"/>
                <w:lang w:val="en-GB"/>
              </w:rPr>
              <w:t xml:space="preserve"> </w:t>
            </w:r>
            <w:r w:rsidRPr="005007B8">
              <w:rPr>
                <w:b/>
                <w:color w:val="040033"/>
                <w:spacing w:val="-2"/>
                <w:sz w:val="18"/>
                <w:lang w:val="en-GB"/>
              </w:rPr>
              <w:t>Etienne</w:t>
            </w:r>
          </w:p>
          <w:p w14:paraId="7E60D5DB" w14:textId="77777777" w:rsidR="000677E8" w:rsidRPr="005007B8" w:rsidRDefault="000677E8" w:rsidP="000677E8">
            <w:pPr>
              <w:pStyle w:val="TableParagraph"/>
              <w:spacing w:before="3" w:line="218" w:lineRule="exact"/>
              <w:ind w:left="50" w:right="1560"/>
              <w:jc w:val="left"/>
              <w:rPr>
                <w:sz w:val="18"/>
                <w:lang w:val="en-GB"/>
              </w:rPr>
            </w:pPr>
            <w:r w:rsidRPr="005007B8">
              <w:rPr>
                <w:color w:val="040033"/>
                <w:sz w:val="18"/>
                <w:lang w:val="en-GB"/>
              </w:rPr>
              <w:t xml:space="preserve">SVP Investor Relations and Financial Communications </w:t>
            </w:r>
            <w:hyperlink r:id="rId18">
              <w:r w:rsidRPr="005007B8">
                <w:rPr>
                  <w:color w:val="040033"/>
                  <w:spacing w:val="-2"/>
                  <w:sz w:val="18"/>
                  <w:lang w:val="en-GB"/>
                </w:rPr>
                <w:t>pierre-loup.etienne@accor.com</w:t>
              </w:r>
            </w:hyperlink>
          </w:p>
        </w:tc>
        <w:tc>
          <w:tcPr>
            <w:tcW w:w="2644" w:type="dxa"/>
          </w:tcPr>
          <w:p w14:paraId="63F9202D" w14:textId="77777777" w:rsidR="000677E8" w:rsidRPr="005007B8" w:rsidRDefault="000677E8" w:rsidP="000677E8">
            <w:pPr>
              <w:pStyle w:val="TableParagraph"/>
              <w:spacing w:before="0"/>
              <w:jc w:val="left"/>
              <w:rPr>
                <w:rFonts w:ascii="Times New Roman"/>
                <w:sz w:val="18"/>
                <w:lang w:val="en-GB"/>
              </w:rPr>
            </w:pPr>
          </w:p>
        </w:tc>
      </w:tr>
    </w:tbl>
    <w:p w14:paraId="4DE30814" w14:textId="77777777" w:rsidR="007B20D3" w:rsidRPr="005007B8" w:rsidRDefault="007B20D3" w:rsidP="007B20D3">
      <w:pPr>
        <w:pStyle w:val="Tekstpodstawowy"/>
        <w:spacing w:before="240"/>
        <w:rPr>
          <w:sz w:val="20"/>
          <w:lang w:val="en-GB"/>
        </w:rPr>
      </w:pPr>
    </w:p>
    <w:p w14:paraId="34E63EEF" w14:textId="77777777" w:rsidR="0016286F" w:rsidRPr="005007B8" w:rsidRDefault="0016286F">
      <w:pPr>
        <w:rPr>
          <w:lang w:val="en-GB"/>
        </w:rPr>
      </w:pPr>
    </w:p>
    <w:sectPr w:rsidR="0016286F" w:rsidRPr="005007B8" w:rsidSect="00A72B08">
      <w:headerReference w:type="default" r:id="rId19"/>
      <w:footerReference w:type="default" r:id="rId20"/>
      <w:pgSz w:w="11910" w:h="16840"/>
      <w:pgMar w:top="1417" w:right="1417" w:bottom="1417" w:left="1417" w:header="1020" w:footer="6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A8CC7" w14:textId="77777777" w:rsidR="00FE5773" w:rsidRDefault="00FE5773">
      <w:r>
        <w:separator/>
      </w:r>
    </w:p>
  </w:endnote>
  <w:endnote w:type="continuationSeparator" w:id="0">
    <w:p w14:paraId="44F31F28" w14:textId="77777777" w:rsidR="00FE5773" w:rsidRDefault="00FE5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3F0C" w14:textId="77777777" w:rsidR="00B30EC3" w:rsidRDefault="0016286F">
    <w:pPr>
      <w:pStyle w:val="Tekstpodstawowy"/>
      <w:spacing w:line="14" w:lineRule="auto"/>
      <w:rPr>
        <w:sz w:val="20"/>
      </w:rPr>
    </w:pPr>
    <w:r>
      <w:rPr>
        <w:noProof/>
        <w:sz w:val="20"/>
      </w:rPr>
      <mc:AlternateContent>
        <mc:Choice Requires="wps">
          <w:drawing>
            <wp:anchor distT="0" distB="0" distL="0" distR="0" simplePos="0" relativeHeight="486664192" behindDoc="1" locked="0" layoutInCell="1" allowOverlap="1" wp14:anchorId="34E63F0F" wp14:editId="34E63F10">
              <wp:simplePos x="0" y="0"/>
              <wp:positionH relativeFrom="page">
                <wp:posOffset>6278117</wp:posOffset>
              </wp:positionH>
              <wp:positionV relativeFrom="page">
                <wp:posOffset>10195928</wp:posOffset>
              </wp:positionV>
              <wp:extent cx="215900" cy="172085"/>
              <wp:effectExtent l="0" t="0" r="0" b="0"/>
              <wp:wrapNone/>
              <wp:docPr id="6" name="Textbox 6">
                <a:extLst xmlns:a="http://schemas.openxmlformats.org/drawingml/2006/main">
                  <a:ext uri="{FF2B5EF4-FFF2-40B4-BE49-F238E27FC236}">
                    <a16:creationId xmlns:a16="http://schemas.microsoft.com/office/drawing/2014/main" id="{03AD479C-DF74-48C9-94CA-B95B85DFE25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2085"/>
                      </a:xfrm>
                      <a:prstGeom prst="rect">
                        <a:avLst/>
                      </a:prstGeom>
                    </wps:spPr>
                    <wps:txbx>
                      <w:txbxContent>
                        <w:p w14:paraId="34E63F11" w14:textId="77777777" w:rsidR="00B30EC3" w:rsidRDefault="0016286F">
                          <w:pPr>
                            <w:pStyle w:val="Tekstpodstawowy"/>
                            <w:spacing w:before="19"/>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4E63F0F" id="_x0000_t202" coordsize="21600,21600" o:spt="202" path="m,l,21600r21600,l21600,xe">
              <v:stroke joinstyle="miter"/>
              <v:path gradientshapeok="t" o:connecttype="rect"/>
            </v:shapetype>
            <v:shape id="Textbox 6" o:spid="_x0000_s1026" type="#_x0000_t202" style="position:absolute;margin-left:494.35pt;margin-top:802.85pt;width:17pt;height:13.55pt;z-index:-1665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" filled="f" stroked="f">
              <v:textbox inset="0,0,0,0">
                <w:txbxContent>
                  <w:p w14:paraId="34E63F11" w14:textId="77777777" w:rsidR="00B30EC3" w:rsidRDefault="0016286F">
                    <w:pPr>
                      <w:pStyle w:val="BodyText"/>
                      <w:spacing w:before="19"/>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F25D3" w14:textId="77777777" w:rsidR="00FE5773" w:rsidRDefault="00FE5773">
      <w:r>
        <w:separator/>
      </w:r>
    </w:p>
  </w:footnote>
  <w:footnote w:type="continuationSeparator" w:id="0">
    <w:p w14:paraId="6893B494" w14:textId="77777777" w:rsidR="00FE5773" w:rsidRDefault="00FE5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D8D33" w14:textId="77777777" w:rsidR="00122284" w:rsidRDefault="00122284">
    <w:pPr>
      <w:pStyle w:val="Tekstpodstawowy"/>
      <w:spacing w:line="14" w:lineRule="auto"/>
      <w:rPr>
        <w:sz w:val="20"/>
      </w:rPr>
    </w:pPr>
  </w:p>
  <w:p w14:paraId="34E63F0B" w14:textId="4EAB06B8" w:rsidR="00B30EC3" w:rsidRDefault="0016286F">
    <w:pPr>
      <w:pStyle w:val="Tekstpodstawowy"/>
      <w:spacing w:line="14" w:lineRule="auto"/>
      <w:rPr>
        <w:sz w:val="20"/>
      </w:rPr>
    </w:pPr>
    <w:r>
      <w:rPr>
        <w:noProof/>
        <w:sz w:val="20"/>
      </w:rPr>
      <w:drawing>
        <wp:anchor distT="0" distB="0" distL="0" distR="0" simplePos="0" relativeHeight="486663680" behindDoc="1" locked="0" layoutInCell="1" allowOverlap="1" wp14:anchorId="34E63F0D" wp14:editId="2A7EEAE6">
          <wp:simplePos x="0" y="0"/>
          <wp:positionH relativeFrom="page">
            <wp:posOffset>3495675</wp:posOffset>
          </wp:positionH>
          <wp:positionV relativeFrom="page">
            <wp:posOffset>457200</wp:posOffset>
          </wp:positionV>
          <wp:extent cx="585166" cy="480743"/>
          <wp:effectExtent l="0" t="0" r="5715" b="0"/>
          <wp:wrapTopAndBottom/>
          <wp:docPr id="5" name="Image 5">
            <a:extLst xmlns:a="http://schemas.openxmlformats.org/drawingml/2006/main">
              <a:ext uri="{FF2B5EF4-FFF2-40B4-BE49-F238E27FC236}">
                <a16:creationId xmlns:a16="http://schemas.microsoft.com/office/drawing/2014/main" id="{08568878-96C8-4AFB-BCA5-DDE466750E3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585166" cy="4807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2D26"/>
    <w:multiLevelType w:val="hybridMultilevel"/>
    <w:tmpl w:val="933E4F80"/>
    <w:lvl w:ilvl="0" w:tplc="6926389C">
      <w:numFmt w:val="bullet"/>
      <w:lvlText w:val=""/>
      <w:lvlJc w:val="left"/>
      <w:pPr>
        <w:ind w:left="1911" w:hanging="360"/>
      </w:pPr>
      <w:rPr>
        <w:rFonts w:ascii="Symbol" w:eastAsia="Symbol" w:hAnsi="Symbol" w:cs="Symbol" w:hint="default"/>
        <w:b w:val="0"/>
        <w:bCs w:val="0"/>
        <w:i w:val="0"/>
        <w:iCs w:val="0"/>
        <w:color w:val="74758B"/>
        <w:spacing w:val="0"/>
        <w:w w:val="99"/>
        <w:sz w:val="19"/>
        <w:szCs w:val="19"/>
        <w:lang w:val="en-US" w:eastAsia="en-US" w:bidi="ar-SA"/>
      </w:rPr>
    </w:lvl>
    <w:lvl w:ilvl="1" w:tplc="1092349A">
      <w:numFmt w:val="bullet"/>
      <w:lvlText w:val="o"/>
      <w:lvlJc w:val="left"/>
      <w:pPr>
        <w:ind w:left="2259" w:hanging="360"/>
      </w:pPr>
      <w:rPr>
        <w:rFonts w:ascii="Courier New" w:eastAsia="Courier New" w:hAnsi="Courier New" w:cs="Courier New" w:hint="default"/>
        <w:b w:val="0"/>
        <w:bCs w:val="0"/>
        <w:i w:val="0"/>
        <w:iCs w:val="0"/>
        <w:color w:val="74758B"/>
        <w:spacing w:val="0"/>
        <w:w w:val="99"/>
        <w:sz w:val="19"/>
        <w:szCs w:val="19"/>
        <w:lang w:val="en-US" w:eastAsia="en-US" w:bidi="ar-SA"/>
      </w:rPr>
    </w:lvl>
    <w:lvl w:ilvl="2" w:tplc="64DCE2C6">
      <w:numFmt w:val="bullet"/>
      <w:lvlText w:val="•"/>
      <w:lvlJc w:val="left"/>
      <w:pPr>
        <w:ind w:left="3206" w:hanging="360"/>
      </w:pPr>
      <w:rPr>
        <w:rFonts w:hint="default"/>
        <w:lang w:val="en-US" w:eastAsia="en-US" w:bidi="ar-SA"/>
      </w:rPr>
    </w:lvl>
    <w:lvl w:ilvl="3" w:tplc="50AA01AE">
      <w:numFmt w:val="bullet"/>
      <w:lvlText w:val="•"/>
      <w:lvlJc w:val="left"/>
      <w:pPr>
        <w:ind w:left="4152" w:hanging="360"/>
      </w:pPr>
      <w:rPr>
        <w:rFonts w:hint="default"/>
        <w:lang w:val="en-US" w:eastAsia="en-US" w:bidi="ar-SA"/>
      </w:rPr>
    </w:lvl>
    <w:lvl w:ilvl="4" w:tplc="C6EE1132">
      <w:numFmt w:val="bullet"/>
      <w:lvlText w:val="•"/>
      <w:lvlJc w:val="left"/>
      <w:pPr>
        <w:ind w:left="5098" w:hanging="360"/>
      </w:pPr>
      <w:rPr>
        <w:rFonts w:hint="default"/>
        <w:lang w:val="en-US" w:eastAsia="en-US" w:bidi="ar-SA"/>
      </w:rPr>
    </w:lvl>
    <w:lvl w:ilvl="5" w:tplc="F140D006">
      <w:numFmt w:val="bullet"/>
      <w:lvlText w:val="•"/>
      <w:lvlJc w:val="left"/>
      <w:pPr>
        <w:ind w:left="6044" w:hanging="360"/>
      </w:pPr>
      <w:rPr>
        <w:rFonts w:hint="default"/>
        <w:lang w:val="en-US" w:eastAsia="en-US" w:bidi="ar-SA"/>
      </w:rPr>
    </w:lvl>
    <w:lvl w:ilvl="6" w:tplc="1242DDCA">
      <w:numFmt w:val="bullet"/>
      <w:lvlText w:val="•"/>
      <w:lvlJc w:val="left"/>
      <w:pPr>
        <w:ind w:left="6990" w:hanging="360"/>
      </w:pPr>
      <w:rPr>
        <w:rFonts w:hint="default"/>
        <w:lang w:val="en-US" w:eastAsia="en-US" w:bidi="ar-SA"/>
      </w:rPr>
    </w:lvl>
    <w:lvl w:ilvl="7" w:tplc="2FB6ADC6">
      <w:numFmt w:val="bullet"/>
      <w:lvlText w:val="•"/>
      <w:lvlJc w:val="left"/>
      <w:pPr>
        <w:ind w:left="7936" w:hanging="360"/>
      </w:pPr>
      <w:rPr>
        <w:rFonts w:hint="default"/>
        <w:lang w:val="en-US" w:eastAsia="en-US" w:bidi="ar-SA"/>
      </w:rPr>
    </w:lvl>
    <w:lvl w:ilvl="8" w:tplc="FF4EF962">
      <w:numFmt w:val="bullet"/>
      <w:lvlText w:val="•"/>
      <w:lvlJc w:val="left"/>
      <w:pPr>
        <w:ind w:left="8882" w:hanging="360"/>
      </w:pPr>
      <w:rPr>
        <w:rFonts w:hint="default"/>
        <w:lang w:val="en-US" w:eastAsia="en-US" w:bidi="ar-SA"/>
      </w:rPr>
    </w:lvl>
  </w:abstractNum>
  <w:abstractNum w:abstractNumId="1" w15:restartNumberingAfterBreak="0">
    <w:nsid w:val="71186F76"/>
    <w:multiLevelType w:val="hybridMultilevel"/>
    <w:tmpl w:val="C1D2204C"/>
    <w:lvl w:ilvl="0" w:tplc="62442D90">
      <w:numFmt w:val="bullet"/>
      <w:lvlText w:val=""/>
      <w:lvlJc w:val="left"/>
      <w:pPr>
        <w:ind w:left="1911" w:hanging="360"/>
      </w:pPr>
      <w:rPr>
        <w:rFonts w:ascii="Symbol" w:eastAsia="Symbol" w:hAnsi="Symbol" w:cs="Symbol" w:hint="default"/>
        <w:b w:val="0"/>
        <w:bCs w:val="0"/>
        <w:i w:val="0"/>
        <w:iCs w:val="0"/>
        <w:color w:val="74758B"/>
        <w:spacing w:val="0"/>
        <w:w w:val="99"/>
        <w:sz w:val="19"/>
        <w:szCs w:val="19"/>
        <w:lang w:val="en-US" w:eastAsia="en-US" w:bidi="ar-SA"/>
      </w:rPr>
    </w:lvl>
    <w:lvl w:ilvl="1" w:tplc="509E4954">
      <w:numFmt w:val="bullet"/>
      <w:lvlText w:val="•"/>
      <w:lvlJc w:val="left"/>
      <w:pPr>
        <w:ind w:left="2805" w:hanging="360"/>
      </w:pPr>
      <w:rPr>
        <w:rFonts w:hint="default"/>
        <w:lang w:val="en-US" w:eastAsia="en-US" w:bidi="ar-SA"/>
      </w:rPr>
    </w:lvl>
    <w:lvl w:ilvl="2" w:tplc="740084AA">
      <w:numFmt w:val="bullet"/>
      <w:lvlText w:val="•"/>
      <w:lvlJc w:val="left"/>
      <w:pPr>
        <w:ind w:left="3690" w:hanging="360"/>
      </w:pPr>
      <w:rPr>
        <w:rFonts w:hint="default"/>
        <w:lang w:val="en-US" w:eastAsia="en-US" w:bidi="ar-SA"/>
      </w:rPr>
    </w:lvl>
    <w:lvl w:ilvl="3" w:tplc="D7A20928">
      <w:numFmt w:val="bullet"/>
      <w:lvlText w:val="•"/>
      <w:lvlJc w:val="left"/>
      <w:pPr>
        <w:ind w:left="4576" w:hanging="360"/>
      </w:pPr>
      <w:rPr>
        <w:rFonts w:hint="default"/>
        <w:lang w:val="en-US" w:eastAsia="en-US" w:bidi="ar-SA"/>
      </w:rPr>
    </w:lvl>
    <w:lvl w:ilvl="4" w:tplc="B4B8A896">
      <w:numFmt w:val="bullet"/>
      <w:lvlText w:val="•"/>
      <w:lvlJc w:val="left"/>
      <w:pPr>
        <w:ind w:left="5461" w:hanging="360"/>
      </w:pPr>
      <w:rPr>
        <w:rFonts w:hint="default"/>
        <w:lang w:val="en-US" w:eastAsia="en-US" w:bidi="ar-SA"/>
      </w:rPr>
    </w:lvl>
    <w:lvl w:ilvl="5" w:tplc="358ED79C">
      <w:numFmt w:val="bullet"/>
      <w:lvlText w:val="•"/>
      <w:lvlJc w:val="left"/>
      <w:pPr>
        <w:ind w:left="6347" w:hanging="360"/>
      </w:pPr>
      <w:rPr>
        <w:rFonts w:hint="default"/>
        <w:lang w:val="en-US" w:eastAsia="en-US" w:bidi="ar-SA"/>
      </w:rPr>
    </w:lvl>
    <w:lvl w:ilvl="6" w:tplc="FF064B48">
      <w:numFmt w:val="bullet"/>
      <w:lvlText w:val="•"/>
      <w:lvlJc w:val="left"/>
      <w:pPr>
        <w:ind w:left="7232" w:hanging="360"/>
      </w:pPr>
      <w:rPr>
        <w:rFonts w:hint="default"/>
        <w:lang w:val="en-US" w:eastAsia="en-US" w:bidi="ar-SA"/>
      </w:rPr>
    </w:lvl>
    <w:lvl w:ilvl="7" w:tplc="7E5287BE">
      <w:numFmt w:val="bullet"/>
      <w:lvlText w:val="•"/>
      <w:lvlJc w:val="left"/>
      <w:pPr>
        <w:ind w:left="8118" w:hanging="360"/>
      </w:pPr>
      <w:rPr>
        <w:rFonts w:hint="default"/>
        <w:lang w:val="en-US" w:eastAsia="en-US" w:bidi="ar-SA"/>
      </w:rPr>
    </w:lvl>
    <w:lvl w:ilvl="8" w:tplc="FEF46E8C">
      <w:numFmt w:val="bullet"/>
      <w:lvlText w:val="•"/>
      <w:lvlJc w:val="left"/>
      <w:pPr>
        <w:ind w:left="9003" w:hanging="360"/>
      </w:pPr>
      <w:rPr>
        <w:rFonts w:hint="default"/>
        <w:lang w:val="en-US" w:eastAsia="en-US" w:bidi="ar-SA"/>
      </w:rPr>
    </w:lvl>
  </w:abstractNum>
  <w:abstractNum w:abstractNumId="2" w15:restartNumberingAfterBreak="0">
    <w:nsid w:val="7F803687"/>
    <w:multiLevelType w:val="hybridMultilevel"/>
    <w:tmpl w:val="3A22A33A"/>
    <w:lvl w:ilvl="0" w:tplc="4FB8A578">
      <w:numFmt w:val="bullet"/>
      <w:lvlText w:val=""/>
      <w:lvlJc w:val="left"/>
      <w:pPr>
        <w:ind w:left="1911" w:hanging="360"/>
      </w:pPr>
      <w:rPr>
        <w:rFonts w:ascii="Symbol" w:eastAsia="Symbol" w:hAnsi="Symbol" w:cs="Symbol" w:hint="default"/>
        <w:b w:val="0"/>
        <w:bCs w:val="0"/>
        <w:i w:val="0"/>
        <w:iCs w:val="0"/>
        <w:color w:val="74758B"/>
        <w:spacing w:val="0"/>
        <w:w w:val="99"/>
        <w:sz w:val="19"/>
        <w:szCs w:val="19"/>
        <w:lang w:val="en-US" w:eastAsia="en-US" w:bidi="ar-SA"/>
      </w:rPr>
    </w:lvl>
    <w:lvl w:ilvl="1" w:tplc="55D2C2FC">
      <w:numFmt w:val="bullet"/>
      <w:lvlText w:val="•"/>
      <w:lvlJc w:val="left"/>
      <w:pPr>
        <w:ind w:left="2805" w:hanging="360"/>
      </w:pPr>
      <w:rPr>
        <w:rFonts w:hint="default"/>
        <w:lang w:val="en-US" w:eastAsia="en-US" w:bidi="ar-SA"/>
      </w:rPr>
    </w:lvl>
    <w:lvl w:ilvl="2" w:tplc="E9B2DCDA">
      <w:numFmt w:val="bullet"/>
      <w:lvlText w:val="•"/>
      <w:lvlJc w:val="left"/>
      <w:pPr>
        <w:ind w:left="3690" w:hanging="360"/>
      </w:pPr>
      <w:rPr>
        <w:rFonts w:hint="default"/>
        <w:lang w:val="en-US" w:eastAsia="en-US" w:bidi="ar-SA"/>
      </w:rPr>
    </w:lvl>
    <w:lvl w:ilvl="3" w:tplc="4C9C4A78">
      <w:numFmt w:val="bullet"/>
      <w:lvlText w:val="•"/>
      <w:lvlJc w:val="left"/>
      <w:pPr>
        <w:ind w:left="4576" w:hanging="360"/>
      </w:pPr>
      <w:rPr>
        <w:rFonts w:hint="default"/>
        <w:lang w:val="en-US" w:eastAsia="en-US" w:bidi="ar-SA"/>
      </w:rPr>
    </w:lvl>
    <w:lvl w:ilvl="4" w:tplc="4E08DA5E">
      <w:numFmt w:val="bullet"/>
      <w:lvlText w:val="•"/>
      <w:lvlJc w:val="left"/>
      <w:pPr>
        <w:ind w:left="5461" w:hanging="360"/>
      </w:pPr>
      <w:rPr>
        <w:rFonts w:hint="default"/>
        <w:lang w:val="en-US" w:eastAsia="en-US" w:bidi="ar-SA"/>
      </w:rPr>
    </w:lvl>
    <w:lvl w:ilvl="5" w:tplc="FA2AAACA">
      <w:numFmt w:val="bullet"/>
      <w:lvlText w:val="•"/>
      <w:lvlJc w:val="left"/>
      <w:pPr>
        <w:ind w:left="6347" w:hanging="360"/>
      </w:pPr>
      <w:rPr>
        <w:rFonts w:hint="default"/>
        <w:lang w:val="en-US" w:eastAsia="en-US" w:bidi="ar-SA"/>
      </w:rPr>
    </w:lvl>
    <w:lvl w:ilvl="6" w:tplc="8AEAA33C">
      <w:numFmt w:val="bullet"/>
      <w:lvlText w:val="•"/>
      <w:lvlJc w:val="left"/>
      <w:pPr>
        <w:ind w:left="7232" w:hanging="360"/>
      </w:pPr>
      <w:rPr>
        <w:rFonts w:hint="default"/>
        <w:lang w:val="en-US" w:eastAsia="en-US" w:bidi="ar-SA"/>
      </w:rPr>
    </w:lvl>
    <w:lvl w:ilvl="7" w:tplc="B4FA6A64">
      <w:numFmt w:val="bullet"/>
      <w:lvlText w:val="•"/>
      <w:lvlJc w:val="left"/>
      <w:pPr>
        <w:ind w:left="8118" w:hanging="360"/>
      </w:pPr>
      <w:rPr>
        <w:rFonts w:hint="default"/>
        <w:lang w:val="en-US" w:eastAsia="en-US" w:bidi="ar-SA"/>
      </w:rPr>
    </w:lvl>
    <w:lvl w:ilvl="8" w:tplc="D7EAB5D2">
      <w:numFmt w:val="bullet"/>
      <w:lvlText w:val="•"/>
      <w:lvlJc w:val="left"/>
      <w:pPr>
        <w:ind w:left="9003" w:hanging="360"/>
      </w:pPr>
      <w:rPr>
        <w:rFonts w:hint="default"/>
        <w:lang w:val="en-US" w:eastAsia="en-US" w:bidi="ar-SA"/>
      </w:rPr>
    </w:lvl>
  </w:abstractNum>
  <w:num w:numId="1" w16cid:durableId="1814133458">
    <w:abstractNumId w:val="0"/>
  </w:num>
  <w:num w:numId="2" w16cid:durableId="1916013923">
    <w:abstractNumId w:val="1"/>
  </w:num>
  <w:num w:numId="3" w16cid:durableId="684984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EC3"/>
    <w:rsid w:val="00025CDE"/>
    <w:rsid w:val="000473D3"/>
    <w:rsid w:val="00052170"/>
    <w:rsid w:val="0005646F"/>
    <w:rsid w:val="00062742"/>
    <w:rsid w:val="000677E8"/>
    <w:rsid w:val="00077387"/>
    <w:rsid w:val="00080B74"/>
    <w:rsid w:val="00081CCB"/>
    <w:rsid w:val="000847CB"/>
    <w:rsid w:val="000D05F3"/>
    <w:rsid w:val="000D10AB"/>
    <w:rsid w:val="000E71AE"/>
    <w:rsid w:val="001015BF"/>
    <w:rsid w:val="001220CA"/>
    <w:rsid w:val="00122284"/>
    <w:rsid w:val="0012333F"/>
    <w:rsid w:val="00141ADF"/>
    <w:rsid w:val="00142C68"/>
    <w:rsid w:val="0016286F"/>
    <w:rsid w:val="00162D2F"/>
    <w:rsid w:val="001A1003"/>
    <w:rsid w:val="001B527D"/>
    <w:rsid w:val="001B64A2"/>
    <w:rsid w:val="001C050D"/>
    <w:rsid w:val="001C32D4"/>
    <w:rsid w:val="001C4D1A"/>
    <w:rsid w:val="001C50A6"/>
    <w:rsid w:val="001C79A1"/>
    <w:rsid w:val="001D4A75"/>
    <w:rsid w:val="001F1101"/>
    <w:rsid w:val="00200689"/>
    <w:rsid w:val="00234425"/>
    <w:rsid w:val="002416F0"/>
    <w:rsid w:val="0026351D"/>
    <w:rsid w:val="00264CDE"/>
    <w:rsid w:val="0026518B"/>
    <w:rsid w:val="00280183"/>
    <w:rsid w:val="00281814"/>
    <w:rsid w:val="0029425A"/>
    <w:rsid w:val="002B0FBD"/>
    <w:rsid w:val="002C40FA"/>
    <w:rsid w:val="002D2095"/>
    <w:rsid w:val="002D65AA"/>
    <w:rsid w:val="002D6F2D"/>
    <w:rsid w:val="002F5E22"/>
    <w:rsid w:val="00346CBA"/>
    <w:rsid w:val="00346D3E"/>
    <w:rsid w:val="00346E3D"/>
    <w:rsid w:val="0037352F"/>
    <w:rsid w:val="00374FCC"/>
    <w:rsid w:val="003849A7"/>
    <w:rsid w:val="003A5026"/>
    <w:rsid w:val="003A6C41"/>
    <w:rsid w:val="003B29C1"/>
    <w:rsid w:val="003B7598"/>
    <w:rsid w:val="003D1AA1"/>
    <w:rsid w:val="003E0A78"/>
    <w:rsid w:val="003E1530"/>
    <w:rsid w:val="00404623"/>
    <w:rsid w:val="00413A51"/>
    <w:rsid w:val="00420732"/>
    <w:rsid w:val="00445C21"/>
    <w:rsid w:val="00451097"/>
    <w:rsid w:val="00455B87"/>
    <w:rsid w:val="00456BCD"/>
    <w:rsid w:val="00467B1D"/>
    <w:rsid w:val="004773FF"/>
    <w:rsid w:val="004950DD"/>
    <w:rsid w:val="004B40D5"/>
    <w:rsid w:val="004C2B23"/>
    <w:rsid w:val="005007B8"/>
    <w:rsid w:val="00534408"/>
    <w:rsid w:val="0053462E"/>
    <w:rsid w:val="00542F09"/>
    <w:rsid w:val="00591A67"/>
    <w:rsid w:val="005A11DD"/>
    <w:rsid w:val="005C45B1"/>
    <w:rsid w:val="005E7E6A"/>
    <w:rsid w:val="005F1499"/>
    <w:rsid w:val="005F201B"/>
    <w:rsid w:val="006248C8"/>
    <w:rsid w:val="00633529"/>
    <w:rsid w:val="006448E2"/>
    <w:rsid w:val="006535B3"/>
    <w:rsid w:val="00666A06"/>
    <w:rsid w:val="00667CCE"/>
    <w:rsid w:val="00667F24"/>
    <w:rsid w:val="006747D3"/>
    <w:rsid w:val="006758DB"/>
    <w:rsid w:val="00684599"/>
    <w:rsid w:val="006A7BD5"/>
    <w:rsid w:val="006B4120"/>
    <w:rsid w:val="006B44FC"/>
    <w:rsid w:val="006C1142"/>
    <w:rsid w:val="006C2CBF"/>
    <w:rsid w:val="006F28BA"/>
    <w:rsid w:val="00703679"/>
    <w:rsid w:val="0072634C"/>
    <w:rsid w:val="00735CF4"/>
    <w:rsid w:val="00736690"/>
    <w:rsid w:val="00746EBE"/>
    <w:rsid w:val="007939E6"/>
    <w:rsid w:val="0079626E"/>
    <w:rsid w:val="007A2E0D"/>
    <w:rsid w:val="007B20D3"/>
    <w:rsid w:val="007B24BB"/>
    <w:rsid w:val="007C70A2"/>
    <w:rsid w:val="007D3F1E"/>
    <w:rsid w:val="007E2D20"/>
    <w:rsid w:val="008005FC"/>
    <w:rsid w:val="00806ABB"/>
    <w:rsid w:val="00862207"/>
    <w:rsid w:val="008843B6"/>
    <w:rsid w:val="00891F72"/>
    <w:rsid w:val="008A2E9B"/>
    <w:rsid w:val="008A4E12"/>
    <w:rsid w:val="008B101B"/>
    <w:rsid w:val="008D701F"/>
    <w:rsid w:val="008E3D61"/>
    <w:rsid w:val="00904A0B"/>
    <w:rsid w:val="00916C3F"/>
    <w:rsid w:val="009235E7"/>
    <w:rsid w:val="009608C6"/>
    <w:rsid w:val="00987AC8"/>
    <w:rsid w:val="009A2C2B"/>
    <w:rsid w:val="009A3371"/>
    <w:rsid w:val="009A3868"/>
    <w:rsid w:val="009B1307"/>
    <w:rsid w:val="009C2822"/>
    <w:rsid w:val="009C5698"/>
    <w:rsid w:val="00A15275"/>
    <w:rsid w:val="00A36054"/>
    <w:rsid w:val="00A603C8"/>
    <w:rsid w:val="00A60550"/>
    <w:rsid w:val="00A72B08"/>
    <w:rsid w:val="00A758EE"/>
    <w:rsid w:val="00A83E5D"/>
    <w:rsid w:val="00A854ED"/>
    <w:rsid w:val="00AB7AB0"/>
    <w:rsid w:val="00B17376"/>
    <w:rsid w:val="00B214C6"/>
    <w:rsid w:val="00B30EC3"/>
    <w:rsid w:val="00B34B21"/>
    <w:rsid w:val="00B665E3"/>
    <w:rsid w:val="00B70107"/>
    <w:rsid w:val="00B86C06"/>
    <w:rsid w:val="00B94C91"/>
    <w:rsid w:val="00B9726D"/>
    <w:rsid w:val="00BC7DF2"/>
    <w:rsid w:val="00C56373"/>
    <w:rsid w:val="00C65B82"/>
    <w:rsid w:val="00C81F05"/>
    <w:rsid w:val="00C94024"/>
    <w:rsid w:val="00C95C3B"/>
    <w:rsid w:val="00C9784E"/>
    <w:rsid w:val="00C97CAD"/>
    <w:rsid w:val="00CB3804"/>
    <w:rsid w:val="00CE6A83"/>
    <w:rsid w:val="00D13EB3"/>
    <w:rsid w:val="00D15D37"/>
    <w:rsid w:val="00D261F2"/>
    <w:rsid w:val="00D366B2"/>
    <w:rsid w:val="00D572BF"/>
    <w:rsid w:val="00D80A26"/>
    <w:rsid w:val="00DB2F2A"/>
    <w:rsid w:val="00DB4493"/>
    <w:rsid w:val="00DB584F"/>
    <w:rsid w:val="00DB6F09"/>
    <w:rsid w:val="00DC6B3F"/>
    <w:rsid w:val="00DD0755"/>
    <w:rsid w:val="00DD4AB0"/>
    <w:rsid w:val="00DF1335"/>
    <w:rsid w:val="00DF1DAF"/>
    <w:rsid w:val="00E145F0"/>
    <w:rsid w:val="00E236D9"/>
    <w:rsid w:val="00E23FF3"/>
    <w:rsid w:val="00E31861"/>
    <w:rsid w:val="00E34861"/>
    <w:rsid w:val="00E475EA"/>
    <w:rsid w:val="00E540A9"/>
    <w:rsid w:val="00E64181"/>
    <w:rsid w:val="00E810BF"/>
    <w:rsid w:val="00E96CF4"/>
    <w:rsid w:val="00E96F4C"/>
    <w:rsid w:val="00EA1EA8"/>
    <w:rsid w:val="00EA7270"/>
    <w:rsid w:val="00EB47ED"/>
    <w:rsid w:val="00EC6227"/>
    <w:rsid w:val="00EE0E46"/>
    <w:rsid w:val="00EF6928"/>
    <w:rsid w:val="00F22C08"/>
    <w:rsid w:val="00F364C8"/>
    <w:rsid w:val="00F50531"/>
    <w:rsid w:val="00F50E4B"/>
    <w:rsid w:val="00F62885"/>
    <w:rsid w:val="00F7727F"/>
    <w:rsid w:val="00F953EC"/>
    <w:rsid w:val="00FE52F6"/>
    <w:rsid w:val="00FE5773"/>
    <w:rsid w:val="00FF4FB9"/>
    <w:rsid w:val="02E824C3"/>
    <w:rsid w:val="0BBA9928"/>
    <w:rsid w:val="451D0958"/>
    <w:rsid w:val="5E3197B7"/>
    <w:rsid w:val="5F5C5D03"/>
    <w:rsid w:val="6EB75D56"/>
    <w:rsid w:val="7FD58C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63B69"/>
  <w15:docId w15:val="{62C8547C-9512-488B-8895-494255FD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50DD"/>
    <w:rPr>
      <w:rFonts w:ascii="Verdana" w:eastAsia="Verdana" w:hAnsi="Verdana" w:cs="Verdana"/>
    </w:rPr>
  </w:style>
  <w:style w:type="paragraph" w:styleId="Nagwek1">
    <w:name w:val="heading 1"/>
    <w:basedOn w:val="Normalny"/>
    <w:uiPriority w:val="9"/>
    <w:qFormat/>
    <w:pPr>
      <w:ind w:left="1191"/>
      <w:jc w:val="both"/>
      <w:outlineLvl w:val="0"/>
    </w:pPr>
    <w:rPr>
      <w:b/>
      <w:bCs/>
      <w:sz w:val="24"/>
      <w:szCs w:val="24"/>
    </w:rPr>
  </w:style>
  <w:style w:type="paragraph" w:styleId="Nagwek2">
    <w:name w:val="heading 2"/>
    <w:basedOn w:val="Normalny"/>
    <w:uiPriority w:val="9"/>
    <w:unhideWhenUsed/>
    <w:qFormat/>
    <w:pPr>
      <w:ind w:left="1191"/>
      <w:outlineLvl w:val="1"/>
    </w:pPr>
    <w:rPr>
      <w:b/>
      <w:bCs/>
      <w:sz w:val="19"/>
      <w:szCs w:val="1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9"/>
      <w:szCs w:val="19"/>
    </w:rPr>
  </w:style>
  <w:style w:type="paragraph" w:styleId="Tytu">
    <w:name w:val="Title"/>
    <w:basedOn w:val="Normalny"/>
    <w:uiPriority w:val="10"/>
    <w:qFormat/>
    <w:pPr>
      <w:ind w:left="1" w:right="1"/>
      <w:jc w:val="center"/>
    </w:pPr>
    <w:rPr>
      <w:rFonts w:ascii="Times New Roman" w:eastAsia="Times New Roman" w:hAnsi="Times New Roman" w:cs="Times New Roman"/>
      <w:b/>
      <w:bCs/>
      <w:i/>
      <w:iCs/>
      <w:sz w:val="54"/>
      <w:szCs w:val="54"/>
    </w:rPr>
  </w:style>
  <w:style w:type="paragraph" w:styleId="Akapitzlist">
    <w:name w:val="List Paragraph"/>
    <w:basedOn w:val="Normalny"/>
    <w:uiPriority w:val="1"/>
    <w:qFormat/>
    <w:pPr>
      <w:ind w:left="1911" w:hanging="360"/>
      <w:jc w:val="both"/>
    </w:pPr>
  </w:style>
  <w:style w:type="paragraph" w:customStyle="1" w:styleId="TableParagraph">
    <w:name w:val="Table Paragraph"/>
    <w:basedOn w:val="Normalny"/>
    <w:uiPriority w:val="1"/>
    <w:qFormat/>
    <w:pPr>
      <w:spacing w:before="66"/>
      <w:jc w:val="center"/>
    </w:pPr>
  </w:style>
  <w:style w:type="character" w:styleId="Hipercze">
    <w:name w:val="Hyperlink"/>
    <w:basedOn w:val="Domylnaczcionkaakapitu"/>
    <w:uiPriority w:val="99"/>
    <w:unhideWhenUsed/>
    <w:rsid w:val="007B20D3"/>
    <w:rPr>
      <w:color w:val="0000FF" w:themeColor="hyperlink"/>
      <w:u w:val="single"/>
    </w:rPr>
  </w:style>
  <w:style w:type="character" w:styleId="Nierozpoznanawzmianka">
    <w:name w:val="Unresolved Mention"/>
    <w:basedOn w:val="Domylnaczcionkaakapitu"/>
    <w:uiPriority w:val="99"/>
    <w:semiHidden/>
    <w:unhideWhenUsed/>
    <w:rsid w:val="007B20D3"/>
    <w:rPr>
      <w:color w:val="605E5C"/>
      <w:shd w:val="clear" w:color="auto" w:fill="E1DFDD"/>
    </w:rPr>
  </w:style>
  <w:style w:type="paragraph" w:customStyle="1" w:styleId="Textedesaisie">
    <w:name w:val="Texte de saisie"/>
    <w:basedOn w:val="Normalny"/>
    <w:qFormat/>
    <w:rsid w:val="0016286F"/>
    <w:pPr>
      <w:widowControl/>
      <w:autoSpaceDE/>
      <w:autoSpaceDN/>
      <w:spacing w:line="220" w:lineRule="atLeast"/>
      <w:jc w:val="both"/>
    </w:pPr>
    <w:rPr>
      <w:rFonts w:cs="Times New Roman"/>
      <w:color w:val="74758C"/>
      <w:sz w:val="18"/>
      <w:szCs w:val="19"/>
      <w:lang w:val="en-GB"/>
    </w:rPr>
  </w:style>
  <w:style w:type="paragraph" w:styleId="Nagwek">
    <w:name w:val="header"/>
    <w:basedOn w:val="Normalny"/>
    <w:link w:val="NagwekZnak"/>
    <w:uiPriority w:val="99"/>
    <w:unhideWhenUsed/>
    <w:rsid w:val="00122284"/>
    <w:pPr>
      <w:tabs>
        <w:tab w:val="center" w:pos="4536"/>
        <w:tab w:val="right" w:pos="9072"/>
      </w:tabs>
    </w:pPr>
  </w:style>
  <w:style w:type="character" w:customStyle="1" w:styleId="NagwekZnak">
    <w:name w:val="Nagłówek Znak"/>
    <w:basedOn w:val="Domylnaczcionkaakapitu"/>
    <w:link w:val="Nagwek"/>
    <w:uiPriority w:val="99"/>
    <w:rsid w:val="00122284"/>
    <w:rPr>
      <w:rFonts w:ascii="Verdana" w:eastAsia="Verdana" w:hAnsi="Verdana" w:cs="Verdana"/>
    </w:rPr>
  </w:style>
  <w:style w:type="paragraph" w:styleId="Stopka">
    <w:name w:val="footer"/>
    <w:basedOn w:val="Normalny"/>
    <w:link w:val="StopkaZnak"/>
    <w:uiPriority w:val="99"/>
    <w:unhideWhenUsed/>
    <w:rsid w:val="00122284"/>
    <w:pPr>
      <w:tabs>
        <w:tab w:val="center" w:pos="4536"/>
        <w:tab w:val="right" w:pos="9072"/>
      </w:tabs>
    </w:pPr>
  </w:style>
  <w:style w:type="character" w:customStyle="1" w:styleId="StopkaZnak">
    <w:name w:val="Stopka Znak"/>
    <w:basedOn w:val="Domylnaczcionkaakapitu"/>
    <w:link w:val="Stopka"/>
    <w:uiPriority w:val="99"/>
    <w:rsid w:val="00122284"/>
    <w:rPr>
      <w:rFonts w:ascii="Verdana" w:eastAsia="Verdana" w:hAnsi="Verdana" w:cs="Verdana"/>
    </w:rPr>
  </w:style>
  <w:style w:type="character" w:styleId="UyteHipercze">
    <w:name w:val="FollowedHyperlink"/>
    <w:basedOn w:val="Domylnaczcionkaakapitu"/>
    <w:uiPriority w:val="99"/>
    <w:semiHidden/>
    <w:unhideWhenUsed/>
    <w:rsid w:val="00C65B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ess.accor.com/half-year-2026-resultsaccor-shows-its-agility-in-a-challenging-global-environment/?lang=eng" TargetMode="External"/><Relationship Id="rId13" Type="http://schemas.openxmlformats.org/officeDocument/2006/relationships/hyperlink" Target="https://www.linkedin.com/company/accor/" TargetMode="External"/><Relationship Id="rId18" Type="http://schemas.openxmlformats.org/officeDocument/2006/relationships/hyperlink" Target="mailto:pierre-loup.etienne@accor.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facebook.com/Accor/" TargetMode="External"/><Relationship Id="rId17" Type="http://schemas.openxmlformats.org/officeDocument/2006/relationships/hyperlink" Target="mailto:charlotte.thouvard@accor.com" TargetMode="External"/><Relationship Id="rId2" Type="http://schemas.openxmlformats.org/officeDocument/2006/relationships/styles" Target="styles.xml"/><Relationship Id="rId16" Type="http://schemas.openxmlformats.org/officeDocument/2006/relationships/hyperlink" Target="mailto:Agnieszka.KALINOWSKA@accor.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Accor" TargetMode="External"/><Relationship Id="rId5" Type="http://schemas.openxmlformats.org/officeDocument/2006/relationships/footnotes" Target="footnotes.xml"/><Relationship Id="rId15" Type="http://schemas.openxmlformats.org/officeDocument/2006/relationships/hyperlink" Target="https://www.tiktok.com/%40accor?lang=fr" TargetMode="External"/><Relationship Id="rId10" Type="http://schemas.openxmlformats.org/officeDocument/2006/relationships/hyperlink" Target="https://group.accor.com/fr-F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roup.accor.com/fr-FR" TargetMode="External"/><Relationship Id="rId14" Type="http://schemas.openxmlformats.org/officeDocument/2006/relationships/hyperlink" Target="https://www.instagram.com/acco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613</Words>
  <Characters>3684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Pierre-Loup</dc:creator>
  <cp:keywords/>
  <cp:lastModifiedBy>Wiktoria Wiza</cp:lastModifiedBy>
  <cp:revision>15</cp:revision>
  <dcterms:created xsi:type="dcterms:W3CDTF">2026-07-30T08:10:00Z</dcterms:created>
  <dcterms:modified xsi:type="dcterms:W3CDTF">2026-07-31T08:58:00Z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Creator">
    <vt:lpwstr>Microsoft® Word for Microsoft 365</vt:lpwstr>
  </property>
  <property fmtid="{D5CDD505-2E9C-101B-9397-08002B2CF9AE}" pid="4" name="LastSaved">
    <vt:filetime>2025-02-20T00:00:00Z</vt:filetime>
  </property>
  <property fmtid="{D5CDD505-2E9C-101B-9397-08002B2CF9AE}" pid="5" name="Producer">
    <vt:lpwstr>Microsoft® Word for Microsoft 365</vt:lpwstr>
  </property>
  <property fmtid="{D5CDD505-2E9C-101B-9397-08002B2CF9AE}" pid="6" name="GrammarlyDocumentId">
    <vt:lpwstr>02da99f7c58340df94e248814829d1394039f9a0d10b90a88946516690828137</vt:lpwstr>
  </property>
</Properties>
</file>